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26F67" w14:textId="1757DE7A" w:rsidR="00042B52" w:rsidRDefault="00042B52" w:rsidP="001122DD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20FEBD39" wp14:editId="71B0D845">
            <wp:extent cx="5768340" cy="416052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2_simulations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1" b="2070"/>
                    <a:stretch/>
                  </pic:blipFill>
                  <pic:spPr bwMode="auto">
                    <a:xfrm>
                      <a:off x="0" y="0"/>
                      <a:ext cx="5768340" cy="4160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61F2F" w14:textId="68E78217" w:rsidR="00042B52" w:rsidRPr="005742D9" w:rsidRDefault="00042B52" w:rsidP="001122DD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286110">
        <w:rPr>
          <w:rFonts w:ascii="Times New Roman" w:hAnsi="Times New Roman" w:cs="Times New Roman"/>
          <w:b/>
          <w:sz w:val="24"/>
          <w:szCs w:val="24"/>
        </w:rPr>
        <w:t>1</w:t>
      </w:r>
      <w:r w:rsidR="005742D9">
        <w:rPr>
          <w:rFonts w:ascii="Times New Roman" w:hAnsi="Times New Roman" w:cs="Times New Roman"/>
          <w:sz w:val="24"/>
          <w:szCs w:val="24"/>
        </w:rPr>
        <w:t xml:space="preserve">: Boxplots of the explained variation </w:t>
      </w:r>
      <w:r w:rsidR="00CD5D9F">
        <w:rPr>
          <w:rFonts w:ascii="Times New Roman" w:hAnsi="Times New Roman" w:cs="Times New Roman"/>
          <w:sz w:val="24"/>
          <w:szCs w:val="24"/>
        </w:rPr>
        <w:t xml:space="preserve">(using separate train, validation and test sets) </w:t>
      </w:r>
      <w:r w:rsidR="005742D9">
        <w:rPr>
          <w:rFonts w:ascii="Times New Roman" w:hAnsi="Times New Roman" w:cs="Times New Roman"/>
          <w:sz w:val="24"/>
          <w:szCs w:val="24"/>
        </w:rPr>
        <w:t>of 10 repeated simulations</w:t>
      </w:r>
      <w:r w:rsidR="00FD4495">
        <w:rPr>
          <w:rFonts w:ascii="Times New Roman" w:hAnsi="Times New Roman" w:cs="Times New Roman"/>
          <w:sz w:val="24"/>
          <w:szCs w:val="24"/>
        </w:rPr>
        <w:t xml:space="preserve"> per combination of: algorithm (Random Forest Regression and Support Vector Regression); number of variables with a linear relationship to the response variable and number of noise variables (1/1, 1/10, 5/5, 5/50); </w:t>
      </w:r>
      <w:r w:rsidR="00496D7D">
        <w:rPr>
          <w:rFonts w:ascii="Times New Roman" w:hAnsi="Times New Roman" w:cs="Times New Roman"/>
          <w:sz w:val="24"/>
          <w:szCs w:val="24"/>
        </w:rPr>
        <w:t xml:space="preserve">and </w:t>
      </w:r>
      <w:r w:rsidR="00FD4495">
        <w:rPr>
          <w:rFonts w:ascii="Times New Roman" w:hAnsi="Times New Roman" w:cs="Times New Roman"/>
          <w:sz w:val="24"/>
          <w:szCs w:val="24"/>
        </w:rPr>
        <w:t>percentage of noise</w:t>
      </w:r>
      <w:r w:rsidR="00B065DC">
        <w:rPr>
          <w:rFonts w:ascii="Times New Roman" w:hAnsi="Times New Roman" w:cs="Times New Roman"/>
          <w:sz w:val="24"/>
          <w:szCs w:val="24"/>
        </w:rPr>
        <w:t xml:space="preserve"> versus signal</w:t>
      </w:r>
      <w:r w:rsidR="00FD4495">
        <w:rPr>
          <w:rFonts w:ascii="Times New Roman" w:hAnsi="Times New Roman" w:cs="Times New Roman"/>
          <w:sz w:val="24"/>
          <w:szCs w:val="24"/>
        </w:rPr>
        <w:t xml:space="preserve"> added around response variable (10%, 50%, 90%). </w:t>
      </w:r>
      <w:r w:rsidR="001C6527">
        <w:rPr>
          <w:rFonts w:ascii="Times New Roman" w:hAnsi="Times New Roman" w:cs="Times New Roman"/>
          <w:sz w:val="24"/>
          <w:szCs w:val="24"/>
        </w:rPr>
        <w:t>It becomes clear that (especially SVRs) are accurately capable to predict the percentage of the response variable that contributed to the input variables until very high noise levels.</w:t>
      </w:r>
      <w:bookmarkStart w:id="0" w:name="_GoBack"/>
      <w:bookmarkEnd w:id="0"/>
    </w:p>
    <w:sectPr w:rsidR="00042B52" w:rsidRPr="005742D9" w:rsidSect="00F25AEA">
      <w:headerReference w:type="even" r:id="rId9"/>
      <w:headerReference w:type="default" r:id="rId10"/>
      <w:footerReference w:type="even" r:id="rId11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proofState w:spelling="clean"/>
  <w:defaultTabStop w:val="720"/>
  <w:evenAndOddHeaders/>
  <w:characterSpacingControl w:val="doNotCompress"/>
  <w:hdrShapeDefaults>
    <o:shapedefaults v:ext="edit" spidmax="178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110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8177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D261F-B94B-4A1C-A161-A84AF9C97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1DFFAB9B.dotm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5</cp:revision>
  <cp:lastPrinted>2018-10-04T12:59:00Z</cp:lastPrinted>
  <dcterms:created xsi:type="dcterms:W3CDTF">2020-01-06T15:47:00Z</dcterms:created>
  <dcterms:modified xsi:type="dcterms:W3CDTF">2020-01-06T16:01:00Z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