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9482B" w14:textId="6EA147F6" w:rsidR="00AF01B5" w:rsidRDefault="00AF01B5" w:rsidP="00AF01B5">
      <w:pPr>
        <w:pStyle w:val="Heading2"/>
      </w:pPr>
      <w:r w:rsidRPr="002D0B41">
        <w:t xml:space="preserve">Supplementary </w:t>
      </w:r>
      <w:r>
        <w:t>information</w:t>
      </w:r>
    </w:p>
    <w:p w14:paraId="3FCB54F5" w14:textId="536334EE" w:rsidR="00AF01B5" w:rsidRPr="00AF01B5" w:rsidRDefault="00AF01B5" w:rsidP="00AF01B5">
      <w:pPr>
        <w:pStyle w:val="Heading2"/>
        <w:rPr>
          <w:sz w:val="24"/>
          <w:szCs w:val="24"/>
        </w:rPr>
      </w:pPr>
      <w:r w:rsidRPr="00AF01B5">
        <w:rPr>
          <w:b/>
          <w:bCs/>
          <w:sz w:val="24"/>
          <w:szCs w:val="24"/>
        </w:rPr>
        <w:t>Supplementary Table S1.</w:t>
      </w:r>
      <w:r w:rsidRPr="00AF01B5">
        <w:rPr>
          <w:sz w:val="24"/>
          <w:szCs w:val="24"/>
        </w:rPr>
        <w:t xml:space="preserve"> Prognostic</w:t>
      </w:r>
      <w:r w:rsidRPr="00AF01B5">
        <w:rPr>
          <w:sz w:val="24"/>
          <w:szCs w:val="24"/>
        </w:rPr>
        <w:t xml:space="preserve"> </w:t>
      </w:r>
      <w:r w:rsidRPr="00AF01B5">
        <w:rPr>
          <w:sz w:val="24"/>
          <w:szCs w:val="24"/>
        </w:rPr>
        <w:t>value of day-to-day variation indices in parenclitic deviation for 180-day mortality, independent of mean parenclitic deviation (δ), MELD and age</w:t>
      </w:r>
    </w:p>
    <w:p w14:paraId="76871C68" w14:textId="77777777" w:rsidR="00AF01B5" w:rsidRPr="00AF01B5" w:rsidRDefault="00AF01B5" w:rsidP="00AF01B5">
      <w:pPr>
        <w:pStyle w:val="BodyText"/>
        <w:rPr>
          <w:sz w:val="22"/>
          <w:szCs w:val="22"/>
        </w:rPr>
      </w:pPr>
      <w:r w:rsidRPr="00AF01B5">
        <w:rPr>
          <w:sz w:val="22"/>
          <w:szCs w:val="22"/>
        </w:rPr>
        <w:t xml:space="preserve">Hazard ratios are from Cox proportional hazards models, one per connection, each containing the day-to-day variation index, the mean parenclitic deviation along the same connection, Model for End-Stage Liver Disease (MELD) and age. All predictors were standardised by subtracting the mean and dividing by the standard deviation of the sample analysed for that connection, so hazard ratios are per standard deviation increase and are comparable between predictors. Follow-up was counted from treatment day 7 and 40 patients who died on or before day 7 were therefore excluded. The corrected P is that index's own P value, Bonferroni-corrected across the three connections. </w:t>
      </w:r>
    </w:p>
    <w:p w14:paraId="3859C714" w14:textId="77777777" w:rsidR="00AF01B5" w:rsidRPr="002D0B41" w:rsidRDefault="00AF01B5" w:rsidP="00AF01B5">
      <w:pPr>
        <w:pStyle w:val="BodyText"/>
      </w:pPr>
      <w:r w:rsidRPr="002D0B41">
        <w:rPr>
          <w:b/>
          <w:bCs/>
        </w:rPr>
        <w:t>Mean absolute successive difference (MASD)</w:t>
      </w:r>
    </w:p>
    <w:tbl>
      <w:tblPr>
        <w:tblStyle w:val="Table"/>
        <w:tblW w:w="5000" w:type="pct"/>
        <w:tblLook w:val="0020" w:firstRow="1" w:lastRow="0" w:firstColumn="0" w:lastColumn="0" w:noHBand="0" w:noVBand="0"/>
      </w:tblPr>
      <w:tblGrid>
        <w:gridCol w:w="1470"/>
        <w:gridCol w:w="1083"/>
        <w:gridCol w:w="1199"/>
        <w:gridCol w:w="1187"/>
        <w:gridCol w:w="1379"/>
        <w:gridCol w:w="1379"/>
        <w:gridCol w:w="1329"/>
      </w:tblGrid>
      <w:tr w:rsidR="00AF01B5" w:rsidRPr="002D0B41" w14:paraId="52831B15" w14:textId="77777777" w:rsidTr="004435C4">
        <w:trPr>
          <w:cnfStyle w:val="100000000000" w:firstRow="1" w:lastRow="0" w:firstColumn="0" w:lastColumn="0" w:oddVBand="0" w:evenVBand="0" w:oddHBand="0" w:evenHBand="0" w:firstRowFirstColumn="0" w:firstRowLastColumn="0" w:lastRowFirstColumn="0" w:lastRowLastColumn="0"/>
          <w:tblHeader/>
        </w:trPr>
        <w:tc>
          <w:tcPr>
            <w:tcW w:w="0" w:type="auto"/>
          </w:tcPr>
          <w:p w14:paraId="6737297F" w14:textId="77777777" w:rsidR="00AF01B5" w:rsidRPr="002D0B41" w:rsidRDefault="00AF01B5" w:rsidP="004435C4">
            <w:pPr>
              <w:pStyle w:val="Compact"/>
            </w:pPr>
            <w:r w:rsidRPr="002D0B41">
              <w:t>Connection</w:t>
            </w:r>
          </w:p>
        </w:tc>
        <w:tc>
          <w:tcPr>
            <w:tcW w:w="0" w:type="auto"/>
          </w:tcPr>
          <w:p w14:paraId="4A3FE82B" w14:textId="77777777" w:rsidR="00AF01B5" w:rsidRPr="002D0B41" w:rsidRDefault="00AF01B5" w:rsidP="004435C4">
            <w:pPr>
              <w:pStyle w:val="Compact"/>
            </w:pPr>
            <w:r w:rsidRPr="002D0B41">
              <w:t>n (deaths)</w:t>
            </w:r>
          </w:p>
        </w:tc>
        <w:tc>
          <w:tcPr>
            <w:tcW w:w="0" w:type="auto"/>
          </w:tcPr>
          <w:p w14:paraId="10BA9D34" w14:textId="77777777" w:rsidR="00AF01B5" w:rsidRPr="002D0B41" w:rsidRDefault="00AF01B5" w:rsidP="004435C4">
            <w:pPr>
              <w:pStyle w:val="Compact"/>
            </w:pPr>
            <w:r w:rsidRPr="002D0B41">
              <w:t>MASD</w:t>
            </w:r>
          </w:p>
        </w:tc>
        <w:tc>
          <w:tcPr>
            <w:tcW w:w="0" w:type="auto"/>
          </w:tcPr>
          <w:p w14:paraId="622D96BA" w14:textId="77777777" w:rsidR="00AF01B5" w:rsidRPr="002D0B41" w:rsidRDefault="00AF01B5" w:rsidP="004435C4">
            <w:pPr>
              <w:pStyle w:val="Compact"/>
            </w:pPr>
            <w:r w:rsidRPr="002D0B41">
              <w:t>Mean δ</w:t>
            </w:r>
          </w:p>
        </w:tc>
        <w:tc>
          <w:tcPr>
            <w:tcW w:w="0" w:type="auto"/>
          </w:tcPr>
          <w:p w14:paraId="09FC3850" w14:textId="77777777" w:rsidR="00AF01B5" w:rsidRPr="002D0B41" w:rsidRDefault="00AF01B5" w:rsidP="004435C4">
            <w:pPr>
              <w:pStyle w:val="Compact"/>
            </w:pPr>
            <w:r w:rsidRPr="002D0B41">
              <w:t>MELD</w:t>
            </w:r>
          </w:p>
        </w:tc>
        <w:tc>
          <w:tcPr>
            <w:tcW w:w="0" w:type="auto"/>
          </w:tcPr>
          <w:p w14:paraId="2C090744" w14:textId="77777777" w:rsidR="00AF01B5" w:rsidRPr="002D0B41" w:rsidRDefault="00AF01B5" w:rsidP="004435C4">
            <w:pPr>
              <w:pStyle w:val="Compact"/>
            </w:pPr>
            <w:r w:rsidRPr="002D0B41">
              <w:t>Age</w:t>
            </w:r>
          </w:p>
        </w:tc>
        <w:tc>
          <w:tcPr>
            <w:tcW w:w="0" w:type="auto"/>
          </w:tcPr>
          <w:p w14:paraId="71688A00" w14:textId="77777777" w:rsidR="00AF01B5" w:rsidRPr="002D0B41" w:rsidRDefault="00AF01B5" w:rsidP="004435C4">
            <w:pPr>
              <w:pStyle w:val="Compact"/>
            </w:pPr>
            <w:r w:rsidRPr="002D0B41">
              <w:t>Corrected P (MASD)</w:t>
            </w:r>
          </w:p>
        </w:tc>
      </w:tr>
      <w:tr w:rsidR="00AF01B5" w:rsidRPr="002D0B41" w14:paraId="1CF9E056" w14:textId="77777777" w:rsidTr="004435C4">
        <w:tc>
          <w:tcPr>
            <w:tcW w:w="0" w:type="auto"/>
          </w:tcPr>
          <w:p w14:paraId="0AB2E2DA" w14:textId="77777777" w:rsidR="00AF01B5" w:rsidRPr="002D0B41" w:rsidRDefault="00AF01B5" w:rsidP="004435C4">
            <w:pPr>
              <w:pStyle w:val="Compact"/>
            </w:pPr>
            <w:r w:rsidRPr="002D0B41">
              <w:t>Albumin–bilirubin</w:t>
            </w:r>
          </w:p>
        </w:tc>
        <w:tc>
          <w:tcPr>
            <w:tcW w:w="0" w:type="auto"/>
          </w:tcPr>
          <w:p w14:paraId="0BB58018" w14:textId="77777777" w:rsidR="00AF01B5" w:rsidRPr="002D0B41" w:rsidRDefault="00AF01B5" w:rsidP="004435C4">
            <w:pPr>
              <w:pStyle w:val="Compact"/>
            </w:pPr>
            <w:r w:rsidRPr="002D0B41">
              <w:t>518 (163)</w:t>
            </w:r>
          </w:p>
        </w:tc>
        <w:tc>
          <w:tcPr>
            <w:tcW w:w="0" w:type="auto"/>
          </w:tcPr>
          <w:p w14:paraId="4CFFC35A" w14:textId="77777777" w:rsidR="00AF01B5" w:rsidRPr="002D0B41" w:rsidRDefault="00AF01B5" w:rsidP="004435C4">
            <w:pPr>
              <w:pStyle w:val="Compact"/>
            </w:pPr>
            <w:r w:rsidRPr="002D0B41">
              <w:t>1.11 (0.94 to 1.31), P=0.22</w:t>
            </w:r>
          </w:p>
        </w:tc>
        <w:tc>
          <w:tcPr>
            <w:tcW w:w="0" w:type="auto"/>
          </w:tcPr>
          <w:p w14:paraId="0AF63B1A" w14:textId="77777777" w:rsidR="00AF01B5" w:rsidRPr="002D0B41" w:rsidRDefault="00AF01B5" w:rsidP="004435C4">
            <w:pPr>
              <w:pStyle w:val="Compact"/>
            </w:pPr>
            <w:r w:rsidRPr="002D0B41">
              <w:t>0.82 (0.69 to 0.97), P=0.021</w:t>
            </w:r>
          </w:p>
        </w:tc>
        <w:tc>
          <w:tcPr>
            <w:tcW w:w="0" w:type="auto"/>
          </w:tcPr>
          <w:p w14:paraId="2345FB09" w14:textId="77777777" w:rsidR="00AF01B5" w:rsidRPr="002D0B41" w:rsidRDefault="00AF01B5" w:rsidP="004435C4">
            <w:pPr>
              <w:pStyle w:val="Compact"/>
            </w:pPr>
            <w:r w:rsidRPr="002D0B41">
              <w:t>1.71 (1.50 to 1.94), P=3×10⁻¹⁶</w:t>
            </w:r>
          </w:p>
        </w:tc>
        <w:tc>
          <w:tcPr>
            <w:tcW w:w="0" w:type="auto"/>
          </w:tcPr>
          <w:p w14:paraId="4EBC50A6" w14:textId="77777777" w:rsidR="00AF01B5" w:rsidRPr="002D0B41" w:rsidRDefault="00AF01B5" w:rsidP="004435C4">
            <w:pPr>
              <w:pStyle w:val="Compact"/>
            </w:pPr>
            <w:r w:rsidRPr="002D0B41">
              <w:t>1.78 (1.51 to 2.10), P=5×10⁻¹²</w:t>
            </w:r>
          </w:p>
        </w:tc>
        <w:tc>
          <w:tcPr>
            <w:tcW w:w="0" w:type="auto"/>
          </w:tcPr>
          <w:p w14:paraId="296EDBFA" w14:textId="77777777" w:rsidR="00AF01B5" w:rsidRPr="002D0B41" w:rsidRDefault="00AF01B5" w:rsidP="004435C4">
            <w:pPr>
              <w:pStyle w:val="Compact"/>
            </w:pPr>
            <w:r w:rsidRPr="002D0B41">
              <w:t>0.66</w:t>
            </w:r>
          </w:p>
        </w:tc>
      </w:tr>
      <w:tr w:rsidR="00AF01B5" w:rsidRPr="002D0B41" w14:paraId="0FEC19E5" w14:textId="77777777" w:rsidTr="004435C4">
        <w:tc>
          <w:tcPr>
            <w:tcW w:w="0" w:type="auto"/>
          </w:tcPr>
          <w:p w14:paraId="392006E7" w14:textId="77777777" w:rsidR="00AF01B5" w:rsidRPr="002D0B41" w:rsidRDefault="00AF01B5" w:rsidP="004435C4">
            <w:pPr>
              <w:pStyle w:val="Compact"/>
            </w:pPr>
            <w:r w:rsidRPr="002D0B41">
              <w:t>CRP–WCC</w:t>
            </w:r>
          </w:p>
        </w:tc>
        <w:tc>
          <w:tcPr>
            <w:tcW w:w="0" w:type="auto"/>
          </w:tcPr>
          <w:p w14:paraId="1CB5A695" w14:textId="77777777" w:rsidR="00AF01B5" w:rsidRPr="002D0B41" w:rsidRDefault="00AF01B5" w:rsidP="004435C4">
            <w:pPr>
              <w:pStyle w:val="Compact"/>
            </w:pPr>
            <w:r w:rsidRPr="002D0B41">
              <w:t>578 (175)</w:t>
            </w:r>
          </w:p>
        </w:tc>
        <w:tc>
          <w:tcPr>
            <w:tcW w:w="0" w:type="auto"/>
          </w:tcPr>
          <w:p w14:paraId="7FC473B9" w14:textId="77777777" w:rsidR="00AF01B5" w:rsidRPr="002D0B41" w:rsidRDefault="00AF01B5" w:rsidP="004435C4">
            <w:pPr>
              <w:pStyle w:val="Compact"/>
            </w:pPr>
            <w:r w:rsidRPr="002D0B41">
              <w:rPr>
                <w:b/>
                <w:bCs/>
              </w:rPr>
              <w:t>1.20 (1.04 to 1.38), P=0.012</w:t>
            </w:r>
          </w:p>
        </w:tc>
        <w:tc>
          <w:tcPr>
            <w:tcW w:w="0" w:type="auto"/>
          </w:tcPr>
          <w:p w14:paraId="2E9878FE" w14:textId="77777777" w:rsidR="00AF01B5" w:rsidRPr="002D0B41" w:rsidRDefault="00AF01B5" w:rsidP="004435C4">
            <w:pPr>
              <w:pStyle w:val="Compact"/>
            </w:pPr>
            <w:r w:rsidRPr="002D0B41">
              <w:t>0.93 (0.78 to 1.11), P=0.42</w:t>
            </w:r>
          </w:p>
        </w:tc>
        <w:tc>
          <w:tcPr>
            <w:tcW w:w="0" w:type="auto"/>
          </w:tcPr>
          <w:p w14:paraId="2A667A9F" w14:textId="77777777" w:rsidR="00AF01B5" w:rsidRPr="002D0B41" w:rsidRDefault="00AF01B5" w:rsidP="004435C4">
            <w:pPr>
              <w:pStyle w:val="Compact"/>
            </w:pPr>
            <w:r w:rsidRPr="002D0B41">
              <w:t>1.69 (1.49 to 1.91), P=3×10⁻¹⁶</w:t>
            </w:r>
          </w:p>
        </w:tc>
        <w:tc>
          <w:tcPr>
            <w:tcW w:w="0" w:type="auto"/>
          </w:tcPr>
          <w:p w14:paraId="387AF124" w14:textId="77777777" w:rsidR="00AF01B5" w:rsidRPr="002D0B41" w:rsidRDefault="00AF01B5" w:rsidP="004435C4">
            <w:pPr>
              <w:pStyle w:val="Compact"/>
            </w:pPr>
            <w:r w:rsidRPr="002D0B41">
              <w:t>1.73 (1.47 to 2.03), P=3×10⁻¹¹</w:t>
            </w:r>
          </w:p>
        </w:tc>
        <w:tc>
          <w:tcPr>
            <w:tcW w:w="0" w:type="auto"/>
          </w:tcPr>
          <w:p w14:paraId="5F81C193" w14:textId="77777777" w:rsidR="00AF01B5" w:rsidRPr="002D0B41" w:rsidRDefault="00AF01B5" w:rsidP="004435C4">
            <w:pPr>
              <w:pStyle w:val="Compact"/>
            </w:pPr>
            <w:r w:rsidRPr="002D0B41">
              <w:rPr>
                <w:b/>
                <w:bCs/>
              </w:rPr>
              <w:t>0.035</w:t>
            </w:r>
          </w:p>
        </w:tc>
      </w:tr>
      <w:tr w:rsidR="00AF01B5" w:rsidRPr="002D0B41" w14:paraId="243BBAA1" w14:textId="77777777" w:rsidTr="004435C4">
        <w:tc>
          <w:tcPr>
            <w:tcW w:w="0" w:type="auto"/>
          </w:tcPr>
          <w:p w14:paraId="6FAA1279" w14:textId="77777777" w:rsidR="00AF01B5" w:rsidRPr="002D0B41" w:rsidRDefault="00AF01B5" w:rsidP="004435C4">
            <w:pPr>
              <w:pStyle w:val="Compact"/>
            </w:pPr>
            <w:r w:rsidRPr="002D0B41">
              <w:t>WCC–bilirubin</w:t>
            </w:r>
          </w:p>
        </w:tc>
        <w:tc>
          <w:tcPr>
            <w:tcW w:w="0" w:type="auto"/>
          </w:tcPr>
          <w:p w14:paraId="6A939335" w14:textId="77777777" w:rsidR="00AF01B5" w:rsidRPr="002D0B41" w:rsidRDefault="00AF01B5" w:rsidP="004435C4">
            <w:pPr>
              <w:pStyle w:val="Compact"/>
            </w:pPr>
            <w:r w:rsidRPr="002D0B41">
              <w:t>653 (195)</w:t>
            </w:r>
          </w:p>
        </w:tc>
        <w:tc>
          <w:tcPr>
            <w:tcW w:w="0" w:type="auto"/>
          </w:tcPr>
          <w:p w14:paraId="3A833DC8" w14:textId="77777777" w:rsidR="00AF01B5" w:rsidRPr="002D0B41" w:rsidRDefault="00AF01B5" w:rsidP="004435C4">
            <w:pPr>
              <w:pStyle w:val="Compact"/>
            </w:pPr>
            <w:r w:rsidRPr="002D0B41">
              <w:rPr>
                <w:b/>
                <w:bCs/>
              </w:rPr>
              <w:t>1.21 (1.07 to 1.37), P=0.003</w:t>
            </w:r>
          </w:p>
        </w:tc>
        <w:tc>
          <w:tcPr>
            <w:tcW w:w="0" w:type="auto"/>
          </w:tcPr>
          <w:p w14:paraId="57E60037" w14:textId="77777777" w:rsidR="00AF01B5" w:rsidRPr="002D0B41" w:rsidRDefault="00AF01B5" w:rsidP="004435C4">
            <w:pPr>
              <w:pStyle w:val="Compact"/>
            </w:pPr>
            <w:r w:rsidRPr="002D0B41">
              <w:t>0.95 (0.81 to 1.11), P=0.52</w:t>
            </w:r>
          </w:p>
        </w:tc>
        <w:tc>
          <w:tcPr>
            <w:tcW w:w="0" w:type="auto"/>
          </w:tcPr>
          <w:p w14:paraId="2DA320AA" w14:textId="77777777" w:rsidR="00AF01B5" w:rsidRPr="002D0B41" w:rsidRDefault="00AF01B5" w:rsidP="004435C4">
            <w:pPr>
              <w:pStyle w:val="Compact"/>
            </w:pPr>
            <w:r w:rsidRPr="002D0B41">
              <w:t>1.65 (1.46 to 1.86), P=6×10⁻¹⁶</w:t>
            </w:r>
          </w:p>
        </w:tc>
        <w:tc>
          <w:tcPr>
            <w:tcW w:w="0" w:type="auto"/>
          </w:tcPr>
          <w:p w14:paraId="6628D5B3" w14:textId="77777777" w:rsidR="00AF01B5" w:rsidRPr="002D0B41" w:rsidRDefault="00AF01B5" w:rsidP="004435C4">
            <w:pPr>
              <w:pStyle w:val="Compact"/>
            </w:pPr>
            <w:r w:rsidRPr="002D0B41">
              <w:t>1.70 (1.46 to 1.98), P=9×10⁻¹²</w:t>
            </w:r>
          </w:p>
        </w:tc>
        <w:tc>
          <w:tcPr>
            <w:tcW w:w="0" w:type="auto"/>
          </w:tcPr>
          <w:p w14:paraId="479B19DB" w14:textId="77777777" w:rsidR="00AF01B5" w:rsidRPr="002D0B41" w:rsidRDefault="00AF01B5" w:rsidP="004435C4">
            <w:pPr>
              <w:pStyle w:val="Compact"/>
            </w:pPr>
            <w:r w:rsidRPr="002D0B41">
              <w:rPr>
                <w:b/>
                <w:bCs/>
              </w:rPr>
              <w:t>0.008</w:t>
            </w:r>
          </w:p>
        </w:tc>
      </w:tr>
    </w:tbl>
    <w:p w14:paraId="227384B0" w14:textId="77777777" w:rsidR="00AF01B5" w:rsidRPr="002D0B41" w:rsidRDefault="00AF01B5" w:rsidP="00AF01B5">
      <w:pPr>
        <w:pStyle w:val="BodyText"/>
      </w:pPr>
      <w:r w:rsidRPr="002D0B41">
        <w:rPr>
          <w:b/>
          <w:bCs/>
        </w:rPr>
        <w:t>Coefficient of variation (CV)</w:t>
      </w:r>
    </w:p>
    <w:tbl>
      <w:tblPr>
        <w:tblStyle w:val="Table"/>
        <w:tblW w:w="5000" w:type="pct"/>
        <w:tblLook w:val="0020" w:firstRow="1" w:lastRow="0" w:firstColumn="0" w:lastColumn="0" w:noHBand="0" w:noVBand="0"/>
      </w:tblPr>
      <w:tblGrid>
        <w:gridCol w:w="1481"/>
        <w:gridCol w:w="1086"/>
        <w:gridCol w:w="1230"/>
        <w:gridCol w:w="1089"/>
        <w:gridCol w:w="1410"/>
        <w:gridCol w:w="1410"/>
        <w:gridCol w:w="1320"/>
      </w:tblGrid>
      <w:tr w:rsidR="00AF01B5" w:rsidRPr="002D0B41" w14:paraId="575035BE" w14:textId="77777777" w:rsidTr="004435C4">
        <w:trPr>
          <w:cnfStyle w:val="100000000000" w:firstRow="1" w:lastRow="0" w:firstColumn="0" w:lastColumn="0" w:oddVBand="0" w:evenVBand="0" w:oddHBand="0" w:evenHBand="0" w:firstRowFirstColumn="0" w:firstRowLastColumn="0" w:lastRowFirstColumn="0" w:lastRowLastColumn="0"/>
          <w:tblHeader/>
        </w:trPr>
        <w:tc>
          <w:tcPr>
            <w:tcW w:w="0" w:type="auto"/>
          </w:tcPr>
          <w:p w14:paraId="44B61161" w14:textId="77777777" w:rsidR="00AF01B5" w:rsidRPr="002D0B41" w:rsidRDefault="00AF01B5" w:rsidP="004435C4">
            <w:pPr>
              <w:pStyle w:val="Compact"/>
            </w:pPr>
            <w:r w:rsidRPr="002D0B41">
              <w:t>Connection</w:t>
            </w:r>
          </w:p>
        </w:tc>
        <w:tc>
          <w:tcPr>
            <w:tcW w:w="0" w:type="auto"/>
          </w:tcPr>
          <w:p w14:paraId="17C58DFB" w14:textId="77777777" w:rsidR="00AF01B5" w:rsidRPr="002D0B41" w:rsidRDefault="00AF01B5" w:rsidP="004435C4">
            <w:pPr>
              <w:pStyle w:val="Compact"/>
            </w:pPr>
            <w:r w:rsidRPr="002D0B41">
              <w:t>n (deaths)</w:t>
            </w:r>
          </w:p>
        </w:tc>
        <w:tc>
          <w:tcPr>
            <w:tcW w:w="0" w:type="auto"/>
          </w:tcPr>
          <w:p w14:paraId="10E4A490" w14:textId="77777777" w:rsidR="00AF01B5" w:rsidRPr="002D0B41" w:rsidRDefault="00AF01B5" w:rsidP="004435C4">
            <w:pPr>
              <w:pStyle w:val="Compact"/>
            </w:pPr>
            <w:r w:rsidRPr="002D0B41">
              <w:t>CV</w:t>
            </w:r>
          </w:p>
        </w:tc>
        <w:tc>
          <w:tcPr>
            <w:tcW w:w="0" w:type="auto"/>
          </w:tcPr>
          <w:p w14:paraId="2E89DBA4" w14:textId="77777777" w:rsidR="00AF01B5" w:rsidRPr="002D0B41" w:rsidRDefault="00AF01B5" w:rsidP="004435C4">
            <w:pPr>
              <w:pStyle w:val="Compact"/>
            </w:pPr>
            <w:r w:rsidRPr="002D0B41">
              <w:t>Mean δ</w:t>
            </w:r>
          </w:p>
        </w:tc>
        <w:tc>
          <w:tcPr>
            <w:tcW w:w="0" w:type="auto"/>
          </w:tcPr>
          <w:p w14:paraId="79BBE64F" w14:textId="77777777" w:rsidR="00AF01B5" w:rsidRPr="002D0B41" w:rsidRDefault="00AF01B5" w:rsidP="004435C4">
            <w:pPr>
              <w:pStyle w:val="Compact"/>
            </w:pPr>
            <w:r w:rsidRPr="002D0B41">
              <w:t>MELD</w:t>
            </w:r>
          </w:p>
        </w:tc>
        <w:tc>
          <w:tcPr>
            <w:tcW w:w="0" w:type="auto"/>
          </w:tcPr>
          <w:p w14:paraId="387F6CB2" w14:textId="77777777" w:rsidR="00AF01B5" w:rsidRPr="002D0B41" w:rsidRDefault="00AF01B5" w:rsidP="004435C4">
            <w:pPr>
              <w:pStyle w:val="Compact"/>
            </w:pPr>
            <w:r w:rsidRPr="002D0B41">
              <w:t>Age</w:t>
            </w:r>
          </w:p>
        </w:tc>
        <w:tc>
          <w:tcPr>
            <w:tcW w:w="0" w:type="auto"/>
          </w:tcPr>
          <w:p w14:paraId="0B79B638" w14:textId="77777777" w:rsidR="00AF01B5" w:rsidRPr="002D0B41" w:rsidRDefault="00AF01B5" w:rsidP="004435C4">
            <w:pPr>
              <w:pStyle w:val="Compact"/>
            </w:pPr>
            <w:r w:rsidRPr="002D0B41">
              <w:t>Corrected P (CV)</w:t>
            </w:r>
          </w:p>
        </w:tc>
      </w:tr>
      <w:tr w:rsidR="00AF01B5" w:rsidRPr="002D0B41" w14:paraId="73B892D8" w14:textId="77777777" w:rsidTr="004435C4">
        <w:tc>
          <w:tcPr>
            <w:tcW w:w="0" w:type="auto"/>
          </w:tcPr>
          <w:p w14:paraId="3B2AAB17" w14:textId="77777777" w:rsidR="00AF01B5" w:rsidRPr="002D0B41" w:rsidRDefault="00AF01B5" w:rsidP="004435C4">
            <w:pPr>
              <w:pStyle w:val="Compact"/>
            </w:pPr>
            <w:r w:rsidRPr="002D0B41">
              <w:t>Albumin–bilirubin</w:t>
            </w:r>
          </w:p>
        </w:tc>
        <w:tc>
          <w:tcPr>
            <w:tcW w:w="0" w:type="auto"/>
          </w:tcPr>
          <w:p w14:paraId="6EF26EDD" w14:textId="77777777" w:rsidR="00AF01B5" w:rsidRPr="002D0B41" w:rsidRDefault="00AF01B5" w:rsidP="004435C4">
            <w:pPr>
              <w:pStyle w:val="Compact"/>
            </w:pPr>
            <w:r w:rsidRPr="002D0B41">
              <w:t>518 (163)</w:t>
            </w:r>
          </w:p>
        </w:tc>
        <w:tc>
          <w:tcPr>
            <w:tcW w:w="0" w:type="auto"/>
          </w:tcPr>
          <w:p w14:paraId="6594087F" w14:textId="77777777" w:rsidR="00AF01B5" w:rsidRPr="002D0B41" w:rsidRDefault="00AF01B5" w:rsidP="004435C4">
            <w:pPr>
              <w:pStyle w:val="Compact"/>
            </w:pPr>
            <w:r w:rsidRPr="002D0B41">
              <w:t>1.15 (0.97 to 1.36), P=0.12</w:t>
            </w:r>
          </w:p>
        </w:tc>
        <w:tc>
          <w:tcPr>
            <w:tcW w:w="0" w:type="auto"/>
          </w:tcPr>
          <w:p w14:paraId="7B16E5D9" w14:textId="77777777" w:rsidR="00AF01B5" w:rsidRPr="002D0B41" w:rsidRDefault="00AF01B5" w:rsidP="004435C4">
            <w:pPr>
              <w:pStyle w:val="Compact"/>
            </w:pPr>
            <w:r w:rsidRPr="002D0B41">
              <w:t>0.91 (0.76 to 1.09), P=0.33</w:t>
            </w:r>
          </w:p>
        </w:tc>
        <w:tc>
          <w:tcPr>
            <w:tcW w:w="0" w:type="auto"/>
          </w:tcPr>
          <w:p w14:paraId="387C9D62" w14:textId="77777777" w:rsidR="00AF01B5" w:rsidRPr="002D0B41" w:rsidRDefault="00AF01B5" w:rsidP="004435C4">
            <w:pPr>
              <w:pStyle w:val="Compact"/>
            </w:pPr>
            <w:r w:rsidRPr="002D0B41">
              <w:t>1.71 (1.50 to 1.94), P=3×10⁻¹⁶</w:t>
            </w:r>
          </w:p>
        </w:tc>
        <w:tc>
          <w:tcPr>
            <w:tcW w:w="0" w:type="auto"/>
          </w:tcPr>
          <w:p w14:paraId="1FAE93A4" w14:textId="77777777" w:rsidR="00AF01B5" w:rsidRPr="002D0B41" w:rsidRDefault="00AF01B5" w:rsidP="004435C4">
            <w:pPr>
              <w:pStyle w:val="Compact"/>
            </w:pPr>
            <w:r w:rsidRPr="002D0B41">
              <w:t>1.80 (1.52 to 2.12), P=3×10⁻¹²</w:t>
            </w:r>
          </w:p>
        </w:tc>
        <w:tc>
          <w:tcPr>
            <w:tcW w:w="0" w:type="auto"/>
          </w:tcPr>
          <w:p w14:paraId="0762C8A8" w14:textId="77777777" w:rsidR="00AF01B5" w:rsidRPr="002D0B41" w:rsidRDefault="00AF01B5" w:rsidP="004435C4">
            <w:pPr>
              <w:pStyle w:val="Compact"/>
            </w:pPr>
            <w:r w:rsidRPr="002D0B41">
              <w:t>0.36</w:t>
            </w:r>
          </w:p>
        </w:tc>
      </w:tr>
      <w:tr w:rsidR="00AF01B5" w:rsidRPr="002D0B41" w14:paraId="3D8C2E48" w14:textId="77777777" w:rsidTr="004435C4">
        <w:tc>
          <w:tcPr>
            <w:tcW w:w="0" w:type="auto"/>
          </w:tcPr>
          <w:p w14:paraId="0AE6630E" w14:textId="77777777" w:rsidR="00AF01B5" w:rsidRPr="002D0B41" w:rsidRDefault="00AF01B5" w:rsidP="004435C4">
            <w:pPr>
              <w:pStyle w:val="Compact"/>
            </w:pPr>
            <w:r w:rsidRPr="002D0B41">
              <w:t>CRP–WCC</w:t>
            </w:r>
          </w:p>
        </w:tc>
        <w:tc>
          <w:tcPr>
            <w:tcW w:w="0" w:type="auto"/>
          </w:tcPr>
          <w:p w14:paraId="4372C9DB" w14:textId="77777777" w:rsidR="00AF01B5" w:rsidRPr="002D0B41" w:rsidRDefault="00AF01B5" w:rsidP="004435C4">
            <w:pPr>
              <w:pStyle w:val="Compact"/>
            </w:pPr>
            <w:r w:rsidRPr="002D0B41">
              <w:t>578 (175)</w:t>
            </w:r>
          </w:p>
        </w:tc>
        <w:tc>
          <w:tcPr>
            <w:tcW w:w="0" w:type="auto"/>
          </w:tcPr>
          <w:p w14:paraId="25B6B21F" w14:textId="77777777" w:rsidR="00AF01B5" w:rsidRPr="002D0B41" w:rsidRDefault="00AF01B5" w:rsidP="004435C4">
            <w:pPr>
              <w:pStyle w:val="Compact"/>
            </w:pPr>
            <w:r w:rsidRPr="002D0B41">
              <w:rPr>
                <w:b/>
                <w:bCs/>
              </w:rPr>
              <w:t>1.21 (1.05 to 1.41), P=0.010</w:t>
            </w:r>
          </w:p>
        </w:tc>
        <w:tc>
          <w:tcPr>
            <w:tcW w:w="0" w:type="auto"/>
          </w:tcPr>
          <w:p w14:paraId="6CDC27C0" w14:textId="77777777" w:rsidR="00AF01B5" w:rsidRPr="002D0B41" w:rsidRDefault="00AF01B5" w:rsidP="004435C4">
            <w:pPr>
              <w:pStyle w:val="Compact"/>
            </w:pPr>
            <w:r w:rsidRPr="002D0B41">
              <w:t>1.09 (0.94 to 1.25), P=0.25</w:t>
            </w:r>
          </w:p>
        </w:tc>
        <w:tc>
          <w:tcPr>
            <w:tcW w:w="0" w:type="auto"/>
          </w:tcPr>
          <w:p w14:paraId="54EDDE72" w14:textId="77777777" w:rsidR="00AF01B5" w:rsidRPr="002D0B41" w:rsidRDefault="00AF01B5" w:rsidP="004435C4">
            <w:pPr>
              <w:pStyle w:val="Compact"/>
            </w:pPr>
            <w:r w:rsidRPr="002D0B41">
              <w:t>1.67 (1.47 to 1.90), P=3×10⁻¹⁵</w:t>
            </w:r>
          </w:p>
        </w:tc>
        <w:tc>
          <w:tcPr>
            <w:tcW w:w="0" w:type="auto"/>
          </w:tcPr>
          <w:p w14:paraId="447B9242" w14:textId="77777777" w:rsidR="00AF01B5" w:rsidRPr="002D0B41" w:rsidRDefault="00AF01B5" w:rsidP="004435C4">
            <w:pPr>
              <w:pStyle w:val="Compact"/>
            </w:pPr>
            <w:r w:rsidRPr="002D0B41">
              <w:t>1.74 (1.48 to 2.05), P=2×10⁻¹¹</w:t>
            </w:r>
          </w:p>
        </w:tc>
        <w:tc>
          <w:tcPr>
            <w:tcW w:w="0" w:type="auto"/>
          </w:tcPr>
          <w:p w14:paraId="53A6B575" w14:textId="77777777" w:rsidR="00AF01B5" w:rsidRPr="002D0B41" w:rsidRDefault="00AF01B5" w:rsidP="004435C4">
            <w:pPr>
              <w:pStyle w:val="Compact"/>
            </w:pPr>
            <w:r w:rsidRPr="002D0B41">
              <w:rPr>
                <w:b/>
                <w:bCs/>
              </w:rPr>
              <w:t>0.030</w:t>
            </w:r>
          </w:p>
        </w:tc>
      </w:tr>
      <w:tr w:rsidR="00AF01B5" w:rsidRPr="002D0B41" w14:paraId="37924D40" w14:textId="77777777" w:rsidTr="004435C4">
        <w:tc>
          <w:tcPr>
            <w:tcW w:w="0" w:type="auto"/>
          </w:tcPr>
          <w:p w14:paraId="45D865C2" w14:textId="77777777" w:rsidR="00AF01B5" w:rsidRPr="002D0B41" w:rsidRDefault="00AF01B5" w:rsidP="004435C4">
            <w:pPr>
              <w:pStyle w:val="Compact"/>
            </w:pPr>
            <w:r w:rsidRPr="002D0B41">
              <w:t>WCC–bilirubin</w:t>
            </w:r>
          </w:p>
        </w:tc>
        <w:tc>
          <w:tcPr>
            <w:tcW w:w="0" w:type="auto"/>
          </w:tcPr>
          <w:p w14:paraId="19C4A902" w14:textId="77777777" w:rsidR="00AF01B5" w:rsidRPr="002D0B41" w:rsidRDefault="00AF01B5" w:rsidP="004435C4">
            <w:pPr>
              <w:pStyle w:val="Compact"/>
            </w:pPr>
            <w:r w:rsidRPr="002D0B41">
              <w:t>653 (195)</w:t>
            </w:r>
          </w:p>
        </w:tc>
        <w:tc>
          <w:tcPr>
            <w:tcW w:w="0" w:type="auto"/>
          </w:tcPr>
          <w:p w14:paraId="289469ED" w14:textId="77777777" w:rsidR="00AF01B5" w:rsidRPr="002D0B41" w:rsidRDefault="00AF01B5" w:rsidP="004435C4">
            <w:pPr>
              <w:pStyle w:val="Compact"/>
            </w:pPr>
            <w:r w:rsidRPr="002D0B41">
              <w:t>1.18 (1.03 to 1.35), P=0.019</w:t>
            </w:r>
          </w:p>
        </w:tc>
        <w:tc>
          <w:tcPr>
            <w:tcW w:w="0" w:type="auto"/>
          </w:tcPr>
          <w:p w14:paraId="60B0656A" w14:textId="77777777" w:rsidR="00AF01B5" w:rsidRPr="002D0B41" w:rsidRDefault="00AF01B5" w:rsidP="004435C4">
            <w:pPr>
              <w:pStyle w:val="Compact"/>
            </w:pPr>
            <w:r w:rsidRPr="002D0B41">
              <w:t>1.11 (0.97 to 1.26), P=0.14</w:t>
            </w:r>
          </w:p>
        </w:tc>
        <w:tc>
          <w:tcPr>
            <w:tcW w:w="0" w:type="auto"/>
          </w:tcPr>
          <w:p w14:paraId="6A2F75D0" w14:textId="77777777" w:rsidR="00AF01B5" w:rsidRPr="002D0B41" w:rsidRDefault="00AF01B5" w:rsidP="004435C4">
            <w:pPr>
              <w:pStyle w:val="Compact"/>
            </w:pPr>
            <w:r w:rsidRPr="002D0B41">
              <w:t>1.64 (1.46 to 1.86), P=1×10⁻¹⁵</w:t>
            </w:r>
          </w:p>
        </w:tc>
        <w:tc>
          <w:tcPr>
            <w:tcW w:w="0" w:type="auto"/>
          </w:tcPr>
          <w:p w14:paraId="39C79264" w14:textId="77777777" w:rsidR="00AF01B5" w:rsidRPr="002D0B41" w:rsidRDefault="00AF01B5" w:rsidP="004435C4">
            <w:pPr>
              <w:pStyle w:val="Compact"/>
            </w:pPr>
            <w:r w:rsidRPr="002D0B41">
              <w:t>1.72 (1.48 to 2.01), P=4×10⁻¹²</w:t>
            </w:r>
          </w:p>
        </w:tc>
        <w:tc>
          <w:tcPr>
            <w:tcW w:w="0" w:type="auto"/>
          </w:tcPr>
          <w:p w14:paraId="3847DA66" w14:textId="77777777" w:rsidR="00AF01B5" w:rsidRPr="002D0B41" w:rsidRDefault="00AF01B5" w:rsidP="004435C4">
            <w:pPr>
              <w:pStyle w:val="Compact"/>
            </w:pPr>
            <w:r w:rsidRPr="002D0B41">
              <w:t>0.056</w:t>
            </w:r>
          </w:p>
        </w:tc>
      </w:tr>
    </w:tbl>
    <w:p w14:paraId="6558B902" w14:textId="77777777" w:rsidR="00AF01B5" w:rsidRPr="00AF01B5" w:rsidRDefault="00AF01B5" w:rsidP="00AF01B5">
      <w:pPr>
        <w:pStyle w:val="Heading2"/>
        <w:rPr>
          <w:sz w:val="24"/>
          <w:szCs w:val="24"/>
        </w:rPr>
      </w:pPr>
      <w:r w:rsidRPr="00AF01B5">
        <w:rPr>
          <w:b/>
          <w:bCs/>
          <w:sz w:val="24"/>
          <w:szCs w:val="24"/>
        </w:rPr>
        <w:lastRenderedPageBreak/>
        <w:t xml:space="preserve">Supplementary Figure S1. </w:t>
      </w:r>
      <w:r w:rsidRPr="00AF01B5">
        <w:rPr>
          <w:sz w:val="24"/>
          <w:szCs w:val="24"/>
        </w:rPr>
        <w:t xml:space="preserve">Parenclitic deviation over the treatment period by treatment arm, one panel per connection. Points are the mean parenclitic deviation δ on each treatment day in the targeted albumin arm (orange, solid) and the standard care arm (teal, dashed); error bars are ± 1 standard error of that day's mean. Days on which fewer than 10 patients contributed a measurement are omitted. </w:t>
      </w:r>
    </w:p>
    <w:p w14:paraId="02AA740F" w14:textId="77777777" w:rsidR="00AF01B5" w:rsidRDefault="00AF01B5" w:rsidP="00AF01B5">
      <w:pPr>
        <w:pStyle w:val="BodyText"/>
      </w:pPr>
    </w:p>
    <w:p w14:paraId="555B6AC4" w14:textId="77777777" w:rsidR="00AF01B5" w:rsidRDefault="00AF01B5" w:rsidP="00AF01B5">
      <w:pPr>
        <w:pStyle w:val="BodyText"/>
      </w:pPr>
    </w:p>
    <w:p w14:paraId="58E5C402" w14:textId="6ABC2BA3" w:rsidR="00AF01B5" w:rsidRDefault="00AF01B5" w:rsidP="00AF01B5">
      <w:pPr>
        <w:pStyle w:val="BodyText"/>
      </w:pPr>
      <w:r w:rsidRPr="00910626">
        <w:rPr>
          <w:noProof/>
        </w:rPr>
        <w:drawing>
          <wp:inline distT="0" distB="0" distL="0" distR="0" wp14:anchorId="4FE30633" wp14:editId="42F2E1E0">
            <wp:extent cx="5731510" cy="1674140"/>
            <wp:effectExtent l="0" t="0" r="2540" b="2540"/>
            <wp:docPr id="2147070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070752" name=""/>
                    <pic:cNvPicPr/>
                  </pic:nvPicPr>
                  <pic:blipFill>
                    <a:blip r:embed="rId5"/>
                    <a:stretch>
                      <a:fillRect/>
                    </a:stretch>
                  </pic:blipFill>
                  <pic:spPr>
                    <a:xfrm>
                      <a:off x="0" y="0"/>
                      <a:ext cx="5731510" cy="1674140"/>
                    </a:xfrm>
                    <a:prstGeom prst="rect">
                      <a:avLst/>
                    </a:prstGeom>
                  </pic:spPr>
                </pic:pic>
              </a:graphicData>
            </a:graphic>
          </wp:inline>
        </w:drawing>
      </w:r>
    </w:p>
    <w:p w14:paraId="0DCD7129" w14:textId="77777777" w:rsidR="00AF01B5" w:rsidRDefault="00AF01B5" w:rsidP="00AF01B5">
      <w:pPr>
        <w:pStyle w:val="BodyText"/>
      </w:pPr>
    </w:p>
    <w:p w14:paraId="060BF18A" w14:textId="77777777" w:rsidR="00AF01B5" w:rsidRPr="00AF01B5" w:rsidRDefault="00AF01B5" w:rsidP="00AF01B5">
      <w:pPr>
        <w:pStyle w:val="Heading2"/>
        <w:rPr>
          <w:sz w:val="24"/>
          <w:szCs w:val="24"/>
        </w:rPr>
      </w:pPr>
      <w:r w:rsidRPr="00AF01B5">
        <w:rPr>
          <w:b/>
          <w:bCs/>
          <w:sz w:val="24"/>
          <w:szCs w:val="24"/>
        </w:rPr>
        <w:t>Supplementary Figure S2.</w:t>
      </w:r>
      <w:r w:rsidRPr="00AF01B5">
        <w:rPr>
          <w:sz w:val="24"/>
          <w:szCs w:val="24"/>
        </w:rPr>
        <w:t xml:space="preserve"> Survival to 180 days by day-to-day variation in parenclitic deviation, one panel per connection. Patients are split at the median coefficient of variation (CV) of parenclitic deviation (δ) over treatment days 1–7 for that connection, into those below (navy, solid) and above (red, dashed) the median. Follow-up is counted from treatment day 7, the landmark: patients who died on or before day 7 were excluded, so that the exposure is fixed before follow-up begins. Curves are Kaplan–Meier estimates and P values are from the log-rank test, unadjusted. The adjusted estimates, accounting for the mean parenclitic deviation on the same connection, Model for End-Stage Liver Disease (MELD) and age, are given in Supplementary Table S1.</w:t>
      </w:r>
    </w:p>
    <w:p w14:paraId="603314D3" w14:textId="48309518" w:rsidR="00AF01B5" w:rsidRPr="002D0B41" w:rsidRDefault="00AF01B5" w:rsidP="00AF01B5">
      <w:pPr>
        <w:pStyle w:val="BodyText"/>
      </w:pPr>
    </w:p>
    <w:p w14:paraId="41FE0805" w14:textId="77777777" w:rsidR="00AF01B5" w:rsidRPr="002D0B41" w:rsidRDefault="00AF01B5" w:rsidP="00AF01B5">
      <w:pPr>
        <w:pStyle w:val="BodyText"/>
        <w:rPr>
          <w:i/>
          <w:iCs/>
        </w:rPr>
      </w:pPr>
      <w:r w:rsidRPr="00910626">
        <w:rPr>
          <w:noProof/>
        </w:rPr>
        <w:drawing>
          <wp:inline distT="0" distB="0" distL="0" distR="0" wp14:anchorId="552F1759" wp14:editId="0A9F8448">
            <wp:extent cx="5943600" cy="1899920"/>
            <wp:effectExtent l="0" t="0" r="0" b="5080"/>
            <wp:docPr id="4343279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1899920"/>
                    </a:xfrm>
                    <a:prstGeom prst="rect">
                      <a:avLst/>
                    </a:prstGeom>
                    <a:noFill/>
                    <a:ln>
                      <a:noFill/>
                    </a:ln>
                  </pic:spPr>
                </pic:pic>
              </a:graphicData>
            </a:graphic>
          </wp:inline>
        </w:drawing>
      </w:r>
    </w:p>
    <w:p w14:paraId="310D1EB3" w14:textId="77777777" w:rsidR="003235FC" w:rsidRDefault="003235FC"/>
    <w:sectPr w:rsidR="003235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1B5"/>
    <w:rsid w:val="000B6214"/>
    <w:rsid w:val="000D5A5D"/>
    <w:rsid w:val="003235FC"/>
    <w:rsid w:val="00A563F1"/>
    <w:rsid w:val="00AF01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ABDB7"/>
  <w15:chartTrackingRefBased/>
  <w15:docId w15:val="{EA78B272-027B-4D8B-B521-6F1667E64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1B5"/>
    <w:pPr>
      <w:spacing w:after="200" w:line="240" w:lineRule="auto"/>
    </w:pPr>
    <w:rPr>
      <w:kern w:val="0"/>
      <w14:ligatures w14:val="none"/>
    </w:rPr>
  </w:style>
  <w:style w:type="paragraph" w:styleId="Heading1">
    <w:name w:val="heading 1"/>
    <w:basedOn w:val="Normal"/>
    <w:next w:val="Normal"/>
    <w:link w:val="Heading1Char"/>
    <w:uiPriority w:val="9"/>
    <w:qFormat/>
    <w:rsid w:val="00AF01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F01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1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1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1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1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1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1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1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1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01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1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1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1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1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1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1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1B5"/>
    <w:rPr>
      <w:rFonts w:eastAsiaTheme="majorEastAsia" w:cstheme="majorBidi"/>
      <w:color w:val="272727" w:themeColor="text1" w:themeTint="D8"/>
    </w:rPr>
  </w:style>
  <w:style w:type="paragraph" w:styleId="Title">
    <w:name w:val="Title"/>
    <w:basedOn w:val="Normal"/>
    <w:next w:val="Normal"/>
    <w:link w:val="TitleChar"/>
    <w:uiPriority w:val="10"/>
    <w:qFormat/>
    <w:rsid w:val="00AF01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1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1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1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1B5"/>
    <w:pPr>
      <w:spacing w:before="160"/>
      <w:jc w:val="center"/>
    </w:pPr>
    <w:rPr>
      <w:i/>
      <w:iCs/>
      <w:color w:val="404040" w:themeColor="text1" w:themeTint="BF"/>
    </w:rPr>
  </w:style>
  <w:style w:type="character" w:customStyle="1" w:styleId="QuoteChar">
    <w:name w:val="Quote Char"/>
    <w:basedOn w:val="DefaultParagraphFont"/>
    <w:link w:val="Quote"/>
    <w:uiPriority w:val="29"/>
    <w:rsid w:val="00AF01B5"/>
    <w:rPr>
      <w:i/>
      <w:iCs/>
      <w:color w:val="404040" w:themeColor="text1" w:themeTint="BF"/>
    </w:rPr>
  </w:style>
  <w:style w:type="paragraph" w:styleId="ListParagraph">
    <w:name w:val="List Paragraph"/>
    <w:basedOn w:val="Normal"/>
    <w:uiPriority w:val="34"/>
    <w:qFormat/>
    <w:rsid w:val="00AF01B5"/>
    <w:pPr>
      <w:ind w:left="720"/>
      <w:contextualSpacing/>
    </w:pPr>
  </w:style>
  <w:style w:type="character" w:styleId="IntenseEmphasis">
    <w:name w:val="Intense Emphasis"/>
    <w:basedOn w:val="DefaultParagraphFont"/>
    <w:uiPriority w:val="21"/>
    <w:qFormat/>
    <w:rsid w:val="00AF01B5"/>
    <w:rPr>
      <w:i/>
      <w:iCs/>
      <w:color w:val="0F4761" w:themeColor="accent1" w:themeShade="BF"/>
    </w:rPr>
  </w:style>
  <w:style w:type="paragraph" w:styleId="IntenseQuote">
    <w:name w:val="Intense Quote"/>
    <w:basedOn w:val="Normal"/>
    <w:next w:val="Normal"/>
    <w:link w:val="IntenseQuoteChar"/>
    <w:uiPriority w:val="30"/>
    <w:qFormat/>
    <w:rsid w:val="00AF01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1B5"/>
    <w:rPr>
      <w:i/>
      <w:iCs/>
      <w:color w:val="0F4761" w:themeColor="accent1" w:themeShade="BF"/>
    </w:rPr>
  </w:style>
  <w:style w:type="character" w:styleId="IntenseReference">
    <w:name w:val="Intense Reference"/>
    <w:basedOn w:val="DefaultParagraphFont"/>
    <w:uiPriority w:val="32"/>
    <w:qFormat/>
    <w:rsid w:val="00AF01B5"/>
    <w:rPr>
      <w:b/>
      <w:bCs/>
      <w:smallCaps/>
      <w:color w:val="0F4761" w:themeColor="accent1" w:themeShade="BF"/>
      <w:spacing w:val="5"/>
    </w:rPr>
  </w:style>
  <w:style w:type="paragraph" w:styleId="BodyText">
    <w:name w:val="Body Text"/>
    <w:basedOn w:val="Normal"/>
    <w:link w:val="BodyTextChar"/>
    <w:qFormat/>
    <w:rsid w:val="00AF01B5"/>
    <w:pPr>
      <w:spacing w:before="180" w:after="180"/>
    </w:pPr>
  </w:style>
  <w:style w:type="character" w:customStyle="1" w:styleId="BodyTextChar">
    <w:name w:val="Body Text Char"/>
    <w:basedOn w:val="DefaultParagraphFont"/>
    <w:link w:val="BodyText"/>
    <w:rsid w:val="00AF01B5"/>
    <w:rPr>
      <w:kern w:val="0"/>
      <w14:ligatures w14:val="none"/>
    </w:rPr>
  </w:style>
  <w:style w:type="paragraph" w:customStyle="1" w:styleId="Compact">
    <w:name w:val="Compact"/>
    <w:basedOn w:val="BodyText"/>
    <w:qFormat/>
    <w:rsid w:val="00AF01B5"/>
    <w:pPr>
      <w:spacing w:before="36" w:after="36"/>
    </w:pPr>
  </w:style>
  <w:style w:type="table" w:customStyle="1" w:styleId="Table">
    <w:name w:val="Table"/>
    <w:semiHidden/>
    <w:unhideWhenUsed/>
    <w:qFormat/>
    <w:rsid w:val="00AF01B5"/>
    <w:pPr>
      <w:spacing w:after="200" w:line="240" w:lineRule="auto"/>
    </w:pPr>
    <w:rPr>
      <w:kern w:val="0"/>
      <w:lang w:val="en-US"/>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2958F-98F6-4049-8106-5A10D197A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467</Words>
  <Characters>2668</Characters>
  <Application>Microsoft Office Word</Application>
  <DocSecurity>0</DocSecurity>
  <Lines>22</Lines>
  <Paragraphs>6</Paragraphs>
  <ScaleCrop>false</ScaleCrop>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Mani</dc:creator>
  <cp:keywords/>
  <dc:description/>
  <cp:lastModifiedBy>Alireza Mani</cp:lastModifiedBy>
  <cp:revision>1</cp:revision>
  <dcterms:created xsi:type="dcterms:W3CDTF">2026-09-30T09:39:00Z</dcterms:created>
  <dcterms:modified xsi:type="dcterms:W3CDTF">2026-09-30T09:44:00Z</dcterms:modified>
</cp:coreProperties>
</file>