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332F" w14:textId="77777777" w:rsidR="00B02C85" w:rsidRPr="003453EE" w:rsidRDefault="00B02C85" w:rsidP="00B02C85">
      <w:pPr>
        <w:rPr>
          <w:rFonts w:asciiTheme="majorBidi" w:hAnsiTheme="majorBidi" w:cstheme="majorBidi"/>
          <w:sz w:val="24"/>
          <w:szCs w:val="24"/>
        </w:rPr>
      </w:pPr>
    </w:p>
    <w:p w14:paraId="1DCD7415" w14:textId="77777777" w:rsidR="00B02C85" w:rsidRPr="009F1020" w:rsidRDefault="00B02C85" w:rsidP="00B02C85">
      <w:pPr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9F1020">
        <w:rPr>
          <w:rFonts w:asciiTheme="majorBidi" w:eastAsia="Times New Roman" w:hAnsiTheme="majorBidi" w:cstheme="majorBidi"/>
          <w:b/>
          <w:bCs/>
          <w:color w:val="4F4F4F"/>
          <w:sz w:val="21"/>
          <w:szCs w:val="21"/>
        </w:rPr>
        <w:t>Supplementary Description</w:t>
      </w:r>
    </w:p>
    <w:p w14:paraId="6DEB1395" w14:textId="77777777" w:rsidR="00B02C85" w:rsidRPr="009F1020" w:rsidRDefault="00B02C85" w:rsidP="00B02C85">
      <w:pPr>
        <w:spacing w:after="200" w:line="276" w:lineRule="auto"/>
        <w:rPr>
          <w:rFonts w:asciiTheme="majorBidi" w:hAnsiTheme="majorBidi" w:cstheme="majorBidi"/>
          <w:b/>
          <w:bCs/>
          <w:i/>
          <w:iCs/>
        </w:rPr>
      </w:pPr>
    </w:p>
    <w:p w14:paraId="6E5B1FAE" w14:textId="77777777" w:rsidR="00B02C85" w:rsidRPr="009F1020" w:rsidRDefault="00B02C85" w:rsidP="00B02C85">
      <w:pPr>
        <w:spacing w:after="200" w:line="276" w:lineRule="auto"/>
      </w:pPr>
      <w:r w:rsidRPr="009F1020">
        <w:rPr>
          <w:rFonts w:asciiTheme="majorBidi" w:hAnsiTheme="majorBidi" w:cstheme="majorBidi"/>
          <w:b/>
          <w:bCs/>
          <w:i/>
          <w:iCs/>
        </w:rPr>
        <w:t>Supplementary Figure1.</w:t>
      </w:r>
      <w:r w:rsidRPr="009F1020">
        <w:rPr>
          <w:rFonts w:asciiTheme="majorBidi" w:hAnsiTheme="majorBidi" w:cstheme="majorBidi"/>
          <w:i/>
          <w:iCs/>
        </w:rPr>
        <w:t xml:space="preserve"> </w:t>
      </w:r>
      <w:r w:rsidRPr="009F1020">
        <w:rPr>
          <w:rFonts w:asciiTheme="majorBidi" w:hAnsiTheme="majorBidi" w:cstheme="majorBidi"/>
          <w:sz w:val="24"/>
          <w:szCs w:val="24"/>
        </w:rPr>
        <w:t>Flow cytometry analysis of cell apoptosis. A375 (</w:t>
      </w:r>
      <w:r w:rsidRPr="009F1020"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9F1020">
        <w:rPr>
          <w:rFonts w:asciiTheme="majorBidi" w:hAnsiTheme="majorBidi" w:cstheme="majorBidi"/>
          <w:sz w:val="24"/>
          <w:szCs w:val="24"/>
        </w:rPr>
        <w:t>) and MeWo (</w:t>
      </w:r>
      <w:r w:rsidRPr="009F1020">
        <w:rPr>
          <w:rFonts w:asciiTheme="majorBidi" w:hAnsiTheme="majorBidi" w:cstheme="majorBidi"/>
          <w:b/>
          <w:bCs/>
          <w:sz w:val="24"/>
          <w:szCs w:val="24"/>
        </w:rPr>
        <w:t>B</w:t>
      </w:r>
      <w:r w:rsidRPr="009F1020">
        <w:rPr>
          <w:rFonts w:asciiTheme="majorBidi" w:hAnsiTheme="majorBidi" w:cstheme="majorBidi"/>
          <w:sz w:val="24"/>
          <w:szCs w:val="24"/>
        </w:rPr>
        <w:t>) cells were treated with DMSO (0.2%) as a negative control and G-1 (1µM) as a positive control, cirsimaritin at the indicated concentrations. After 48 hrs., treated cells were stained with Annexin V/PI and cell apoptosis was determined using flow cytometry. Representative flow cytometry plots are shown (</w:t>
      </w:r>
      <w:r w:rsidRPr="009F1020">
        <w:rPr>
          <w:rFonts w:asciiTheme="majorBidi" w:hAnsiTheme="majorBidi" w:cstheme="majorBidi"/>
          <w:i/>
          <w:iCs/>
          <w:sz w:val="24"/>
          <w:szCs w:val="24"/>
        </w:rPr>
        <w:t>left panels</w:t>
      </w:r>
      <w:r w:rsidRPr="009F1020">
        <w:rPr>
          <w:rFonts w:asciiTheme="majorBidi" w:hAnsiTheme="majorBidi" w:cstheme="majorBidi"/>
          <w:sz w:val="24"/>
          <w:szCs w:val="24"/>
        </w:rPr>
        <w:t>). Data were analyzed using FlowJo software (</w:t>
      </w:r>
      <w:r w:rsidRPr="009F1020">
        <w:rPr>
          <w:rFonts w:asciiTheme="majorBidi" w:hAnsiTheme="majorBidi" w:cstheme="majorBidi"/>
          <w:i/>
          <w:iCs/>
          <w:sz w:val="24"/>
          <w:szCs w:val="24"/>
        </w:rPr>
        <w:t>right panels</w:t>
      </w:r>
      <w:r w:rsidRPr="009F1020">
        <w:rPr>
          <w:rFonts w:asciiTheme="majorBidi" w:hAnsiTheme="majorBidi" w:cstheme="majorBidi"/>
          <w:sz w:val="24"/>
          <w:szCs w:val="24"/>
        </w:rPr>
        <w:t xml:space="preserve">). Results are presented as the means ± SD of three independent experiments. Statistical significance was determined using 2-way ANOVA followed by Dunnett's multiple comparisons test. *p &lt; 0.05, **p &lt; 0.01, ****p &lt; 0.0001 compared to DMSO; </w:t>
      </w:r>
      <w:r w:rsidRPr="009F1020">
        <w:rPr>
          <w:rFonts w:ascii="Arial Rounded MT Bold" w:hAnsi="Arial Rounded MT Bold" w:cstheme="majorBidi"/>
          <w:sz w:val="24"/>
          <w:szCs w:val="24"/>
        </w:rPr>
        <w:t>†††</w:t>
      </w:r>
      <w:r w:rsidRPr="009F1020">
        <w:rPr>
          <w:rFonts w:asciiTheme="majorBidi" w:hAnsiTheme="majorBidi" w:cstheme="majorBidi"/>
          <w:sz w:val="24"/>
          <w:szCs w:val="24"/>
        </w:rPr>
        <w:t xml:space="preserve">p &lt;0.001, </w:t>
      </w:r>
      <w:r w:rsidRPr="009F1020">
        <w:rPr>
          <w:rFonts w:ascii="Arial Rounded MT Bold" w:hAnsi="Arial Rounded MT Bold" w:cstheme="majorBidi"/>
          <w:sz w:val="24"/>
          <w:szCs w:val="24"/>
        </w:rPr>
        <w:t>††††</w:t>
      </w:r>
      <w:r w:rsidRPr="009F1020">
        <w:rPr>
          <w:rFonts w:asciiTheme="majorBidi" w:hAnsiTheme="majorBidi" w:cstheme="majorBidi"/>
          <w:sz w:val="24"/>
          <w:szCs w:val="24"/>
        </w:rPr>
        <w:t xml:space="preserve"> p &lt;0.0001 compared to G-1.</w:t>
      </w:r>
    </w:p>
    <w:p w14:paraId="38DB4D6C" w14:textId="77777777" w:rsidR="00B02C85" w:rsidRPr="009F1020" w:rsidRDefault="00B02C85" w:rsidP="00B02C85">
      <w:p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9F1020">
        <w:rPr>
          <w:rFonts w:asciiTheme="majorBidi" w:hAnsiTheme="majorBidi" w:cstheme="majorBidi"/>
          <w:b/>
          <w:bCs/>
          <w:i/>
          <w:iCs/>
        </w:rPr>
        <w:t>Supplementary Figure2</w:t>
      </w:r>
      <w:r w:rsidRPr="009F1020">
        <w:rPr>
          <w:rFonts w:asciiTheme="majorBidi" w:hAnsiTheme="majorBidi" w:cstheme="majorBidi"/>
          <w:b/>
          <w:bCs/>
        </w:rPr>
        <w:t>.</w:t>
      </w:r>
      <w:r w:rsidRPr="009F102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Cell cycle distribution of cultured A375 (</w:t>
      </w:r>
      <w:r w:rsidRPr="009F1020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</w:rPr>
        <w:t>A</w:t>
      </w:r>
      <w:r w:rsidRPr="009F102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) and MeWo (</w:t>
      </w:r>
      <w:r w:rsidRPr="009F1020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</w:rPr>
        <w:t>B</w:t>
      </w:r>
      <w:r w:rsidRPr="009F102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) cell line. Cells were treated with the indicated concentrations of cirsimaritin, 1µM of G-1 as a positive control, and 0.2% DMSO as a negative control. After 48 hrs. cells were fixed, stained with PI, and analyzed by flow cytometry (</w:t>
      </w:r>
      <w:r w:rsidRPr="009F1020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</w:rPr>
        <w:t>right panels</w:t>
      </w:r>
      <w:r w:rsidRPr="009F102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). The percentage of cells in G1, S and G2/M phases for each treatment was calculated and analyzed (</w:t>
      </w:r>
      <w:r w:rsidRPr="009F1020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</w:rPr>
        <w:t>left panels</w:t>
      </w:r>
      <w:r w:rsidRPr="009F102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). Data are presented as the means ± SD of three independent experiments. Statistical significance was determined using 2-way ANOVA followed by Dunnett's multiple comparisons test. *p &lt; 0.05, **P &lt; 0.01****p &lt; 0.0001 compared to DMSO; </w:t>
      </w:r>
      <w:r w:rsidRPr="009F1020">
        <w:rPr>
          <w:rFonts w:ascii="Arial Rounded MT Bold" w:eastAsia="Times New Roman" w:hAnsi="Arial Rounded MT Bold" w:cstheme="majorBidi"/>
          <w:color w:val="0D0D0D" w:themeColor="text1" w:themeTint="F2"/>
          <w:sz w:val="24"/>
          <w:szCs w:val="24"/>
        </w:rPr>
        <w:t>††</w:t>
      </w:r>
      <w:r w:rsidRPr="009F102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p &lt;0.01, </w:t>
      </w:r>
      <w:r w:rsidRPr="009F1020">
        <w:rPr>
          <w:rFonts w:ascii="Arial Rounded MT Bold" w:eastAsia="Times New Roman" w:hAnsi="Arial Rounded MT Bold" w:cstheme="majorBidi"/>
          <w:color w:val="0D0D0D" w:themeColor="text1" w:themeTint="F2"/>
          <w:sz w:val="24"/>
          <w:szCs w:val="24"/>
        </w:rPr>
        <w:t>††††</w:t>
      </w:r>
      <w:r w:rsidRPr="009F102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p &lt;0.0001 compared to G-1.</w:t>
      </w:r>
    </w:p>
    <w:p w14:paraId="503601C6" w14:textId="77777777" w:rsidR="00B02C85" w:rsidRPr="009F1020" w:rsidRDefault="00B02C85" w:rsidP="00B02C85">
      <w:pPr>
        <w:spacing w:before="100" w:beforeAutospacing="1" w:after="100" w:afterAutospacing="1" w:line="240" w:lineRule="auto"/>
        <w:jc w:val="both"/>
        <w:rPr>
          <w:rFonts w:asciiTheme="majorBidi" w:hAnsiTheme="majorBidi" w:cstheme="majorBidi"/>
        </w:rPr>
      </w:pPr>
      <w:r w:rsidRPr="009F1020">
        <w:rPr>
          <w:rFonts w:asciiTheme="majorBidi" w:hAnsiTheme="majorBidi" w:cstheme="majorBidi"/>
          <w:b/>
          <w:bCs/>
          <w:i/>
          <w:iCs/>
        </w:rPr>
        <w:t>Supplementary Figure3</w:t>
      </w:r>
      <w:r w:rsidRPr="009F1020">
        <w:rPr>
          <w:rFonts w:asciiTheme="majorBidi" w:hAnsiTheme="majorBidi" w:cstheme="majorBidi"/>
        </w:rPr>
        <w:t>. Effect of cirsimaritin, G-1 (positive control), and 0.2% DMSO (negative control) on the protein expression of T-AKT, P-Akt/T-Akt, T-ERK, and P-ERK/T-ERK in A375 (</w:t>
      </w:r>
      <w:r w:rsidRPr="009F1020">
        <w:rPr>
          <w:rFonts w:asciiTheme="majorBidi" w:hAnsiTheme="majorBidi" w:cstheme="majorBidi"/>
          <w:b/>
          <w:bCs/>
        </w:rPr>
        <w:t>A</w:t>
      </w:r>
      <w:r w:rsidRPr="009F1020">
        <w:rPr>
          <w:rFonts w:asciiTheme="majorBidi" w:hAnsiTheme="majorBidi" w:cstheme="majorBidi"/>
        </w:rPr>
        <w:t>) and MeWo (</w:t>
      </w:r>
      <w:r w:rsidRPr="009F1020">
        <w:rPr>
          <w:rFonts w:asciiTheme="majorBidi" w:hAnsiTheme="majorBidi" w:cstheme="majorBidi"/>
          <w:b/>
          <w:bCs/>
        </w:rPr>
        <w:t>B</w:t>
      </w:r>
      <w:r w:rsidRPr="009F1020">
        <w:rPr>
          <w:rFonts w:asciiTheme="majorBidi" w:hAnsiTheme="majorBidi" w:cstheme="majorBidi"/>
        </w:rPr>
        <w:t>) melanoma</w:t>
      </w:r>
      <w:r w:rsidRPr="009F1020">
        <w:rPr>
          <w:rFonts w:asciiTheme="majorBidi" w:hAnsiTheme="majorBidi" w:cstheme="majorBidi"/>
          <w:b/>
          <w:bCs/>
        </w:rPr>
        <w:t xml:space="preserve"> </w:t>
      </w:r>
      <w:r w:rsidRPr="009F1020">
        <w:rPr>
          <w:rFonts w:asciiTheme="majorBidi" w:hAnsiTheme="majorBidi" w:cstheme="majorBidi"/>
        </w:rPr>
        <w:t xml:space="preserve">cells, assessed by Western blotting. Statistical significance was determined using one-way ANOVA followed by Dunnett’s multiple comparisons test (*p &lt; 0.05, **p &lt; 0.01, ***p &lt; 0.001, ****p &lt; 0.0001 compared to DMSO; </w:t>
      </w:r>
      <w:r w:rsidRPr="009F1020">
        <w:rPr>
          <w:rFonts w:ascii="Arial Rounded MT Bold" w:hAnsi="Arial Rounded MT Bold" w:cstheme="majorBidi"/>
        </w:rPr>
        <w:t>†</w:t>
      </w:r>
      <w:r w:rsidRPr="009F1020">
        <w:rPr>
          <w:rFonts w:asciiTheme="majorBidi" w:hAnsiTheme="majorBidi" w:cstheme="majorBidi"/>
        </w:rPr>
        <w:t xml:space="preserve">p &lt; 0.05, </w:t>
      </w:r>
      <w:r w:rsidRPr="009F1020">
        <w:rPr>
          <w:rFonts w:ascii="Arial Rounded MT Bold" w:hAnsi="Arial Rounded MT Bold" w:cstheme="majorBidi"/>
        </w:rPr>
        <w:t>††</w:t>
      </w:r>
      <w:r w:rsidRPr="009F1020">
        <w:rPr>
          <w:rFonts w:asciiTheme="majorBidi" w:hAnsiTheme="majorBidi" w:cstheme="majorBidi"/>
        </w:rPr>
        <w:t xml:space="preserve">p &lt; 0.01, </w:t>
      </w:r>
      <w:r w:rsidRPr="009F1020">
        <w:rPr>
          <w:rFonts w:ascii="Arial Rounded MT Bold" w:hAnsi="Arial Rounded MT Bold" w:cstheme="majorBidi"/>
        </w:rPr>
        <w:t>†††</w:t>
      </w:r>
      <w:r w:rsidRPr="009F1020">
        <w:rPr>
          <w:rFonts w:asciiTheme="majorBidi" w:hAnsiTheme="majorBidi" w:cstheme="majorBidi"/>
        </w:rPr>
        <w:t xml:space="preserve">p &lt; 0.001, </w:t>
      </w:r>
      <w:r w:rsidRPr="009F1020">
        <w:rPr>
          <w:rFonts w:ascii="Arial Rounded MT Bold" w:hAnsi="Arial Rounded MT Bold" w:cstheme="majorBidi"/>
        </w:rPr>
        <w:t>††††</w:t>
      </w:r>
      <w:r w:rsidRPr="009F1020">
        <w:rPr>
          <w:rFonts w:asciiTheme="majorBidi" w:hAnsiTheme="majorBidi" w:cstheme="majorBidi"/>
        </w:rPr>
        <w:t xml:space="preserve">p &lt; 0.0001 compared to G-1). In the presence of 3 µM of the antagonist G15, the relative protein expressions were significantly reversed, with the following levels of significance: ■p &lt; 0.05, ■■p &lt; 0.01, ■■■p &lt; 0.001, ■■■■p &lt; 0.0001 compared to the same concentration and ligand in the absence of G15. </w:t>
      </w:r>
    </w:p>
    <w:p w14:paraId="42EEE517" w14:textId="77777777" w:rsidR="00B02C85" w:rsidRPr="009F1020" w:rsidRDefault="00B02C85" w:rsidP="00B02C85">
      <w:pPr>
        <w:spacing w:after="200" w:line="276" w:lineRule="auto"/>
      </w:pPr>
    </w:p>
    <w:p w14:paraId="61D78D3A" w14:textId="77777777" w:rsidR="00B02C85" w:rsidRPr="009F1020" w:rsidRDefault="00B02C85" w:rsidP="00B02C85">
      <w:pPr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</w:p>
    <w:p w14:paraId="2551DD2A" w14:textId="77777777" w:rsidR="00B02C85" w:rsidRPr="009F1020" w:rsidRDefault="00B02C85" w:rsidP="00B02C8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09E47BC" w14:textId="77777777" w:rsidR="00B02C85" w:rsidRPr="009F1020" w:rsidRDefault="00B02C85" w:rsidP="00B02C85">
      <w:pPr>
        <w:spacing w:after="200" w:line="360" w:lineRule="auto"/>
        <w:rPr>
          <w:rFonts w:asciiTheme="majorBidi" w:hAnsiTheme="majorBidi" w:cstheme="majorBidi"/>
          <w:sz w:val="24"/>
          <w:szCs w:val="24"/>
        </w:rPr>
      </w:pPr>
    </w:p>
    <w:p w14:paraId="6332C8F8" w14:textId="77777777" w:rsidR="00B02C85" w:rsidRPr="009F1020" w:rsidRDefault="00B02C85" w:rsidP="00B02C85">
      <w:pPr>
        <w:spacing w:before="100" w:beforeAutospacing="1" w:after="100" w:afterAutospacing="1" w:line="360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2E54AB7C" w14:textId="77777777" w:rsidR="00B02C85" w:rsidRPr="009F1020" w:rsidRDefault="00B02C85" w:rsidP="00B02C85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2EA1AADB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85"/>
    <w:rsid w:val="00195413"/>
    <w:rsid w:val="003A03A7"/>
    <w:rsid w:val="003D0186"/>
    <w:rsid w:val="00623089"/>
    <w:rsid w:val="007278E4"/>
    <w:rsid w:val="00A3738C"/>
    <w:rsid w:val="00B02C85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7BFA"/>
  <w15:chartTrackingRefBased/>
  <w15:docId w15:val="{30C3948A-6AF2-4DC7-B768-F8797EC7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C8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2C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C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C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C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C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C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C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C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C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2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C8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2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C8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2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C8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2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C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>Springer Nature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2026-10-01T12:51:00Z</dcterms:created>
  <dcterms:modified xsi:type="dcterms:W3CDTF">2026-10-01T12:51:00Z</dcterms:modified>
</cp:coreProperties>
</file>