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AB57F" w14:textId="77777777" w:rsidR="001F71D2" w:rsidRPr="006F7CD0" w:rsidRDefault="001F71D2" w:rsidP="001F71D2">
      <w:pPr>
        <w:pStyle w:val="Heading1"/>
        <w:rPr>
          <w:rFonts w:ascii="Arial" w:hAnsi="Arial" w:cs="Arial"/>
          <w:b/>
          <w:bCs/>
          <w:color w:val="auto"/>
          <w:sz w:val="24"/>
          <w:szCs w:val="24"/>
        </w:rPr>
      </w:pPr>
      <w:r w:rsidRPr="006F7CD0">
        <w:rPr>
          <w:rFonts w:ascii="Arial" w:hAnsi="Arial" w:cs="Arial"/>
          <w:b/>
          <w:bCs/>
          <w:color w:val="auto"/>
          <w:sz w:val="24"/>
          <w:szCs w:val="24"/>
        </w:rPr>
        <w:t>Appendices</w:t>
      </w:r>
    </w:p>
    <w:p w14:paraId="79519EC7" w14:textId="77777777" w:rsidR="001F71D2" w:rsidRPr="008442EB" w:rsidRDefault="001F71D2" w:rsidP="001F71D2">
      <w:pPr>
        <w:spacing w:before="240" w:line="360" w:lineRule="auto"/>
        <w:jc w:val="center"/>
        <w:rPr>
          <w:rStyle w:val="IntenseEmphasis"/>
          <w:rFonts w:ascii="Arial" w:hAnsi="Arial" w:cs="Arial"/>
          <w:i w:val="0"/>
          <w:color w:val="000000" w:themeColor="text1"/>
          <w:sz w:val="24"/>
          <w:szCs w:val="24"/>
          <w:lang w:val="en-GB"/>
        </w:rPr>
      </w:pPr>
      <w:r w:rsidRPr="008442EB">
        <w:rPr>
          <w:rStyle w:val="IntenseEmphasis"/>
          <w:rFonts w:ascii="Arial" w:hAnsi="Arial" w:cs="Arial"/>
          <w:i w:val="0"/>
          <w:color w:val="000000" w:themeColor="text1"/>
          <w:sz w:val="24"/>
          <w:szCs w:val="24"/>
          <w:lang w:val="en-GB"/>
        </w:rPr>
        <w:t xml:space="preserve">Appendix 1: </w:t>
      </w:r>
      <w:r w:rsidRPr="001E71F7">
        <w:rPr>
          <w:rStyle w:val="IntenseEmphasis"/>
          <w:rFonts w:ascii="Arial" w:hAnsi="Arial" w:cs="Arial"/>
          <w:i w:val="0"/>
          <w:color w:val="000000" w:themeColor="text1"/>
          <w:sz w:val="24"/>
          <w:szCs w:val="24"/>
          <w:lang w:val="en-GB"/>
        </w:rPr>
        <w:t>Additional details on African Blue Bonds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23"/>
        <w:gridCol w:w="1536"/>
        <w:gridCol w:w="1696"/>
        <w:gridCol w:w="1569"/>
        <w:gridCol w:w="1559"/>
        <w:gridCol w:w="1559"/>
        <w:gridCol w:w="1276"/>
        <w:gridCol w:w="1417"/>
        <w:gridCol w:w="2613"/>
      </w:tblGrid>
      <w:tr w:rsidR="001F71D2" w:rsidRPr="00FA130D" w14:paraId="34C0C4A1" w14:textId="77777777" w:rsidTr="00271672">
        <w:tc>
          <w:tcPr>
            <w:tcW w:w="723" w:type="dxa"/>
          </w:tcPr>
          <w:p w14:paraId="4B4529BC" w14:textId="77777777" w:rsidR="001F71D2" w:rsidRPr="00FA130D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FA130D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Year</w:t>
            </w:r>
          </w:p>
        </w:tc>
        <w:tc>
          <w:tcPr>
            <w:tcW w:w="1536" w:type="dxa"/>
          </w:tcPr>
          <w:p w14:paraId="375EEB70" w14:textId="77777777" w:rsidR="001F71D2" w:rsidRPr="00FA130D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FA130D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Issuer</w:t>
            </w:r>
          </w:p>
        </w:tc>
        <w:tc>
          <w:tcPr>
            <w:tcW w:w="1696" w:type="dxa"/>
          </w:tcPr>
          <w:p w14:paraId="4F7AEEDE" w14:textId="77777777" w:rsidR="001F71D2" w:rsidRPr="00FA130D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FA130D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Name</w:t>
            </w:r>
          </w:p>
        </w:tc>
        <w:tc>
          <w:tcPr>
            <w:tcW w:w="1569" w:type="dxa"/>
          </w:tcPr>
          <w:p w14:paraId="3A2AA9EB" w14:textId="77777777" w:rsidR="001F71D2" w:rsidRPr="00FA130D" w:rsidRDefault="001F71D2" w:rsidP="00271672">
            <w:pPr>
              <w:spacing w:before="240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FA130D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Size, Term, Coupon Rate</w:t>
            </w:r>
          </w:p>
        </w:tc>
        <w:tc>
          <w:tcPr>
            <w:tcW w:w="1559" w:type="dxa"/>
          </w:tcPr>
          <w:p w14:paraId="11C56C19" w14:textId="77777777" w:rsidR="001F71D2" w:rsidRPr="00FA130D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FA130D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Arranger</w:t>
            </w:r>
          </w:p>
        </w:tc>
        <w:tc>
          <w:tcPr>
            <w:tcW w:w="1559" w:type="dxa"/>
          </w:tcPr>
          <w:p w14:paraId="5DD0B8BF" w14:textId="77777777" w:rsidR="001F71D2" w:rsidRPr="00FA130D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FA130D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Known Investors</w:t>
            </w:r>
          </w:p>
        </w:tc>
        <w:tc>
          <w:tcPr>
            <w:tcW w:w="1276" w:type="dxa"/>
          </w:tcPr>
          <w:p w14:paraId="2B4C6409" w14:textId="77777777" w:rsidR="001F71D2" w:rsidRPr="00FA130D" w:rsidRDefault="001F71D2" w:rsidP="00271672">
            <w:pPr>
              <w:spacing w:before="240"/>
              <w:jc w:val="center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FA130D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Use of proceeds</w:t>
            </w:r>
          </w:p>
        </w:tc>
        <w:tc>
          <w:tcPr>
            <w:tcW w:w="1417" w:type="dxa"/>
          </w:tcPr>
          <w:p w14:paraId="2CA66F48" w14:textId="77777777" w:rsidR="001F71D2" w:rsidRPr="00FA130D" w:rsidRDefault="001F71D2" w:rsidP="00271672">
            <w:pPr>
              <w:spacing w:before="240"/>
              <w:jc w:val="center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FA130D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Area targeted</w:t>
            </w:r>
          </w:p>
        </w:tc>
        <w:tc>
          <w:tcPr>
            <w:tcW w:w="2613" w:type="dxa"/>
          </w:tcPr>
          <w:p w14:paraId="0807F7F9" w14:textId="77777777" w:rsidR="001F71D2" w:rsidRPr="00FA130D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FA130D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3</w:t>
            </w:r>
            <w:r w:rsidRPr="00FA130D">
              <w:rPr>
                <w:rStyle w:val="IntenseEmphasis"/>
                <w:rFonts w:ascii="Arial" w:hAnsi="Arial" w:cs="Arial"/>
                <w:i w:val="0"/>
                <w:color w:val="000000" w:themeColor="text1"/>
                <w:vertAlign w:val="superscript"/>
                <w:lang w:val="en-GB"/>
              </w:rPr>
              <w:t>rd</w:t>
            </w:r>
            <w:r w:rsidRPr="00FA130D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 xml:space="preserve"> Party Monitoring</w:t>
            </w:r>
          </w:p>
        </w:tc>
      </w:tr>
      <w:tr w:rsidR="001F71D2" w:rsidRPr="004D52CA" w14:paraId="4BD67328" w14:textId="77777777" w:rsidTr="00271672">
        <w:tc>
          <w:tcPr>
            <w:tcW w:w="723" w:type="dxa"/>
          </w:tcPr>
          <w:p w14:paraId="62441EAA" w14:textId="77777777" w:rsidR="001F71D2" w:rsidRPr="004D52CA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2018</w:t>
            </w:r>
          </w:p>
        </w:tc>
        <w:tc>
          <w:tcPr>
            <w:tcW w:w="1536" w:type="dxa"/>
          </w:tcPr>
          <w:p w14:paraId="6A595937" w14:textId="77777777" w:rsidR="001F71D2" w:rsidRPr="004D52CA" w:rsidRDefault="001F71D2" w:rsidP="00271672">
            <w:pPr>
              <w:spacing w:before="240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 xml:space="preserve">Republic of Seychelles </w:t>
            </w:r>
          </w:p>
        </w:tc>
        <w:tc>
          <w:tcPr>
            <w:tcW w:w="1696" w:type="dxa"/>
          </w:tcPr>
          <w:p w14:paraId="00C07DAF" w14:textId="77777777" w:rsidR="001F71D2" w:rsidRPr="004D52CA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Seychelles Blue Bond</w:t>
            </w:r>
          </w:p>
        </w:tc>
        <w:tc>
          <w:tcPr>
            <w:tcW w:w="1569" w:type="dxa"/>
          </w:tcPr>
          <w:p w14:paraId="73A248DC" w14:textId="77777777" w:rsidR="001F71D2" w:rsidRPr="004D52CA" w:rsidRDefault="001F71D2" w:rsidP="00271672">
            <w:pPr>
              <w:spacing w:before="240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USD15m, 10 years, 6.5%</w:t>
            </w:r>
          </w:p>
        </w:tc>
        <w:tc>
          <w:tcPr>
            <w:tcW w:w="1559" w:type="dxa"/>
          </w:tcPr>
          <w:p w14:paraId="33D21928" w14:textId="77777777" w:rsidR="001F71D2" w:rsidRPr="004D52CA" w:rsidRDefault="001F71D2" w:rsidP="00271672">
            <w:pPr>
              <w:spacing w:before="240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The World Bank, Standard Chartered Bank</w:t>
            </w:r>
          </w:p>
        </w:tc>
        <w:tc>
          <w:tcPr>
            <w:tcW w:w="1559" w:type="dxa"/>
          </w:tcPr>
          <w:p w14:paraId="1E1BF4DE" w14:textId="77777777" w:rsidR="001F71D2" w:rsidRPr="004D52CA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Nuveen, Calvert, Impact Capital, Prudential</w:t>
            </w:r>
          </w:p>
        </w:tc>
        <w:tc>
          <w:tcPr>
            <w:tcW w:w="1276" w:type="dxa"/>
          </w:tcPr>
          <w:p w14:paraId="318D9A41" w14:textId="77777777" w:rsidR="001F71D2" w:rsidRPr="004D52CA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DFN</w:t>
            </w:r>
          </w:p>
        </w:tc>
        <w:tc>
          <w:tcPr>
            <w:tcW w:w="1417" w:type="dxa"/>
          </w:tcPr>
          <w:p w14:paraId="20636C88" w14:textId="77777777" w:rsidR="001F71D2" w:rsidRPr="004D52CA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Seychelles</w:t>
            </w:r>
          </w:p>
        </w:tc>
        <w:tc>
          <w:tcPr>
            <w:tcW w:w="2613" w:type="dxa"/>
          </w:tcPr>
          <w:p w14:paraId="21476ABC" w14:textId="77777777" w:rsidR="001F71D2" w:rsidRPr="004D52CA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Public-private trust fund with MPAs and local DBS</w:t>
            </w:r>
          </w:p>
        </w:tc>
      </w:tr>
      <w:tr w:rsidR="001F71D2" w:rsidRPr="004D52CA" w14:paraId="662984C3" w14:textId="77777777" w:rsidTr="00271672">
        <w:tc>
          <w:tcPr>
            <w:tcW w:w="723" w:type="dxa"/>
          </w:tcPr>
          <w:p w14:paraId="7D0C9C98" w14:textId="77777777" w:rsidR="001F71D2" w:rsidRPr="004D52CA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2023</w:t>
            </w:r>
          </w:p>
        </w:tc>
        <w:tc>
          <w:tcPr>
            <w:tcW w:w="1536" w:type="dxa"/>
          </w:tcPr>
          <w:p w14:paraId="67E075F7" w14:textId="77777777" w:rsidR="001F71D2" w:rsidRPr="004D52CA" w:rsidRDefault="001F71D2" w:rsidP="00271672">
            <w:pPr>
              <w:spacing w:before="240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Government of Gabon with the TNC</w:t>
            </w:r>
          </w:p>
        </w:tc>
        <w:tc>
          <w:tcPr>
            <w:tcW w:w="1696" w:type="dxa"/>
          </w:tcPr>
          <w:p w14:paraId="291A8396" w14:textId="77777777" w:rsidR="001F71D2" w:rsidRPr="004D52CA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“Debt for ocean conservation swap” Blue Bond</w:t>
            </w:r>
          </w:p>
        </w:tc>
        <w:tc>
          <w:tcPr>
            <w:tcW w:w="1569" w:type="dxa"/>
          </w:tcPr>
          <w:p w14:paraId="7936D8D2" w14:textId="77777777" w:rsidR="001F71D2" w:rsidRPr="004D52CA" w:rsidRDefault="001F71D2" w:rsidP="00271672">
            <w:pPr>
              <w:spacing w:before="240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USD500m, 15 years, 6.097%</w:t>
            </w:r>
          </w:p>
        </w:tc>
        <w:tc>
          <w:tcPr>
            <w:tcW w:w="1559" w:type="dxa"/>
          </w:tcPr>
          <w:p w14:paraId="4828ED7E" w14:textId="77777777" w:rsidR="001F71D2" w:rsidRPr="004D52CA" w:rsidRDefault="001F71D2" w:rsidP="00271672">
            <w:pPr>
              <w:spacing w:before="240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Bank of America</w:t>
            </w:r>
          </w:p>
        </w:tc>
        <w:tc>
          <w:tcPr>
            <w:tcW w:w="1559" w:type="dxa"/>
          </w:tcPr>
          <w:p w14:paraId="652BE8B1" w14:textId="77777777" w:rsidR="001F71D2" w:rsidRPr="004D52CA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Not disclosed</w:t>
            </w:r>
          </w:p>
        </w:tc>
        <w:tc>
          <w:tcPr>
            <w:tcW w:w="1276" w:type="dxa"/>
          </w:tcPr>
          <w:p w14:paraId="608ABA0C" w14:textId="77777777" w:rsidR="001F71D2" w:rsidRPr="004D52CA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DFN</w:t>
            </w:r>
          </w:p>
        </w:tc>
        <w:tc>
          <w:tcPr>
            <w:tcW w:w="1417" w:type="dxa"/>
          </w:tcPr>
          <w:p w14:paraId="45103FD7" w14:textId="77777777" w:rsidR="001F71D2" w:rsidRPr="004D52CA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Gabon coastal waters</w:t>
            </w:r>
          </w:p>
        </w:tc>
        <w:tc>
          <w:tcPr>
            <w:tcW w:w="2613" w:type="dxa"/>
          </w:tcPr>
          <w:p w14:paraId="1B6E0103" w14:textId="77777777" w:rsidR="001F71D2" w:rsidRPr="004D52CA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Public-private trust fund with MPAs</w:t>
            </w:r>
          </w:p>
        </w:tc>
      </w:tr>
      <w:tr w:rsidR="001F71D2" w:rsidRPr="004D52CA" w14:paraId="4DA8F6ED" w14:textId="77777777" w:rsidTr="00271672">
        <w:tc>
          <w:tcPr>
            <w:tcW w:w="723" w:type="dxa"/>
          </w:tcPr>
          <w:p w14:paraId="61D72147" w14:textId="77777777" w:rsidR="001F71D2" w:rsidRPr="004D52CA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2023</w:t>
            </w:r>
          </w:p>
        </w:tc>
        <w:tc>
          <w:tcPr>
            <w:tcW w:w="1536" w:type="dxa"/>
          </w:tcPr>
          <w:p w14:paraId="152484FA" w14:textId="77777777" w:rsidR="001F71D2" w:rsidRPr="004D52CA" w:rsidRDefault="001F71D2" w:rsidP="00271672">
            <w:pPr>
              <w:spacing w:before="240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International Investment Bank</w:t>
            </w:r>
          </w:p>
        </w:tc>
        <w:tc>
          <w:tcPr>
            <w:tcW w:w="1696" w:type="dxa"/>
          </w:tcPr>
          <w:p w14:paraId="350E18AD" w14:textId="77777777" w:rsidR="001F71D2" w:rsidRPr="004D52CA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Bolsa de Valores de Carbo Verde Blue Bond</w:t>
            </w:r>
          </w:p>
        </w:tc>
        <w:tc>
          <w:tcPr>
            <w:tcW w:w="1569" w:type="dxa"/>
          </w:tcPr>
          <w:p w14:paraId="78D584FA" w14:textId="77777777" w:rsidR="001F71D2" w:rsidRPr="004D52CA" w:rsidRDefault="001F71D2" w:rsidP="00271672">
            <w:pPr>
              <w:spacing w:before="240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EUR3.2m, 5 years, 4.00%</w:t>
            </w:r>
          </w:p>
        </w:tc>
        <w:tc>
          <w:tcPr>
            <w:tcW w:w="1559" w:type="dxa"/>
          </w:tcPr>
          <w:p w14:paraId="325B6CBF" w14:textId="77777777" w:rsidR="001F71D2" w:rsidRPr="004D52CA" w:rsidRDefault="001F71D2" w:rsidP="00271672">
            <w:pPr>
              <w:spacing w:before="240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Blu-X, JV between BVC, the UNDP and Luxembourg Stock Exchange</w:t>
            </w:r>
          </w:p>
        </w:tc>
        <w:tc>
          <w:tcPr>
            <w:tcW w:w="1559" w:type="dxa"/>
          </w:tcPr>
          <w:p w14:paraId="7867B406" w14:textId="77777777" w:rsidR="001F71D2" w:rsidRPr="004D52CA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Cape Verdian diaspora (20%) living in Portugal, USA, France, Luxembourg</w:t>
            </w:r>
          </w:p>
        </w:tc>
        <w:tc>
          <w:tcPr>
            <w:tcW w:w="1276" w:type="dxa"/>
          </w:tcPr>
          <w:p w14:paraId="3D7245D0" w14:textId="77777777" w:rsidR="001F71D2" w:rsidRPr="004D52CA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BE</w:t>
            </w:r>
          </w:p>
        </w:tc>
        <w:tc>
          <w:tcPr>
            <w:tcW w:w="1417" w:type="dxa"/>
          </w:tcPr>
          <w:p w14:paraId="63ED0B4F" w14:textId="77777777" w:rsidR="001F71D2" w:rsidRPr="004D52CA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Cape Verde</w:t>
            </w:r>
          </w:p>
        </w:tc>
        <w:tc>
          <w:tcPr>
            <w:tcW w:w="2613" w:type="dxa"/>
          </w:tcPr>
          <w:p w14:paraId="17D7D23C" w14:textId="77777777" w:rsidR="001F71D2" w:rsidRPr="004D52CA" w:rsidRDefault="001F71D2" w:rsidP="00271672">
            <w:pPr>
              <w:spacing w:before="240"/>
              <w:jc w:val="both"/>
              <w:rPr>
                <w:rStyle w:val="IntenseEmphasis"/>
                <w:rFonts w:ascii="Arial" w:hAnsi="Arial" w:cs="Arial"/>
                <w:b/>
                <w:bCs/>
                <w:i w:val="0"/>
                <w:color w:val="000000" w:themeColor="text1"/>
                <w:lang w:val="en-GB"/>
              </w:rPr>
            </w:pPr>
            <w:r w:rsidRPr="004D52CA">
              <w:rPr>
                <w:rStyle w:val="IntenseEmphasis"/>
                <w:rFonts w:ascii="Arial" w:hAnsi="Arial" w:cs="Arial"/>
                <w:i w:val="0"/>
                <w:color w:val="000000" w:themeColor="text1"/>
                <w:lang w:val="en-GB"/>
              </w:rPr>
              <w:t>Adhere to IFC Guidelines</w:t>
            </w:r>
          </w:p>
        </w:tc>
      </w:tr>
    </w:tbl>
    <w:p w14:paraId="6615C59A" w14:textId="77777777" w:rsidR="001F71D2" w:rsidRDefault="001F71D2" w:rsidP="001F71D2">
      <w:pPr>
        <w:spacing w:before="240" w:line="360" w:lineRule="auto"/>
        <w:jc w:val="both"/>
        <w:rPr>
          <w:rStyle w:val="IntenseEmphasis"/>
          <w:rFonts w:ascii="Arial" w:hAnsi="Arial" w:cs="Arial"/>
          <w:b/>
          <w:bCs/>
          <w:i w:val="0"/>
          <w:color w:val="000000" w:themeColor="text1"/>
          <w:lang w:val="en-GB"/>
        </w:rPr>
      </w:pPr>
      <w:r w:rsidRPr="004D52CA">
        <w:rPr>
          <w:rStyle w:val="IntenseEmphasis"/>
          <w:rFonts w:ascii="Arial" w:hAnsi="Arial" w:cs="Arial"/>
          <w:iCs w:val="0"/>
          <w:color w:val="000000" w:themeColor="text1"/>
          <w:lang w:val="en-GB"/>
        </w:rPr>
        <w:t>Source:</w:t>
      </w:r>
      <w:r w:rsidRPr="004D52CA">
        <w:rPr>
          <w:rStyle w:val="IntenseEmphasis"/>
          <w:rFonts w:ascii="Arial" w:hAnsi="Arial" w:cs="Arial"/>
          <w:i w:val="0"/>
          <w:color w:val="000000" w:themeColor="text1"/>
          <w:lang w:val="en-GB"/>
        </w:rPr>
        <w:t xml:space="preserve"> Adapted from the supplementary material of Li</w:t>
      </w:r>
      <w:r>
        <w:rPr>
          <w:rStyle w:val="IntenseEmphasis"/>
          <w:rFonts w:ascii="Arial" w:hAnsi="Arial" w:cs="Arial"/>
          <w:i w:val="0"/>
          <w:color w:val="000000" w:themeColor="text1"/>
          <w:lang w:val="en-GB"/>
        </w:rPr>
        <w:t>u</w:t>
      </w:r>
      <w:r w:rsidRPr="004D52CA">
        <w:rPr>
          <w:rStyle w:val="IntenseEmphasis"/>
          <w:rFonts w:ascii="Arial" w:hAnsi="Arial" w:cs="Arial"/>
          <w:i w:val="0"/>
          <w:color w:val="000000" w:themeColor="text1"/>
          <w:lang w:val="en-GB"/>
        </w:rPr>
        <w:t xml:space="preserve"> et al. (2026)</w:t>
      </w:r>
    </w:p>
    <w:p w14:paraId="6C4A872D" w14:textId="77777777" w:rsidR="001F71D2" w:rsidRPr="004D52CA" w:rsidRDefault="001F71D2" w:rsidP="001F71D2">
      <w:pPr>
        <w:spacing w:before="240" w:line="360" w:lineRule="auto"/>
        <w:jc w:val="both"/>
        <w:rPr>
          <w:rStyle w:val="IntenseEmphasis"/>
          <w:rFonts w:ascii="Arial" w:hAnsi="Arial" w:cs="Arial"/>
          <w:b/>
          <w:bCs/>
          <w:i w:val="0"/>
          <w:color w:val="000000" w:themeColor="text1"/>
          <w:lang w:val="en-GB"/>
        </w:rPr>
      </w:pPr>
    </w:p>
    <w:tbl>
      <w:tblPr>
        <w:tblpPr w:leftFromText="180" w:rightFromText="180" w:vertAnchor="page" w:horzAnchor="margin" w:tblpXSpec="center" w:tblpY="1"/>
        <w:tblW w:w="14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6"/>
        <w:gridCol w:w="3112"/>
        <w:gridCol w:w="1849"/>
        <w:gridCol w:w="3042"/>
        <w:gridCol w:w="4586"/>
      </w:tblGrid>
      <w:tr w:rsidR="001F71D2" w:rsidRPr="00FA130D" w14:paraId="31609C60" w14:textId="77777777" w:rsidTr="001F71D2">
        <w:trPr>
          <w:trHeight w:val="754"/>
        </w:trPr>
        <w:tc>
          <w:tcPr>
            <w:tcW w:w="19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62A92FA9" w14:textId="77777777" w:rsidR="001F71D2" w:rsidRPr="00FA130D" w:rsidRDefault="001F71D2" w:rsidP="001F71D2">
            <w:pPr>
              <w:rPr>
                <w:rFonts w:ascii="Arial" w:hAnsi="Arial" w:cs="Arial"/>
                <w:b/>
                <w:lang w:val="en-GB"/>
              </w:rPr>
            </w:pPr>
            <w:bookmarkStart w:id="0" w:name="_Hlk208131950"/>
            <w:r w:rsidRPr="00FA130D">
              <w:rPr>
                <w:rFonts w:ascii="Arial" w:hAnsi="Arial" w:cs="Arial"/>
                <w:b/>
                <w:lang w:val="en-GB"/>
              </w:rPr>
              <w:lastRenderedPageBreak/>
              <w:t xml:space="preserve">Author(s) 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0F96634E" w14:textId="77777777" w:rsidR="001F71D2" w:rsidRPr="00FA130D" w:rsidRDefault="001F71D2" w:rsidP="001F71D2">
            <w:pPr>
              <w:rPr>
                <w:rFonts w:ascii="Arial" w:hAnsi="Arial" w:cs="Arial"/>
                <w:b/>
                <w:lang w:val="en-GB"/>
              </w:rPr>
            </w:pPr>
            <w:r w:rsidRPr="00FA130D">
              <w:rPr>
                <w:rFonts w:ascii="Arial" w:hAnsi="Arial" w:cs="Arial"/>
                <w:b/>
                <w:lang w:val="en-GB"/>
              </w:rPr>
              <w:t>Objective/Focus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176C52F2" w14:textId="77777777" w:rsidR="001F71D2" w:rsidRPr="00FA130D" w:rsidRDefault="001F71D2" w:rsidP="001F71D2">
            <w:pPr>
              <w:rPr>
                <w:rFonts w:ascii="Arial" w:hAnsi="Arial" w:cs="Arial"/>
                <w:b/>
                <w:lang w:val="en-GB"/>
              </w:rPr>
            </w:pPr>
            <w:r w:rsidRPr="00FA130D">
              <w:rPr>
                <w:rFonts w:ascii="Arial" w:hAnsi="Arial" w:cs="Arial"/>
                <w:b/>
                <w:lang w:val="en-GB"/>
              </w:rPr>
              <w:t>Sample composition/ Country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31B6DCD1" w14:textId="77777777" w:rsidR="001F71D2" w:rsidRPr="00FA130D" w:rsidRDefault="001F71D2" w:rsidP="001F71D2">
            <w:pPr>
              <w:rPr>
                <w:rFonts w:ascii="Arial" w:hAnsi="Arial" w:cs="Arial"/>
                <w:b/>
                <w:lang w:val="en-GB"/>
              </w:rPr>
            </w:pPr>
            <w:r w:rsidRPr="00FA130D">
              <w:rPr>
                <w:rFonts w:ascii="Arial" w:hAnsi="Arial" w:cs="Arial"/>
                <w:b/>
                <w:lang w:val="en-GB"/>
              </w:rPr>
              <w:t>Methodology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4F41FBAB" w14:textId="77777777" w:rsidR="001F71D2" w:rsidRPr="00FA130D" w:rsidRDefault="001F71D2" w:rsidP="001F71D2">
            <w:pPr>
              <w:rPr>
                <w:rFonts w:ascii="Arial" w:hAnsi="Arial" w:cs="Arial"/>
                <w:b/>
                <w:lang w:val="en-GB"/>
              </w:rPr>
            </w:pPr>
            <w:r w:rsidRPr="00FA130D">
              <w:rPr>
                <w:rFonts w:ascii="Arial" w:hAnsi="Arial" w:cs="Arial"/>
                <w:b/>
                <w:lang w:val="en-GB"/>
              </w:rPr>
              <w:t>Main findings</w:t>
            </w:r>
          </w:p>
        </w:tc>
      </w:tr>
      <w:tr w:rsidR="001F71D2" w:rsidRPr="00FA130D" w14:paraId="11BE2E32" w14:textId="77777777" w:rsidTr="001F71D2">
        <w:trPr>
          <w:trHeight w:val="817"/>
        </w:trPr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25BCCC4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Althalets et al. </w:t>
            </w:r>
            <w:r>
              <w:rPr>
                <w:rFonts w:ascii="Arial" w:hAnsi="Arial" w:cs="Arial"/>
                <w:lang w:val="en-GB"/>
              </w:rPr>
              <w:t>[22]</w:t>
            </w:r>
          </w:p>
        </w:tc>
        <w:tc>
          <w:tcPr>
            <w:tcW w:w="3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CB5663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Blue bonds and sustainable development</w:t>
            </w:r>
          </w:p>
        </w:tc>
        <w:tc>
          <w:tcPr>
            <w:tcW w:w="18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BE1656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Indonesia</w:t>
            </w: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46BE38B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Literature review</w:t>
            </w:r>
          </w:p>
        </w:tc>
        <w:tc>
          <w:tcPr>
            <w:tcW w:w="45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A05208A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The issue of blue bonds provides funding for sustainable development.</w:t>
            </w:r>
          </w:p>
        </w:tc>
      </w:tr>
      <w:tr w:rsidR="001F71D2" w:rsidRPr="00FA130D" w14:paraId="7FFC4C1F" w14:textId="77777777" w:rsidTr="001F71D2">
        <w:trPr>
          <w:trHeight w:val="817"/>
        </w:trPr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7FEE265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Sumaila et al. </w:t>
            </w:r>
            <w:r>
              <w:rPr>
                <w:rFonts w:ascii="Arial" w:hAnsi="Arial" w:cs="Arial"/>
                <w:lang w:val="en-GB"/>
              </w:rPr>
              <w:t>[1]</w:t>
            </w:r>
          </w:p>
        </w:tc>
        <w:tc>
          <w:tcPr>
            <w:tcW w:w="3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40194E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Financing a sustainable ocean economy</w:t>
            </w:r>
          </w:p>
        </w:tc>
        <w:tc>
          <w:tcPr>
            <w:tcW w:w="18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178C4A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Ocean sectors</w:t>
            </w: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6DF39D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Literature review</w:t>
            </w:r>
          </w:p>
        </w:tc>
        <w:tc>
          <w:tcPr>
            <w:tcW w:w="45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D2783E8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Some barriers constrain ocean finance, and the measures to boost ocean finance include </w:t>
            </w:r>
            <w:r w:rsidRPr="00FA130D">
              <w:rPr>
                <w:rFonts w:ascii="Arial" w:hAnsi="Arial" w:cs="Arial"/>
                <w:lang w:val="en-GB"/>
              </w:rPr>
              <w:t>enabling environment, introducing new financing tools, insurance</w:t>
            </w:r>
            <w:r>
              <w:rPr>
                <w:rFonts w:ascii="Arial" w:hAnsi="Arial" w:cs="Arial"/>
                <w:lang w:val="en-GB"/>
              </w:rPr>
              <w:t>,</w:t>
            </w:r>
            <w:r w:rsidRPr="00FA130D">
              <w:rPr>
                <w:rFonts w:ascii="Arial" w:hAnsi="Arial" w:cs="Arial"/>
                <w:lang w:val="en-GB"/>
              </w:rPr>
              <w:t xml:space="preserve"> and risk mitigation</w:t>
            </w:r>
            <w:r>
              <w:rPr>
                <w:rFonts w:ascii="Arial" w:hAnsi="Arial" w:cs="Arial"/>
                <w:lang w:val="en-GB"/>
              </w:rPr>
              <w:t>.</w:t>
            </w:r>
          </w:p>
        </w:tc>
      </w:tr>
      <w:tr w:rsidR="001F71D2" w:rsidRPr="00FA130D" w14:paraId="05F4EB36" w14:textId="77777777" w:rsidTr="001F71D2">
        <w:trPr>
          <w:trHeight w:val="817"/>
        </w:trPr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D01303C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Shiiba et al. </w:t>
            </w:r>
            <w:r>
              <w:rPr>
                <w:rFonts w:ascii="Arial" w:hAnsi="Arial" w:cs="Arial"/>
                <w:lang w:val="en-GB"/>
              </w:rPr>
              <w:t>[41]</w:t>
            </w:r>
          </w:p>
        </w:tc>
        <w:tc>
          <w:tcPr>
            <w:tcW w:w="3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1A421BA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A blue finance conceptual framework for sustaining ocean conservation and development</w:t>
            </w:r>
          </w:p>
        </w:tc>
        <w:tc>
          <w:tcPr>
            <w:tcW w:w="18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0AE8B54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Blue finance initiatives</w:t>
            </w: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323D62F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Review of existing blue finance schemes</w:t>
            </w:r>
          </w:p>
        </w:tc>
        <w:tc>
          <w:tcPr>
            <w:tcW w:w="45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0DC7EAF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A participatory multi-stakeholder approach is an enabler for blue financing uptake</w:t>
            </w:r>
          </w:p>
        </w:tc>
      </w:tr>
      <w:tr w:rsidR="001F71D2" w:rsidRPr="00FA130D" w14:paraId="716AA99A" w14:textId="77777777" w:rsidTr="001F71D2">
        <w:trPr>
          <w:trHeight w:val="817"/>
        </w:trPr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FF03A81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Thompson </w:t>
            </w:r>
            <w:r>
              <w:rPr>
                <w:rFonts w:ascii="Arial" w:hAnsi="Arial" w:cs="Arial"/>
                <w:lang w:val="en-GB"/>
              </w:rPr>
              <w:t>[19]</w:t>
            </w:r>
          </w:p>
        </w:tc>
        <w:tc>
          <w:tcPr>
            <w:tcW w:w="3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013011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An analytical framework for blue bonds using the green bonds experience</w:t>
            </w:r>
          </w:p>
        </w:tc>
        <w:tc>
          <w:tcPr>
            <w:tcW w:w="18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9DE7C5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Fifteen-year data on green bonds applied to the first five blue bonds issued around the world</w:t>
            </w: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AD16A7A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Content analysis</w:t>
            </w:r>
          </w:p>
        </w:tc>
        <w:tc>
          <w:tcPr>
            <w:tcW w:w="45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EEE922E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There is a need to revisit thematic scope and sectors and locations where objectives can be met must be prioritised, and transparency is required on impact information.</w:t>
            </w:r>
          </w:p>
        </w:tc>
      </w:tr>
      <w:tr w:rsidR="001F71D2" w:rsidRPr="00FA130D" w14:paraId="27382D61" w14:textId="77777777" w:rsidTr="001F71D2">
        <w:trPr>
          <w:trHeight w:val="511"/>
        </w:trPr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F9704F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Bosmans &amp; de Mariz </w:t>
            </w:r>
            <w:r>
              <w:rPr>
                <w:rFonts w:ascii="Arial" w:hAnsi="Arial" w:cs="Arial"/>
                <w:lang w:val="en-GB"/>
              </w:rPr>
              <w:t>[13]</w:t>
            </w:r>
          </w:p>
        </w:tc>
        <w:tc>
          <w:tcPr>
            <w:tcW w:w="3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5647D0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Blue bond market as a catalyst for ocean and water financing</w:t>
            </w:r>
          </w:p>
        </w:tc>
        <w:tc>
          <w:tcPr>
            <w:tcW w:w="18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00DCA7C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26 blue bond transactions worldwide</w:t>
            </w: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C1DBB4E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Textual and statistical analysis</w:t>
            </w:r>
          </w:p>
          <w:p w14:paraId="1BA78B63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2018-2022</w:t>
            </w:r>
          </w:p>
        </w:tc>
        <w:tc>
          <w:tcPr>
            <w:tcW w:w="45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59B05BF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Proceeds have been channelled towards waste management, biodiversity</w:t>
            </w:r>
            <w:r>
              <w:rPr>
                <w:rFonts w:ascii="Arial" w:hAnsi="Arial" w:cs="Arial"/>
                <w:lang w:val="en-GB"/>
              </w:rPr>
              <w:t>,</w:t>
            </w:r>
            <w:r w:rsidRPr="00FA130D">
              <w:rPr>
                <w:rFonts w:ascii="Arial" w:hAnsi="Arial" w:cs="Arial"/>
                <w:lang w:val="en-GB"/>
              </w:rPr>
              <w:t xml:space="preserve"> and sustainable fisheries. Compared to green bonds, significant barriers</w:t>
            </w:r>
            <w:r>
              <w:rPr>
                <w:rFonts w:ascii="Arial" w:hAnsi="Arial" w:cs="Arial"/>
                <w:lang w:val="en-GB"/>
              </w:rPr>
              <w:t>.</w:t>
            </w:r>
            <w:r w:rsidRPr="00FA130D">
              <w:rPr>
                <w:rFonts w:ascii="Arial" w:hAnsi="Arial" w:cs="Arial"/>
                <w:lang w:val="en-GB"/>
              </w:rPr>
              <w:t xml:space="preserve"> </w:t>
            </w:r>
          </w:p>
        </w:tc>
      </w:tr>
      <w:tr w:rsidR="001F71D2" w:rsidRPr="00FA130D" w14:paraId="6A8E6C71" w14:textId="77777777" w:rsidTr="001F71D2">
        <w:trPr>
          <w:trHeight w:val="511"/>
        </w:trPr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131B689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March et al. </w:t>
            </w:r>
            <w:r>
              <w:rPr>
                <w:rFonts w:ascii="Arial" w:hAnsi="Arial" w:cs="Arial"/>
                <w:lang w:val="en-GB"/>
              </w:rPr>
              <w:t>[7]</w:t>
            </w:r>
          </w:p>
        </w:tc>
        <w:tc>
          <w:tcPr>
            <w:tcW w:w="3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346682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Challenges when designing blue bond financing </w:t>
            </w:r>
          </w:p>
        </w:tc>
        <w:tc>
          <w:tcPr>
            <w:tcW w:w="18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4D60AC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Small Island Developing States (SIDS) – Bahamas</w:t>
            </w: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78258FD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Literature review</w:t>
            </w:r>
          </w:p>
        </w:tc>
        <w:tc>
          <w:tcPr>
            <w:tcW w:w="45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9CA5B8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Marine tourism, renewable energy and marine protection are eligible candidates for blue bond financing.</w:t>
            </w:r>
          </w:p>
        </w:tc>
      </w:tr>
      <w:tr w:rsidR="001F71D2" w:rsidRPr="00FA130D" w14:paraId="1D53DD3F" w14:textId="77777777" w:rsidTr="001F71D2">
        <w:trPr>
          <w:trHeight w:val="511"/>
        </w:trPr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4E31AC4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lastRenderedPageBreak/>
              <w:t xml:space="preserve">Aruga </w:t>
            </w:r>
            <w:r>
              <w:rPr>
                <w:rFonts w:ascii="Arial" w:hAnsi="Arial" w:cs="Arial"/>
                <w:lang w:val="en-GB"/>
              </w:rPr>
              <w:t>[34]</w:t>
            </w:r>
          </w:p>
        </w:tc>
        <w:tc>
          <w:tcPr>
            <w:tcW w:w="3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786CABD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W</w:t>
            </w:r>
            <w:r w:rsidRPr="00FA130D">
              <w:rPr>
                <w:rFonts w:ascii="Arial" w:hAnsi="Arial" w:cs="Arial"/>
                <w:lang w:val="en-GB"/>
              </w:rPr>
              <w:t>illingness to invest</w:t>
            </w:r>
            <w:r>
              <w:rPr>
                <w:rFonts w:ascii="Arial" w:hAnsi="Arial" w:cs="Arial"/>
                <w:lang w:val="en-GB"/>
              </w:rPr>
              <w:t xml:space="preserve"> in </w:t>
            </w:r>
            <w:r w:rsidRPr="00FA130D">
              <w:rPr>
                <w:rFonts w:ascii="Arial" w:hAnsi="Arial" w:cs="Arial"/>
                <w:lang w:val="en-GB"/>
              </w:rPr>
              <w:t>green, sustainability and blue bonds</w:t>
            </w:r>
          </w:p>
        </w:tc>
        <w:tc>
          <w:tcPr>
            <w:tcW w:w="18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1C801E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Japanese retail investors</w:t>
            </w: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56BAF00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Double-bound dichotomous choice contingent valuation method</w:t>
            </w:r>
          </w:p>
        </w:tc>
        <w:tc>
          <w:tcPr>
            <w:tcW w:w="45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25845E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A</w:t>
            </w:r>
            <w:r w:rsidRPr="00FA130D">
              <w:rPr>
                <w:rFonts w:ascii="Arial" w:hAnsi="Arial" w:cs="Arial"/>
                <w:lang w:val="en-GB"/>
              </w:rPr>
              <w:t xml:space="preserve"> stronger environmental focus </w:t>
            </w:r>
            <w:r>
              <w:rPr>
                <w:rFonts w:ascii="Arial" w:hAnsi="Arial" w:cs="Arial"/>
                <w:lang w:val="en-GB"/>
              </w:rPr>
              <w:t>increases investor confidence in green and blue bonds compared to bonds with a wider social focus.</w:t>
            </w:r>
          </w:p>
        </w:tc>
      </w:tr>
      <w:tr w:rsidR="001F71D2" w:rsidRPr="00FA130D" w14:paraId="452A2915" w14:textId="77777777" w:rsidTr="001F71D2">
        <w:trPr>
          <w:trHeight w:val="511"/>
        </w:trPr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5B7E39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Bennet et al. </w:t>
            </w:r>
            <w:r>
              <w:rPr>
                <w:rFonts w:ascii="Arial" w:hAnsi="Arial" w:cs="Arial"/>
                <w:lang w:val="en-GB"/>
              </w:rPr>
              <w:t>[8]</w:t>
            </w:r>
          </w:p>
        </w:tc>
        <w:tc>
          <w:tcPr>
            <w:tcW w:w="3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2061D5D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Blue economy financing solutions for the fisheries and aquaculture sectors </w:t>
            </w:r>
          </w:p>
        </w:tc>
        <w:tc>
          <w:tcPr>
            <w:tcW w:w="18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FA1254C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Caribbean SIDS including Barbados, Grenada and St Vincent and the Grenadines</w:t>
            </w: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420840A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Literature Review</w:t>
            </w:r>
          </w:p>
          <w:p w14:paraId="5E764CA5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Stakeholder engagement consultation through workshops between October and December 2022</w:t>
            </w:r>
          </w:p>
        </w:tc>
        <w:tc>
          <w:tcPr>
            <w:tcW w:w="45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674E0C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Natural capital </w:t>
            </w:r>
            <w:r>
              <w:rPr>
                <w:rFonts w:ascii="Arial" w:hAnsi="Arial" w:cs="Arial"/>
                <w:lang w:val="en-GB"/>
              </w:rPr>
              <w:t xml:space="preserve">is crucial in </w:t>
            </w:r>
            <w:r w:rsidRPr="00FA130D">
              <w:rPr>
                <w:rFonts w:ascii="Arial" w:hAnsi="Arial" w:cs="Arial"/>
                <w:lang w:val="en-GB"/>
              </w:rPr>
              <w:t xml:space="preserve">public-private partnerships </w:t>
            </w:r>
            <w:r>
              <w:rPr>
                <w:rFonts w:ascii="Arial" w:hAnsi="Arial" w:cs="Arial"/>
                <w:lang w:val="en-GB"/>
              </w:rPr>
              <w:t>and</w:t>
            </w:r>
            <w:r w:rsidRPr="00FA130D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t>a</w:t>
            </w:r>
            <w:r w:rsidRPr="00FA130D">
              <w:rPr>
                <w:rFonts w:ascii="Arial" w:hAnsi="Arial" w:cs="Arial"/>
                <w:lang w:val="en-GB"/>
              </w:rPr>
              <w:t xml:space="preserve">n enabling environment for debt and lending with low-interest loan repayments </w:t>
            </w:r>
            <w:r>
              <w:rPr>
                <w:rFonts w:ascii="Arial" w:hAnsi="Arial" w:cs="Arial"/>
                <w:lang w:val="en-GB"/>
              </w:rPr>
              <w:t>in</w:t>
            </w:r>
            <w:r w:rsidRPr="00FA130D">
              <w:rPr>
                <w:rFonts w:ascii="Arial" w:hAnsi="Arial" w:cs="Arial"/>
                <w:lang w:val="en-GB"/>
              </w:rPr>
              <w:t xml:space="preserve"> development opportunities</w:t>
            </w:r>
            <w:r>
              <w:rPr>
                <w:rFonts w:ascii="Arial" w:hAnsi="Arial" w:cs="Arial"/>
                <w:lang w:val="en-GB"/>
              </w:rPr>
              <w:t xml:space="preserve"> and acquisition of sustainable fisheries equipment.</w:t>
            </w:r>
          </w:p>
        </w:tc>
      </w:tr>
      <w:tr w:rsidR="001F71D2" w:rsidRPr="00FA130D" w14:paraId="4A48CE75" w14:textId="77777777" w:rsidTr="001F71D2">
        <w:trPr>
          <w:trHeight w:val="511"/>
        </w:trPr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D76D4E1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Benzaken et al. </w:t>
            </w:r>
            <w:r>
              <w:rPr>
                <w:rFonts w:ascii="Arial" w:hAnsi="Arial" w:cs="Arial"/>
                <w:lang w:val="en-GB"/>
              </w:rPr>
              <w:t>[24]</w:t>
            </w:r>
          </w:p>
        </w:tc>
        <w:tc>
          <w:tcPr>
            <w:tcW w:w="3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2D1BC2A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From concept to practice: financing sustainable blue economy in Small Island Developing States, lessons learnt from Seychelles experience </w:t>
            </w:r>
          </w:p>
        </w:tc>
        <w:tc>
          <w:tcPr>
            <w:tcW w:w="18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32C7DFC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SIDS</w:t>
            </w:r>
          </w:p>
          <w:p w14:paraId="6CEA0782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19 key respondents</w:t>
            </w: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92EF3B2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Literature review</w:t>
            </w:r>
          </w:p>
          <w:p w14:paraId="4947DC0A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Semi-structured interviews</w:t>
            </w:r>
          </w:p>
          <w:p w14:paraId="64D14672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Data collected from consultancy over 2016-2018</w:t>
            </w:r>
          </w:p>
        </w:tc>
        <w:tc>
          <w:tcPr>
            <w:tcW w:w="45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8862F2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There are local and universal enablers and challenges in luring and delivering private financial resources</w:t>
            </w:r>
            <w:r>
              <w:rPr>
                <w:rFonts w:ascii="Arial" w:hAnsi="Arial" w:cs="Arial"/>
                <w:lang w:val="en-GB"/>
              </w:rPr>
              <w:t>.</w:t>
            </w:r>
          </w:p>
        </w:tc>
      </w:tr>
      <w:tr w:rsidR="001F71D2" w:rsidRPr="00FA130D" w14:paraId="398898FD" w14:textId="77777777" w:rsidTr="001F71D2">
        <w:trPr>
          <w:trHeight w:val="511"/>
        </w:trPr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6253199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Ha </w:t>
            </w:r>
            <w:r>
              <w:rPr>
                <w:rFonts w:ascii="Arial" w:hAnsi="Arial" w:cs="Arial"/>
                <w:lang w:val="en-GB"/>
              </w:rPr>
              <w:t>[36]</w:t>
            </w:r>
          </w:p>
        </w:tc>
        <w:tc>
          <w:tcPr>
            <w:tcW w:w="3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BECA548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Green finance and ocean health</w:t>
            </w:r>
          </w:p>
        </w:tc>
        <w:tc>
          <w:tcPr>
            <w:tcW w:w="18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08D87D0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35 countries worldwide</w:t>
            </w: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09FE312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Feasible Generalised Least Squares (FGLS), Panel-Corrected Standard Errors (PCSE), Two-Step Generalised Method of Moments (GMM), Pooled Mean Group Autoregressive Distributed Lag (PMG-ADL)</w:t>
            </w:r>
          </w:p>
          <w:p w14:paraId="20D6FF56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2011-2021</w:t>
            </w:r>
          </w:p>
        </w:tc>
        <w:tc>
          <w:tcPr>
            <w:tcW w:w="45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0E445B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FGLS, PCSE and GMM estimates: Negative relationship between green finance and ocean health</w:t>
            </w:r>
          </w:p>
          <w:p w14:paraId="05614728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Long-run estimates using PMG-ADL:  Positive relationship between green finance and ocean health</w:t>
            </w:r>
          </w:p>
          <w:p w14:paraId="7FF372D0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</w:p>
        </w:tc>
      </w:tr>
      <w:tr w:rsidR="001F71D2" w:rsidRPr="00FA130D" w14:paraId="1373CEB1" w14:textId="77777777" w:rsidTr="001F71D2">
        <w:trPr>
          <w:trHeight w:val="511"/>
        </w:trPr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861EC77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Aruga et al. </w:t>
            </w:r>
            <w:r>
              <w:rPr>
                <w:rFonts w:ascii="Arial" w:hAnsi="Arial" w:cs="Arial"/>
                <w:lang w:val="en-GB"/>
              </w:rPr>
              <w:t>[18]</w:t>
            </w:r>
          </w:p>
        </w:tc>
        <w:tc>
          <w:tcPr>
            <w:tcW w:w="3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FB960CD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N</w:t>
            </w:r>
            <w:r w:rsidRPr="00FA130D">
              <w:rPr>
                <w:rFonts w:ascii="Arial" w:hAnsi="Arial" w:cs="Arial"/>
                <w:lang w:val="en-GB"/>
              </w:rPr>
              <w:t xml:space="preserve">udging </w:t>
            </w:r>
            <w:r>
              <w:rPr>
                <w:rFonts w:ascii="Arial" w:hAnsi="Arial" w:cs="Arial"/>
                <w:lang w:val="en-GB"/>
              </w:rPr>
              <w:t xml:space="preserve">in </w:t>
            </w:r>
            <w:r w:rsidRPr="00FA130D">
              <w:rPr>
                <w:rFonts w:ascii="Arial" w:hAnsi="Arial" w:cs="Arial"/>
                <w:lang w:val="en-GB"/>
              </w:rPr>
              <w:t>blue bond investment</w:t>
            </w:r>
          </w:p>
        </w:tc>
        <w:tc>
          <w:tcPr>
            <w:tcW w:w="18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C394EE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1215 Japanese retail investors</w:t>
            </w: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B353D10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Double-bound dichotomous choice contingent valuation method</w:t>
            </w:r>
          </w:p>
          <w:p w14:paraId="3474570B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Online survey (August 2023)</w:t>
            </w:r>
          </w:p>
        </w:tc>
        <w:tc>
          <w:tcPr>
            <w:tcW w:w="45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3C1EBB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Mixed evidence was found, as some nudges (messenger and priming) lower the return for </w:t>
            </w:r>
            <w:r w:rsidRPr="00FA130D">
              <w:rPr>
                <w:rFonts w:ascii="Arial" w:hAnsi="Arial" w:cs="Arial"/>
                <w:lang w:val="en-GB"/>
              </w:rPr>
              <w:t>JPY-denominated</w:t>
            </w:r>
            <w:r>
              <w:rPr>
                <w:rFonts w:ascii="Arial" w:hAnsi="Arial" w:cs="Arial"/>
                <w:lang w:val="en-GB"/>
              </w:rPr>
              <w:t xml:space="preserve"> blue bond</w:t>
            </w:r>
            <w:r w:rsidRPr="00FA130D">
              <w:rPr>
                <w:rFonts w:ascii="Arial" w:hAnsi="Arial" w:cs="Arial"/>
                <w:lang w:val="en-GB"/>
              </w:rPr>
              <w:t xml:space="preserve">s, while the </w:t>
            </w:r>
            <w:r>
              <w:rPr>
                <w:rFonts w:ascii="Arial" w:hAnsi="Arial" w:cs="Arial"/>
                <w:lang w:val="en-GB"/>
              </w:rPr>
              <w:t>remaining</w:t>
            </w:r>
            <w:r w:rsidRPr="00FA130D">
              <w:rPr>
                <w:rFonts w:ascii="Arial" w:hAnsi="Arial" w:cs="Arial"/>
                <w:lang w:val="en-GB"/>
              </w:rPr>
              <w:t xml:space="preserve"> seven nudges had no significant </w:t>
            </w:r>
            <w:r w:rsidRPr="00FA130D">
              <w:rPr>
                <w:rFonts w:ascii="Arial" w:hAnsi="Arial" w:cs="Arial"/>
                <w:lang w:val="en-GB"/>
              </w:rPr>
              <w:lastRenderedPageBreak/>
              <w:t xml:space="preserve">effect. </w:t>
            </w:r>
            <w:r>
              <w:rPr>
                <w:rFonts w:ascii="Arial" w:hAnsi="Arial" w:cs="Arial"/>
                <w:lang w:val="en-GB"/>
              </w:rPr>
              <w:t xml:space="preserve">All nudges did not affect </w:t>
            </w:r>
            <w:r w:rsidRPr="00FA130D">
              <w:rPr>
                <w:rFonts w:ascii="Arial" w:hAnsi="Arial" w:cs="Arial"/>
                <w:lang w:val="en-GB"/>
              </w:rPr>
              <w:t>USD-denominated</w:t>
            </w:r>
            <w:r>
              <w:rPr>
                <w:rFonts w:ascii="Arial" w:hAnsi="Arial" w:cs="Arial"/>
                <w:lang w:val="en-GB"/>
              </w:rPr>
              <w:t xml:space="preserve"> blue bonds</w:t>
            </w:r>
          </w:p>
        </w:tc>
      </w:tr>
      <w:tr w:rsidR="001F71D2" w:rsidRPr="00FA130D" w14:paraId="1FEA62CF" w14:textId="77777777" w:rsidTr="001F71D2">
        <w:trPr>
          <w:trHeight w:val="511"/>
        </w:trPr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CD1F5C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Jiang et al. </w:t>
            </w:r>
            <w:r>
              <w:rPr>
                <w:rFonts w:ascii="Arial" w:hAnsi="Arial" w:cs="Arial"/>
                <w:lang w:val="en-GB"/>
              </w:rPr>
              <w:t>[12]</w:t>
            </w:r>
          </w:p>
        </w:tc>
        <w:tc>
          <w:tcPr>
            <w:tcW w:w="3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438FC11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B</w:t>
            </w:r>
            <w:r w:rsidRPr="00FA130D">
              <w:rPr>
                <w:rFonts w:ascii="Arial" w:hAnsi="Arial" w:cs="Arial"/>
                <w:lang w:val="en-GB"/>
              </w:rPr>
              <w:t>lue finance</w:t>
            </w:r>
            <w:r>
              <w:rPr>
                <w:rFonts w:ascii="Arial" w:hAnsi="Arial" w:cs="Arial"/>
                <w:lang w:val="en-GB"/>
              </w:rPr>
              <w:t xml:space="preserve">, </w:t>
            </w:r>
            <w:r w:rsidRPr="00FA130D">
              <w:rPr>
                <w:rFonts w:ascii="Arial" w:hAnsi="Arial" w:cs="Arial"/>
                <w:lang w:val="en-GB"/>
              </w:rPr>
              <w:t>marine environmental quality</w:t>
            </w:r>
            <w:r>
              <w:rPr>
                <w:rFonts w:ascii="Arial" w:hAnsi="Arial" w:cs="Arial"/>
                <w:lang w:val="en-GB"/>
              </w:rPr>
              <w:t xml:space="preserve"> and </w:t>
            </w:r>
            <w:r w:rsidRPr="00FA130D">
              <w:rPr>
                <w:rFonts w:ascii="Arial" w:hAnsi="Arial" w:cs="Arial"/>
                <w:lang w:val="en-GB"/>
              </w:rPr>
              <w:t>marine fishery economy</w:t>
            </w:r>
          </w:p>
        </w:tc>
        <w:tc>
          <w:tcPr>
            <w:tcW w:w="18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92AE460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11 coastal provinces in China</w:t>
            </w: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882CA9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Entropy</w:t>
            </w:r>
            <w:r w:rsidRPr="00FA130D">
              <w:rPr>
                <w:rFonts w:ascii="Arial" w:hAnsi="Arial" w:cs="Arial"/>
                <w:lang w:val="en-GB"/>
              </w:rPr>
              <w:t>, moderating effects and threshold effects</w:t>
            </w:r>
          </w:p>
          <w:p w14:paraId="4C263DEA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2011-2023</w:t>
            </w:r>
          </w:p>
        </w:tc>
        <w:tc>
          <w:tcPr>
            <w:tcW w:w="45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22210C6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Blue finance </w:t>
            </w:r>
            <w:r>
              <w:rPr>
                <w:rFonts w:ascii="Arial" w:hAnsi="Arial" w:cs="Arial"/>
                <w:lang w:val="en-GB"/>
              </w:rPr>
              <w:t>improve</w:t>
            </w:r>
            <w:r w:rsidRPr="00FA130D">
              <w:rPr>
                <w:rFonts w:ascii="Arial" w:hAnsi="Arial" w:cs="Arial"/>
                <w:lang w:val="en-GB"/>
              </w:rPr>
              <w:t xml:space="preserve">s the marine fishery economy. Marine environmental quality plays a transmission mechanism in the </w:t>
            </w:r>
            <w:r>
              <w:rPr>
                <w:rFonts w:ascii="Arial" w:hAnsi="Arial" w:cs="Arial"/>
                <w:lang w:val="en-GB"/>
              </w:rPr>
              <w:t>nexus between</w:t>
            </w:r>
            <w:r w:rsidRPr="00FA130D">
              <w:rPr>
                <w:rFonts w:ascii="Arial" w:hAnsi="Arial" w:cs="Arial"/>
                <w:lang w:val="en-GB"/>
              </w:rPr>
              <w:t xml:space="preserve"> blue finance</w:t>
            </w:r>
            <w:r>
              <w:rPr>
                <w:rFonts w:ascii="Arial" w:hAnsi="Arial" w:cs="Arial"/>
                <w:lang w:val="en-GB"/>
              </w:rPr>
              <w:t xml:space="preserve"> and </w:t>
            </w:r>
            <w:r w:rsidRPr="00FA130D">
              <w:rPr>
                <w:rFonts w:ascii="Arial" w:hAnsi="Arial" w:cs="Arial"/>
                <w:lang w:val="en-GB"/>
              </w:rPr>
              <w:t>marine fishery economy quality.</w:t>
            </w:r>
          </w:p>
        </w:tc>
      </w:tr>
      <w:tr w:rsidR="001F71D2" w:rsidRPr="00FA130D" w14:paraId="37DD4A57" w14:textId="77777777" w:rsidTr="001F71D2">
        <w:trPr>
          <w:trHeight w:val="511"/>
        </w:trPr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DDD61CF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Nefzi et al. </w:t>
            </w:r>
            <w:r>
              <w:rPr>
                <w:rFonts w:ascii="Arial" w:hAnsi="Arial" w:cs="Arial"/>
                <w:lang w:val="en-GB"/>
              </w:rPr>
              <w:t>[26]</w:t>
            </w:r>
          </w:p>
        </w:tc>
        <w:tc>
          <w:tcPr>
            <w:tcW w:w="3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0FE2E66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Diversification through blue bonds</w:t>
            </w:r>
          </w:p>
        </w:tc>
        <w:tc>
          <w:tcPr>
            <w:tcW w:w="18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246BD9F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Solactive Blue Bond Index, traditional and innovative asset classes</w:t>
            </w: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EE549F1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Daily stock prices from June 8, 2023</w:t>
            </w:r>
            <w:r>
              <w:rPr>
                <w:rFonts w:ascii="Arial" w:hAnsi="Arial" w:cs="Arial"/>
                <w:lang w:val="en-GB"/>
              </w:rPr>
              <w:t>,</w:t>
            </w:r>
            <w:r w:rsidRPr="00FA130D">
              <w:rPr>
                <w:rFonts w:ascii="Arial" w:hAnsi="Arial" w:cs="Arial"/>
                <w:lang w:val="en-GB"/>
              </w:rPr>
              <w:t xml:space="preserve"> to July 9, 2024</w:t>
            </w:r>
          </w:p>
          <w:p w14:paraId="0D52597A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Wavelet coherence analysis</w:t>
            </w:r>
          </w:p>
        </w:tc>
        <w:tc>
          <w:tcPr>
            <w:tcW w:w="45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B3F5644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The blue bond market </w:t>
            </w:r>
            <w:r>
              <w:rPr>
                <w:rFonts w:ascii="Arial" w:hAnsi="Arial" w:cs="Arial"/>
                <w:lang w:val="en-GB"/>
              </w:rPr>
              <w:t xml:space="preserve">is still emerging and </w:t>
            </w:r>
            <w:r w:rsidRPr="00FA130D">
              <w:rPr>
                <w:rFonts w:ascii="Arial" w:hAnsi="Arial" w:cs="Arial"/>
                <w:lang w:val="en-GB"/>
              </w:rPr>
              <w:t xml:space="preserve">intervals of low coherence with </w:t>
            </w:r>
            <w:r>
              <w:rPr>
                <w:rFonts w:ascii="Arial" w:hAnsi="Arial" w:cs="Arial"/>
                <w:lang w:val="en-GB"/>
              </w:rPr>
              <w:t>most</w:t>
            </w:r>
            <w:r w:rsidRPr="00FA130D">
              <w:rPr>
                <w:rFonts w:ascii="Arial" w:hAnsi="Arial" w:cs="Arial"/>
                <w:lang w:val="en-GB"/>
              </w:rPr>
              <w:t xml:space="preserve"> indices in both short and medium terms</w:t>
            </w:r>
            <w:r>
              <w:rPr>
                <w:rFonts w:ascii="Arial" w:hAnsi="Arial" w:cs="Arial"/>
                <w:lang w:val="en-GB"/>
              </w:rPr>
              <w:t xml:space="preserve"> were observed</w:t>
            </w:r>
            <w:r w:rsidRPr="00FA130D">
              <w:rPr>
                <w:rFonts w:ascii="Arial" w:hAnsi="Arial" w:cs="Arial"/>
                <w:lang w:val="en-GB"/>
              </w:rPr>
              <w:t>.</w:t>
            </w:r>
          </w:p>
        </w:tc>
      </w:tr>
      <w:tr w:rsidR="001F71D2" w:rsidRPr="00FA130D" w14:paraId="38B8A601" w14:textId="77777777" w:rsidTr="001F71D2">
        <w:trPr>
          <w:trHeight w:val="511"/>
        </w:trPr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79CB11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Nunoofio &amp; Jugurnath </w:t>
            </w:r>
            <w:r>
              <w:rPr>
                <w:rFonts w:ascii="Arial" w:hAnsi="Arial" w:cs="Arial"/>
                <w:lang w:val="en-GB"/>
              </w:rPr>
              <w:t>[27]</w:t>
            </w:r>
          </w:p>
        </w:tc>
        <w:tc>
          <w:tcPr>
            <w:tcW w:w="3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E700E63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Effect of blue economy expenditure on tax revenue</w:t>
            </w:r>
          </w:p>
        </w:tc>
        <w:tc>
          <w:tcPr>
            <w:tcW w:w="18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BE4C32E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Mauritius</w:t>
            </w: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220A609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2016-2024</w:t>
            </w:r>
          </w:p>
          <w:p w14:paraId="798E7784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Pooled Ordinary Least Squares</w:t>
            </w:r>
          </w:p>
        </w:tc>
        <w:tc>
          <w:tcPr>
            <w:tcW w:w="45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98BF165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Positive relationship between blue economy expenditure and tax revenue</w:t>
            </w:r>
          </w:p>
        </w:tc>
      </w:tr>
      <w:tr w:rsidR="001F71D2" w:rsidRPr="00FA130D" w14:paraId="2C0C3139" w14:textId="77777777" w:rsidTr="001F71D2">
        <w:trPr>
          <w:trHeight w:val="511"/>
        </w:trPr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EC546F0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Rogge </w:t>
            </w:r>
            <w:r>
              <w:rPr>
                <w:rFonts w:ascii="Arial" w:hAnsi="Arial" w:cs="Arial"/>
                <w:lang w:val="en-GB"/>
              </w:rPr>
              <w:t>[35]</w:t>
            </w:r>
          </w:p>
        </w:tc>
        <w:tc>
          <w:tcPr>
            <w:tcW w:w="3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13F1F1C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Blue bonds: sustainable financing for the blue economy </w:t>
            </w:r>
          </w:p>
        </w:tc>
        <w:tc>
          <w:tcPr>
            <w:tcW w:w="18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99384F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Indian Ocean</w:t>
            </w: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A11FEF3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Literature review</w:t>
            </w:r>
          </w:p>
        </w:tc>
        <w:tc>
          <w:tcPr>
            <w:tcW w:w="45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F6E785B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Blue bonds are significant in funding oceanic requirements</w:t>
            </w:r>
            <w:r>
              <w:rPr>
                <w:rFonts w:ascii="Arial" w:hAnsi="Arial" w:cs="Arial"/>
                <w:lang w:val="en-GB"/>
              </w:rPr>
              <w:t>,</w:t>
            </w:r>
            <w:r w:rsidRPr="00FA130D">
              <w:rPr>
                <w:rFonts w:ascii="Arial" w:hAnsi="Arial" w:cs="Arial"/>
                <w:lang w:val="en-GB"/>
              </w:rPr>
              <w:t xml:space="preserve"> and the challenges they face are similar to those faced in the earl</w:t>
            </w:r>
            <w:r>
              <w:rPr>
                <w:rFonts w:ascii="Arial" w:hAnsi="Arial" w:cs="Arial"/>
                <w:lang w:val="en-GB"/>
              </w:rPr>
              <w:t>y</w:t>
            </w:r>
            <w:r w:rsidRPr="00FA130D">
              <w:rPr>
                <w:rFonts w:ascii="Arial" w:hAnsi="Arial" w:cs="Arial"/>
                <w:lang w:val="en-GB"/>
              </w:rPr>
              <w:t xml:space="preserve"> days of green bonds. </w:t>
            </w:r>
          </w:p>
        </w:tc>
      </w:tr>
      <w:tr w:rsidR="001F71D2" w:rsidRPr="00FA130D" w14:paraId="599982F2" w14:textId="77777777" w:rsidTr="001F71D2">
        <w:trPr>
          <w:trHeight w:val="511"/>
        </w:trPr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C91C57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Corzo et al. </w:t>
            </w:r>
            <w:r>
              <w:rPr>
                <w:rFonts w:ascii="Arial" w:hAnsi="Arial" w:cs="Arial"/>
                <w:lang w:val="en-GB"/>
              </w:rPr>
              <w:t>[16]</w:t>
            </w:r>
          </w:p>
        </w:tc>
        <w:tc>
          <w:tcPr>
            <w:tcW w:w="3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0511E21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Governance challenges and sustainability disclosure in the</w:t>
            </w:r>
            <w:r w:rsidRPr="00FA130D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t>g</w:t>
            </w:r>
            <w:r w:rsidRPr="00FA130D">
              <w:rPr>
                <w:rFonts w:ascii="Arial" w:hAnsi="Arial" w:cs="Arial"/>
                <w:lang w:val="en-GB"/>
              </w:rPr>
              <w:t xml:space="preserve">lobal </w:t>
            </w:r>
            <w:r>
              <w:rPr>
                <w:rFonts w:ascii="Arial" w:hAnsi="Arial" w:cs="Arial"/>
                <w:lang w:val="en-GB"/>
              </w:rPr>
              <w:t>b</w:t>
            </w:r>
            <w:r w:rsidRPr="00FA130D">
              <w:rPr>
                <w:rFonts w:ascii="Arial" w:hAnsi="Arial" w:cs="Arial"/>
                <w:lang w:val="en-GB"/>
              </w:rPr>
              <w:t xml:space="preserve">lue </w:t>
            </w:r>
            <w:r>
              <w:rPr>
                <w:rFonts w:ascii="Arial" w:hAnsi="Arial" w:cs="Arial"/>
                <w:lang w:val="en-GB"/>
              </w:rPr>
              <w:t>b</w:t>
            </w:r>
            <w:r w:rsidRPr="00FA130D">
              <w:rPr>
                <w:rFonts w:ascii="Arial" w:hAnsi="Arial" w:cs="Arial"/>
                <w:lang w:val="en-GB"/>
              </w:rPr>
              <w:t xml:space="preserve">ond </w:t>
            </w:r>
            <w:r>
              <w:rPr>
                <w:rFonts w:ascii="Arial" w:hAnsi="Arial" w:cs="Arial"/>
                <w:lang w:val="en-GB"/>
              </w:rPr>
              <w:t>m</w:t>
            </w:r>
            <w:r w:rsidRPr="00FA130D">
              <w:rPr>
                <w:rFonts w:ascii="Arial" w:hAnsi="Arial" w:cs="Arial"/>
                <w:lang w:val="en-GB"/>
              </w:rPr>
              <w:t>ar</w:t>
            </w:r>
            <w:r>
              <w:rPr>
                <w:rFonts w:ascii="Arial" w:hAnsi="Arial" w:cs="Arial"/>
                <w:lang w:val="en-GB"/>
              </w:rPr>
              <w:t>ket</w:t>
            </w:r>
          </w:p>
        </w:tc>
        <w:tc>
          <w:tcPr>
            <w:tcW w:w="18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FDC0D1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139 outstanding blue bonds classified by Bloomberg as of November 2025</w:t>
            </w: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DAC9D2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Descriptive statistics and multivariate models</w:t>
            </w:r>
          </w:p>
          <w:p w14:paraId="737D6A76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2021-2025</w:t>
            </w:r>
          </w:p>
        </w:tc>
        <w:tc>
          <w:tcPr>
            <w:tcW w:w="45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6A144C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An upward trend for SDG disclosure is observed over time. The blue bond market is a </w:t>
            </w:r>
            <w:r w:rsidRPr="00FA130D">
              <w:rPr>
                <w:rFonts w:ascii="Arial" w:hAnsi="Arial" w:cs="Arial"/>
                <w:lang w:val="en-GB"/>
              </w:rPr>
              <w:t xml:space="preserve">highly heterogeneous market with </w:t>
            </w:r>
            <w:r>
              <w:rPr>
                <w:rFonts w:ascii="Arial" w:hAnsi="Arial" w:cs="Arial"/>
                <w:lang w:val="en-GB"/>
              </w:rPr>
              <w:t>a strong focus on</w:t>
            </w:r>
            <w:r w:rsidRPr="00FA130D">
              <w:rPr>
                <w:rFonts w:ascii="Arial" w:hAnsi="Arial" w:cs="Arial"/>
                <w:lang w:val="en-GB"/>
              </w:rPr>
              <w:t xml:space="preserve"> environmental </w:t>
            </w:r>
            <w:r>
              <w:rPr>
                <w:rFonts w:ascii="Arial" w:hAnsi="Arial" w:cs="Arial"/>
                <w:lang w:val="en-GB"/>
              </w:rPr>
              <w:t>goals,</w:t>
            </w:r>
            <w:r w:rsidRPr="00FA130D">
              <w:rPr>
                <w:rFonts w:ascii="Arial" w:hAnsi="Arial" w:cs="Arial"/>
                <w:lang w:val="en-GB"/>
              </w:rPr>
              <w:t xml:space="preserve"> SDG6 and 14</w:t>
            </w:r>
            <w:r>
              <w:rPr>
                <w:rFonts w:ascii="Arial" w:hAnsi="Arial" w:cs="Arial"/>
                <w:lang w:val="en-GB"/>
              </w:rPr>
              <w:t>, rather than</w:t>
            </w:r>
            <w:r w:rsidRPr="00FA130D">
              <w:rPr>
                <w:rFonts w:ascii="Arial" w:hAnsi="Arial" w:cs="Arial"/>
                <w:lang w:val="en-GB"/>
              </w:rPr>
              <w:t xml:space="preserve"> social and governance goals</w:t>
            </w:r>
            <w:r>
              <w:rPr>
                <w:rFonts w:ascii="Arial" w:hAnsi="Arial" w:cs="Arial"/>
                <w:lang w:val="en-GB"/>
              </w:rPr>
              <w:t>.</w:t>
            </w:r>
            <w:r w:rsidRPr="00FA130D">
              <w:rPr>
                <w:rFonts w:ascii="Arial" w:hAnsi="Arial" w:cs="Arial"/>
                <w:lang w:val="en-GB"/>
              </w:rPr>
              <w:t xml:space="preserve"> </w:t>
            </w:r>
          </w:p>
        </w:tc>
      </w:tr>
      <w:tr w:rsidR="001F71D2" w:rsidRPr="00FA130D" w14:paraId="18EED9A9" w14:textId="77777777" w:rsidTr="001F71D2">
        <w:trPr>
          <w:trHeight w:val="511"/>
        </w:trPr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4167DC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Li</w:t>
            </w:r>
            <w:r>
              <w:rPr>
                <w:rFonts w:ascii="Arial" w:hAnsi="Arial" w:cs="Arial"/>
                <w:lang w:val="en-GB"/>
              </w:rPr>
              <w:t>u</w:t>
            </w:r>
            <w:r w:rsidRPr="00FA130D">
              <w:rPr>
                <w:rFonts w:ascii="Arial" w:hAnsi="Arial" w:cs="Arial"/>
                <w:lang w:val="en-GB"/>
              </w:rPr>
              <w:t xml:space="preserve"> et al. </w:t>
            </w:r>
            <w:r>
              <w:rPr>
                <w:rFonts w:ascii="Arial" w:hAnsi="Arial" w:cs="Arial"/>
                <w:lang w:val="en-GB"/>
              </w:rPr>
              <w:t>[25]</w:t>
            </w:r>
          </w:p>
        </w:tc>
        <w:tc>
          <w:tcPr>
            <w:tcW w:w="3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53A5CFA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V</w:t>
            </w:r>
            <w:r w:rsidRPr="00FA130D">
              <w:rPr>
                <w:rFonts w:ascii="Arial" w:hAnsi="Arial" w:cs="Arial"/>
                <w:lang w:val="en-GB"/>
              </w:rPr>
              <w:t>alue creation of blue bonds</w:t>
            </w:r>
          </w:p>
        </w:tc>
        <w:tc>
          <w:tcPr>
            <w:tcW w:w="18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0DDEFA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45 blue bonds issued worldwide</w:t>
            </w: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E2FF5E9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Mixed-method approach</w:t>
            </w:r>
          </w:p>
        </w:tc>
        <w:tc>
          <w:tcPr>
            <w:tcW w:w="45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0F9C45C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Blue bonds are heterogeneous</w:t>
            </w:r>
            <w:r>
              <w:rPr>
                <w:rFonts w:ascii="Arial" w:hAnsi="Arial" w:cs="Arial"/>
                <w:lang w:val="en-GB"/>
              </w:rPr>
              <w:t>,</w:t>
            </w:r>
            <w:r w:rsidRPr="00FA130D">
              <w:rPr>
                <w:rFonts w:ascii="Arial" w:hAnsi="Arial" w:cs="Arial"/>
                <w:lang w:val="en-GB"/>
              </w:rPr>
              <w:t xml:space="preserve"> with three categories: ocean-based debt for nature, blue conservation</w:t>
            </w:r>
            <w:r>
              <w:rPr>
                <w:rFonts w:ascii="Arial" w:hAnsi="Arial" w:cs="Arial"/>
                <w:lang w:val="en-GB"/>
              </w:rPr>
              <w:t>,</w:t>
            </w:r>
            <w:r w:rsidRPr="00FA130D">
              <w:rPr>
                <w:rFonts w:ascii="Arial" w:hAnsi="Arial" w:cs="Arial"/>
                <w:lang w:val="en-GB"/>
              </w:rPr>
              <w:t xml:space="preserve"> and blue economy</w:t>
            </w:r>
            <w:r>
              <w:rPr>
                <w:rFonts w:ascii="Arial" w:hAnsi="Arial" w:cs="Arial"/>
                <w:lang w:val="en-GB"/>
              </w:rPr>
              <w:t>.</w:t>
            </w:r>
            <w:r w:rsidRPr="00FA130D">
              <w:rPr>
                <w:rFonts w:ascii="Arial" w:hAnsi="Arial" w:cs="Arial"/>
                <w:lang w:val="en-GB"/>
              </w:rPr>
              <w:t xml:space="preserve"> Mismatches between short-term and long-term objectives create challenges for blue </w:t>
            </w:r>
            <w:r w:rsidRPr="00FA130D">
              <w:rPr>
                <w:rFonts w:ascii="Arial" w:hAnsi="Arial" w:cs="Arial"/>
                <w:lang w:val="en-GB"/>
              </w:rPr>
              <w:lastRenderedPageBreak/>
              <w:t>bond issuances. Replicating the green bonds model is not effective</w:t>
            </w:r>
            <w:r>
              <w:rPr>
                <w:rFonts w:ascii="Arial" w:hAnsi="Arial" w:cs="Arial"/>
                <w:lang w:val="en-GB"/>
              </w:rPr>
              <w:t>;</w:t>
            </w:r>
            <w:r w:rsidRPr="00FA130D">
              <w:rPr>
                <w:rFonts w:ascii="Arial" w:hAnsi="Arial" w:cs="Arial"/>
                <w:lang w:val="en-GB"/>
              </w:rPr>
              <w:t xml:space="preserve"> rather</w:t>
            </w:r>
            <w:r>
              <w:rPr>
                <w:rFonts w:ascii="Arial" w:hAnsi="Arial" w:cs="Arial"/>
                <w:lang w:val="en-GB"/>
              </w:rPr>
              <w:t>,</w:t>
            </w:r>
            <w:r w:rsidRPr="00FA130D">
              <w:rPr>
                <w:rFonts w:ascii="Arial" w:hAnsi="Arial" w:cs="Arial"/>
                <w:lang w:val="en-GB"/>
              </w:rPr>
              <w:t xml:space="preserve"> a rethinking of the blue bond structures is paramount for financing oceanic requirements.</w:t>
            </w:r>
          </w:p>
        </w:tc>
      </w:tr>
      <w:tr w:rsidR="001F71D2" w:rsidRPr="00FA130D" w14:paraId="586B2071" w14:textId="77777777" w:rsidTr="001F71D2">
        <w:trPr>
          <w:trHeight w:val="511"/>
        </w:trPr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E20F2E0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Omollo et al. </w:t>
            </w:r>
            <w:r>
              <w:rPr>
                <w:rFonts w:ascii="Arial" w:hAnsi="Arial" w:cs="Arial"/>
                <w:lang w:val="en-GB"/>
              </w:rPr>
              <w:t>[5]</w:t>
            </w:r>
          </w:p>
        </w:tc>
        <w:tc>
          <w:tcPr>
            <w:tcW w:w="3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1243FA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Barriers and enablers to blue carbon projects</w:t>
            </w:r>
          </w:p>
        </w:tc>
        <w:tc>
          <w:tcPr>
            <w:tcW w:w="18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4C6CE65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41 participants from 20 countries</w:t>
            </w: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9E8ED35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Horizon scan and expert solicitation</w:t>
            </w:r>
          </w:p>
          <w:p w14:paraId="37E0CF0A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45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7382BB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Limited funding is a barrier </w:t>
            </w:r>
            <w:r>
              <w:rPr>
                <w:rFonts w:ascii="Arial" w:hAnsi="Arial" w:cs="Arial"/>
                <w:lang w:val="en-GB"/>
              </w:rPr>
              <w:t>to</w:t>
            </w:r>
            <w:r w:rsidRPr="00FA130D">
              <w:rPr>
                <w:rFonts w:ascii="Arial" w:hAnsi="Arial" w:cs="Arial"/>
                <w:lang w:val="en-GB"/>
              </w:rPr>
              <w:t xml:space="preserve"> operationalising blue carbon projects</w:t>
            </w:r>
            <w:r>
              <w:rPr>
                <w:rFonts w:ascii="Arial" w:hAnsi="Arial" w:cs="Arial"/>
                <w:lang w:val="en-GB"/>
              </w:rPr>
              <w:t>.</w:t>
            </w:r>
          </w:p>
        </w:tc>
      </w:tr>
      <w:tr w:rsidR="001F71D2" w:rsidRPr="00FA130D" w14:paraId="592082CE" w14:textId="77777777" w:rsidTr="001F71D2">
        <w:trPr>
          <w:trHeight w:val="511"/>
        </w:trPr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0C86718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Pi et al. </w:t>
            </w:r>
            <w:r>
              <w:rPr>
                <w:rFonts w:ascii="Arial" w:hAnsi="Arial" w:cs="Arial"/>
                <w:lang w:val="en-GB"/>
              </w:rPr>
              <w:t>[28]</w:t>
            </w:r>
          </w:p>
        </w:tc>
        <w:tc>
          <w:tcPr>
            <w:tcW w:w="3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327C79B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Green investments for blue planet: climate finance </w:t>
            </w:r>
            <w:r>
              <w:rPr>
                <w:rFonts w:ascii="Arial" w:hAnsi="Arial" w:cs="Arial"/>
                <w:lang w:val="en-GB"/>
              </w:rPr>
              <w:t>and</w:t>
            </w:r>
            <w:r w:rsidRPr="00FA130D">
              <w:rPr>
                <w:rFonts w:ascii="Arial" w:hAnsi="Arial" w:cs="Arial"/>
                <w:lang w:val="en-GB"/>
              </w:rPr>
              <w:t xml:space="preserve"> natural resource protection</w:t>
            </w:r>
          </w:p>
        </w:tc>
        <w:tc>
          <w:tcPr>
            <w:tcW w:w="18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8214E83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20 countries in Sub-Saharan Africa</w:t>
            </w: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0CDE32F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2006-2021</w:t>
            </w:r>
          </w:p>
          <w:p w14:paraId="55917BFB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Lewbel’s Instrumental Variables method</w:t>
            </w:r>
          </w:p>
        </w:tc>
        <w:tc>
          <w:tcPr>
            <w:tcW w:w="45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4E3A54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Climate finance supports conservation </w:t>
            </w:r>
          </w:p>
        </w:tc>
      </w:tr>
      <w:tr w:rsidR="001F71D2" w:rsidRPr="00FA130D" w14:paraId="3B4BA1D1" w14:textId="77777777" w:rsidTr="001F71D2">
        <w:trPr>
          <w:trHeight w:val="511"/>
        </w:trPr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F46EDF4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 xml:space="preserve">Seraj et al. </w:t>
            </w:r>
            <w:r>
              <w:rPr>
                <w:rFonts w:ascii="Arial" w:hAnsi="Arial" w:cs="Arial"/>
                <w:lang w:val="en-GB"/>
              </w:rPr>
              <w:t>[40]</w:t>
            </w:r>
          </w:p>
        </w:tc>
        <w:tc>
          <w:tcPr>
            <w:tcW w:w="3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F2390AA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Food insecurity and finance</w:t>
            </w:r>
            <w:r>
              <w:rPr>
                <w:rFonts w:ascii="Arial" w:hAnsi="Arial" w:cs="Arial"/>
                <w:lang w:val="en-GB"/>
              </w:rPr>
              <w:t xml:space="preserve"> for</w:t>
            </w:r>
            <w:r w:rsidRPr="00FA130D">
              <w:rPr>
                <w:rFonts w:ascii="Arial" w:hAnsi="Arial" w:cs="Arial"/>
                <w:lang w:val="en-GB"/>
              </w:rPr>
              <w:t xml:space="preserve"> a sustainable ocean economy</w:t>
            </w:r>
          </w:p>
        </w:tc>
        <w:tc>
          <w:tcPr>
            <w:tcW w:w="18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271C098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West Africa</w:t>
            </w:r>
          </w:p>
        </w:tc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0F6645B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2000-2023</w:t>
            </w:r>
          </w:p>
          <w:p w14:paraId="2774C86F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Driscoll-Kraay standard errors and the Feasible Generalised Least Squares</w:t>
            </w:r>
          </w:p>
        </w:tc>
        <w:tc>
          <w:tcPr>
            <w:tcW w:w="45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3A07D7" w14:textId="77777777" w:rsidR="001F71D2" w:rsidRPr="00FA130D" w:rsidRDefault="001F71D2" w:rsidP="001F71D2">
            <w:pPr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lang w:val="en-GB"/>
              </w:rPr>
              <w:t>Investing in the blue economy increases food security, while misallocated funding and food inflation lead to food insecurity.</w:t>
            </w:r>
          </w:p>
        </w:tc>
      </w:tr>
      <w:tr w:rsidR="001F71D2" w:rsidRPr="00FA130D" w14:paraId="098053C7" w14:textId="77777777" w:rsidTr="001F71D2">
        <w:trPr>
          <w:trHeight w:val="731"/>
        </w:trPr>
        <w:tc>
          <w:tcPr>
            <w:tcW w:w="14575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F8B992E" w14:textId="77777777" w:rsidR="001F71D2" w:rsidRPr="00FA130D" w:rsidRDefault="001F71D2" w:rsidP="001F71D2">
            <w:pPr>
              <w:spacing w:before="240"/>
              <w:rPr>
                <w:rFonts w:ascii="Arial" w:hAnsi="Arial" w:cs="Arial"/>
                <w:lang w:val="en-GB"/>
              </w:rPr>
            </w:pPr>
            <w:r w:rsidRPr="00FA130D">
              <w:rPr>
                <w:rFonts w:ascii="Arial" w:hAnsi="Arial" w:cs="Arial"/>
                <w:i/>
                <w:iCs/>
                <w:lang w:val="en-GB"/>
              </w:rPr>
              <w:t>Source:</w:t>
            </w:r>
            <w:r w:rsidRPr="00FA130D">
              <w:rPr>
                <w:rFonts w:ascii="Arial" w:hAnsi="Arial" w:cs="Arial"/>
                <w:lang w:val="en-GB"/>
              </w:rPr>
              <w:t xml:space="preserve"> Author’s compilation</w:t>
            </w:r>
          </w:p>
        </w:tc>
      </w:tr>
    </w:tbl>
    <w:bookmarkEnd w:id="0"/>
    <w:p w14:paraId="0230A836" w14:textId="77777777" w:rsidR="001F71D2" w:rsidRPr="00FA130D" w:rsidRDefault="001F71D2" w:rsidP="001F71D2">
      <w:pPr>
        <w:spacing w:before="240" w:after="0" w:line="240" w:lineRule="auto"/>
        <w:jc w:val="center"/>
        <w:rPr>
          <w:rFonts w:ascii="Arial" w:hAnsi="Arial" w:cs="Arial"/>
          <w:lang w:val="en-GB"/>
        </w:rPr>
      </w:pPr>
      <w:r w:rsidRPr="00FA130D">
        <w:rPr>
          <w:rFonts w:ascii="Arial" w:hAnsi="Arial" w:cs="Arial"/>
          <w:b/>
          <w:lang w:val="en-GB"/>
        </w:rPr>
        <w:t>Appendix 2:</w:t>
      </w:r>
      <w:r w:rsidRPr="00FA130D">
        <w:rPr>
          <w:rFonts w:ascii="Arial" w:hAnsi="Arial" w:cs="Arial"/>
          <w:lang w:val="en-GB"/>
        </w:rPr>
        <w:t xml:space="preserve"> Summary of Empirical Studies</w:t>
      </w:r>
    </w:p>
    <w:p w14:paraId="59B6E35D" w14:textId="77777777" w:rsidR="009542D6" w:rsidRDefault="009542D6"/>
    <w:sectPr w:rsidR="009542D6" w:rsidSect="001F71D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1D2"/>
    <w:rsid w:val="001F71D2"/>
    <w:rsid w:val="00264C10"/>
    <w:rsid w:val="00470242"/>
    <w:rsid w:val="00726E03"/>
    <w:rsid w:val="00934BC8"/>
    <w:rsid w:val="009542D6"/>
    <w:rsid w:val="00B6397A"/>
    <w:rsid w:val="00C8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EA623"/>
  <w15:chartTrackingRefBased/>
  <w15:docId w15:val="{E803B8B5-67FF-4766-9281-11F10BFA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1D2"/>
    <w:pPr>
      <w:spacing w:line="259" w:lineRule="auto"/>
    </w:pPr>
    <w:rPr>
      <w:kern w:val="0"/>
      <w:sz w:val="22"/>
      <w:szCs w:val="22"/>
      <w:lang w:val="en-ZW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71D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71D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71D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71D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71D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71D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71D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71D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71D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71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71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71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71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71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71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71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71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71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7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F7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71D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F7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71D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F71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71D2"/>
    <w:pPr>
      <w:spacing w:line="278" w:lineRule="auto"/>
      <w:ind w:left="720"/>
      <w:contextualSpacing/>
    </w:pPr>
    <w:rPr>
      <w:kern w:val="2"/>
      <w:sz w:val="24"/>
      <w:szCs w:val="24"/>
      <w:lang w:val="en-US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F71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1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1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71D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F71D2"/>
    <w:pPr>
      <w:spacing w:after="0" w:line="240" w:lineRule="auto"/>
    </w:pPr>
    <w:rPr>
      <w:kern w:val="0"/>
      <w:sz w:val="22"/>
      <w:szCs w:val="22"/>
      <w:lang w:val="en-ZW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1119</Words>
  <Characters>6379</Characters>
  <Application>Microsoft Office Word</Application>
  <DocSecurity>0</DocSecurity>
  <Lines>53</Lines>
  <Paragraphs>14</Paragraphs>
  <ScaleCrop>false</ScaleCrop>
  <Company/>
  <LinksUpToDate>false</LinksUpToDate>
  <CharactersWithSpaces>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2026-10-30T13:40:00Z</dcterms:created>
  <dcterms:modified xsi:type="dcterms:W3CDTF">2026-10-30T13:41:00Z</dcterms:modified>
</cp:coreProperties>
</file>