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8F3541">
      <w:pP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Table 1. Clinical Characteristics and Severity of Critical Illness in Patients With Severe Rickettsioses</w:t>
      </w:r>
    </w:p>
    <w:tbl>
      <w:tblPr>
        <w:tblW w:w="5017" w:type="pct"/>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407"/>
        <w:gridCol w:w="1316"/>
        <w:gridCol w:w="1733"/>
        <w:gridCol w:w="1331"/>
        <w:gridCol w:w="1399"/>
        <w:gridCol w:w="1239"/>
      </w:tblGrid>
      <w:tr w14:paraId="4F792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tblCellSpacing w:w="15" w:type="dxa"/>
          <w:jc w:val="center"/>
        </w:trPr>
        <w:tc>
          <w:tcPr>
            <w:tcW w:w="808" w:type="pct"/>
            <w:tcBorders>
              <w:top w:val="single" w:color="auto" w:sz="12" w:space="0"/>
              <w:left w:val="nil"/>
              <w:bottom w:val="nil"/>
              <w:right w:val="nil"/>
            </w:tcBorders>
            <w:shd w:val="clear"/>
            <w:noWrap w:val="0"/>
            <w:tcMar>
              <w:top w:w="-1" w:type="dxa"/>
              <w:left w:w="-1" w:type="dxa"/>
              <w:bottom w:w="-1" w:type="dxa"/>
              <w:right w:w="-1" w:type="dxa"/>
            </w:tcMar>
            <w:vAlign w:val="center"/>
          </w:tcPr>
          <w:p w14:paraId="1A60E647">
            <w:pPr>
              <w:keepNext w:val="0"/>
              <w:keepLines w:val="0"/>
              <w:widowControl/>
              <w:suppressLineNumbers w:val="0"/>
              <w:snapToGrid w:val="0"/>
              <w:ind w:left="0" w:leftChars="0" w:right="0" w:rightChars="0" w:firstLine="0" w:firstLineChars="0"/>
              <w:jc w:val="center"/>
              <w:rPr>
                <w:rFonts w:hint="default" w:ascii="Times New Roman" w:hAnsi="Times New Roman" w:cs="Times New Roman"/>
                <w:b/>
                <w:bCs/>
                <w:sz w:val="21"/>
                <w:szCs w:val="21"/>
              </w:rPr>
            </w:pPr>
            <w:bookmarkStart w:id="0" w:name="_GoBack"/>
            <w:bookmarkEnd w:id="0"/>
            <w:r>
              <w:rPr>
                <w:rFonts w:hint="default" w:ascii="Times New Roman" w:hAnsi="Times New Roman" w:eastAsia="宋体" w:cs="Times New Roman"/>
                <w:b/>
                <w:bCs/>
                <w:kern w:val="0"/>
                <w:sz w:val="21"/>
                <w:szCs w:val="21"/>
                <w:lang w:val="en-US" w:eastAsia="zh-CN" w:bidi="ar"/>
              </w:rPr>
              <w:t>Characteristic</w:t>
            </w:r>
          </w:p>
        </w:tc>
        <w:tc>
          <w:tcPr>
            <w:tcW w:w="763" w:type="pct"/>
            <w:tcBorders>
              <w:top w:val="single" w:color="auto" w:sz="12" w:space="0"/>
              <w:left w:val="nil"/>
              <w:bottom w:val="nil"/>
              <w:right w:val="nil"/>
            </w:tcBorders>
            <w:shd w:val="clear"/>
            <w:noWrap w:val="0"/>
            <w:tcMar>
              <w:top w:w="-1" w:type="dxa"/>
              <w:left w:w="-1" w:type="dxa"/>
              <w:bottom w:w="-1" w:type="dxa"/>
              <w:right w:w="-1" w:type="dxa"/>
            </w:tcMar>
            <w:vAlign w:val="center"/>
          </w:tcPr>
          <w:p w14:paraId="4891DDC7">
            <w:pPr>
              <w:keepNext w:val="0"/>
              <w:keepLines w:val="0"/>
              <w:widowControl/>
              <w:suppressLineNumbers w:val="0"/>
              <w:snapToGrid w:val="0"/>
              <w:ind w:left="0" w:leftChars="0" w:right="0" w:rightChars="0" w:firstLine="0" w:firstLineChars="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rPr>
              <w:t>Patient 1</w:t>
            </w:r>
          </w:p>
        </w:tc>
        <w:tc>
          <w:tcPr>
            <w:tcW w:w="1010" w:type="pct"/>
            <w:tcBorders>
              <w:top w:val="single" w:color="auto" w:sz="12" w:space="0"/>
              <w:left w:val="nil"/>
              <w:bottom w:val="nil"/>
              <w:right w:val="nil"/>
            </w:tcBorders>
            <w:shd w:val="clear"/>
            <w:noWrap w:val="0"/>
            <w:tcMar>
              <w:top w:w="-1" w:type="dxa"/>
              <w:left w:w="-1" w:type="dxa"/>
              <w:bottom w:w="-1" w:type="dxa"/>
              <w:right w:w="-1" w:type="dxa"/>
            </w:tcMar>
            <w:vAlign w:val="center"/>
          </w:tcPr>
          <w:p w14:paraId="34E9549D">
            <w:pPr>
              <w:keepNext w:val="0"/>
              <w:keepLines w:val="0"/>
              <w:widowControl/>
              <w:suppressLineNumbers w:val="0"/>
              <w:snapToGrid w:val="0"/>
              <w:ind w:left="0" w:leftChars="0" w:right="0" w:rightChars="0" w:firstLine="0" w:firstLineChars="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rPr>
              <w:t>Patient 2</w:t>
            </w:r>
          </w:p>
        </w:tc>
        <w:tc>
          <w:tcPr>
            <w:tcW w:w="772" w:type="pct"/>
            <w:tcBorders>
              <w:top w:val="single" w:color="auto" w:sz="12" w:space="0"/>
              <w:left w:val="nil"/>
              <w:bottom w:val="nil"/>
              <w:right w:val="nil"/>
            </w:tcBorders>
            <w:shd w:val="clear"/>
            <w:noWrap w:val="0"/>
            <w:tcMar>
              <w:top w:w="-1" w:type="dxa"/>
              <w:left w:w="-1" w:type="dxa"/>
              <w:bottom w:w="-1" w:type="dxa"/>
              <w:right w:w="-1" w:type="dxa"/>
            </w:tcMar>
            <w:vAlign w:val="center"/>
          </w:tcPr>
          <w:p w14:paraId="1E54B099">
            <w:pPr>
              <w:keepNext w:val="0"/>
              <w:keepLines w:val="0"/>
              <w:widowControl/>
              <w:suppressLineNumbers w:val="0"/>
              <w:snapToGrid w:val="0"/>
              <w:ind w:left="0" w:leftChars="0" w:right="0" w:rightChars="0" w:firstLine="0" w:firstLineChars="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rPr>
              <w:t>Patient 3</w:t>
            </w:r>
          </w:p>
        </w:tc>
        <w:tc>
          <w:tcPr>
            <w:tcW w:w="812" w:type="pct"/>
            <w:tcBorders>
              <w:top w:val="single" w:color="auto" w:sz="12" w:space="0"/>
              <w:left w:val="nil"/>
              <w:bottom w:val="nil"/>
              <w:right w:val="nil"/>
            </w:tcBorders>
            <w:shd w:val="clear"/>
            <w:noWrap w:val="0"/>
            <w:tcMar>
              <w:top w:w="-1" w:type="dxa"/>
              <w:left w:w="-1" w:type="dxa"/>
              <w:bottom w:w="-1" w:type="dxa"/>
              <w:right w:w="-1" w:type="dxa"/>
            </w:tcMar>
            <w:vAlign w:val="center"/>
          </w:tcPr>
          <w:p w14:paraId="42A00293">
            <w:pPr>
              <w:keepNext w:val="0"/>
              <w:keepLines w:val="0"/>
              <w:widowControl/>
              <w:suppressLineNumbers w:val="0"/>
              <w:snapToGrid w:val="0"/>
              <w:ind w:left="0" w:leftChars="0" w:right="0" w:rightChars="0" w:firstLine="0" w:firstLineChars="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rPr>
              <w:t>Patient 4</w:t>
            </w:r>
          </w:p>
        </w:tc>
        <w:tc>
          <w:tcPr>
            <w:tcW w:w="708" w:type="pct"/>
            <w:tcBorders>
              <w:top w:val="single" w:color="auto" w:sz="12" w:space="0"/>
              <w:left w:val="nil"/>
              <w:bottom w:val="nil"/>
              <w:right w:val="nil"/>
            </w:tcBorders>
            <w:shd w:val="clear"/>
            <w:noWrap w:val="0"/>
            <w:tcMar>
              <w:top w:w="-1" w:type="dxa"/>
              <w:left w:w="-1" w:type="dxa"/>
              <w:bottom w:w="-1" w:type="dxa"/>
              <w:right w:w="-1" w:type="dxa"/>
            </w:tcMar>
            <w:vAlign w:val="center"/>
          </w:tcPr>
          <w:p w14:paraId="3E9F9EA3">
            <w:pPr>
              <w:keepNext w:val="0"/>
              <w:keepLines w:val="0"/>
              <w:widowControl/>
              <w:suppressLineNumbers w:val="0"/>
              <w:snapToGrid w:val="0"/>
              <w:ind w:left="0" w:leftChars="0" w:right="0" w:rightChars="0" w:firstLine="0" w:firstLineChars="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rPr>
              <w:t>Patient 5</w:t>
            </w:r>
          </w:p>
        </w:tc>
      </w:tr>
      <w:tr w14:paraId="72688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08" w:type="pct"/>
            <w:tcBorders>
              <w:top w:val="single" w:color="auto" w:sz="4" w:space="0"/>
              <w:left w:val="nil"/>
              <w:bottom w:val="nil"/>
              <w:right w:val="nil"/>
            </w:tcBorders>
            <w:shd w:val="clear"/>
            <w:noWrap w:val="0"/>
            <w:tcMar>
              <w:top w:w="-1" w:type="dxa"/>
              <w:left w:w="-1" w:type="dxa"/>
              <w:bottom w:w="-1" w:type="dxa"/>
              <w:right w:w="-1" w:type="dxa"/>
            </w:tcMar>
            <w:vAlign w:val="center"/>
          </w:tcPr>
          <w:p w14:paraId="4C16CAC7">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Age, years</w:t>
            </w:r>
          </w:p>
        </w:tc>
        <w:tc>
          <w:tcPr>
            <w:tcW w:w="763" w:type="pct"/>
            <w:tcBorders>
              <w:top w:val="single" w:color="auto" w:sz="4" w:space="0"/>
              <w:left w:val="nil"/>
              <w:bottom w:val="nil"/>
              <w:right w:val="nil"/>
            </w:tcBorders>
            <w:shd w:val="clear"/>
            <w:noWrap w:val="0"/>
            <w:tcMar>
              <w:top w:w="-1" w:type="dxa"/>
              <w:left w:w="-1" w:type="dxa"/>
              <w:bottom w:w="-1" w:type="dxa"/>
              <w:right w:w="-1" w:type="dxa"/>
            </w:tcMar>
            <w:vAlign w:val="center"/>
          </w:tcPr>
          <w:p w14:paraId="5AA47BD4">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55</w:t>
            </w:r>
          </w:p>
        </w:tc>
        <w:tc>
          <w:tcPr>
            <w:tcW w:w="1010" w:type="pct"/>
            <w:tcBorders>
              <w:top w:val="single" w:color="auto" w:sz="4" w:space="0"/>
              <w:left w:val="nil"/>
              <w:bottom w:val="nil"/>
              <w:right w:val="nil"/>
            </w:tcBorders>
            <w:shd w:val="clear"/>
            <w:noWrap w:val="0"/>
            <w:tcMar>
              <w:top w:w="-1" w:type="dxa"/>
              <w:left w:w="-1" w:type="dxa"/>
              <w:bottom w:w="-1" w:type="dxa"/>
              <w:right w:w="-1" w:type="dxa"/>
            </w:tcMar>
            <w:vAlign w:val="center"/>
          </w:tcPr>
          <w:p w14:paraId="06B6538B">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65</w:t>
            </w:r>
          </w:p>
        </w:tc>
        <w:tc>
          <w:tcPr>
            <w:tcW w:w="772" w:type="pct"/>
            <w:tcBorders>
              <w:top w:val="single" w:color="auto" w:sz="4" w:space="0"/>
              <w:left w:val="nil"/>
              <w:bottom w:val="nil"/>
              <w:right w:val="nil"/>
            </w:tcBorders>
            <w:shd w:val="clear"/>
            <w:noWrap w:val="0"/>
            <w:tcMar>
              <w:top w:w="-1" w:type="dxa"/>
              <w:left w:w="-1" w:type="dxa"/>
              <w:bottom w:w="-1" w:type="dxa"/>
              <w:right w:w="-1" w:type="dxa"/>
            </w:tcMar>
            <w:vAlign w:val="center"/>
          </w:tcPr>
          <w:p w14:paraId="07BFC2E2">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72</w:t>
            </w:r>
          </w:p>
        </w:tc>
        <w:tc>
          <w:tcPr>
            <w:tcW w:w="812" w:type="pct"/>
            <w:tcBorders>
              <w:top w:val="single" w:color="auto" w:sz="4" w:space="0"/>
              <w:left w:val="nil"/>
              <w:bottom w:val="nil"/>
              <w:right w:val="nil"/>
            </w:tcBorders>
            <w:shd w:val="clear"/>
            <w:noWrap w:val="0"/>
            <w:tcMar>
              <w:top w:w="-1" w:type="dxa"/>
              <w:left w:w="-1" w:type="dxa"/>
              <w:bottom w:w="-1" w:type="dxa"/>
              <w:right w:w="-1" w:type="dxa"/>
            </w:tcMar>
            <w:vAlign w:val="center"/>
          </w:tcPr>
          <w:p w14:paraId="41839871">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59</w:t>
            </w:r>
          </w:p>
        </w:tc>
        <w:tc>
          <w:tcPr>
            <w:tcW w:w="708" w:type="pct"/>
            <w:tcBorders>
              <w:top w:val="single" w:color="auto" w:sz="4" w:space="0"/>
              <w:left w:val="nil"/>
              <w:bottom w:val="nil"/>
              <w:right w:val="nil"/>
            </w:tcBorders>
            <w:shd w:val="clear"/>
            <w:noWrap w:val="0"/>
            <w:tcMar>
              <w:top w:w="-1" w:type="dxa"/>
              <w:left w:w="-1" w:type="dxa"/>
              <w:bottom w:w="-1" w:type="dxa"/>
              <w:right w:w="-1" w:type="dxa"/>
            </w:tcMar>
            <w:vAlign w:val="center"/>
          </w:tcPr>
          <w:p w14:paraId="56362E4D">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74</w:t>
            </w:r>
          </w:p>
        </w:tc>
      </w:tr>
      <w:tr w14:paraId="7D239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08" w:type="pct"/>
            <w:tcBorders>
              <w:top w:val="nil"/>
              <w:left w:val="nil"/>
              <w:bottom w:val="nil"/>
              <w:right w:val="nil"/>
            </w:tcBorders>
            <w:shd w:val="clear"/>
            <w:noWrap w:val="0"/>
            <w:tcMar>
              <w:top w:w="-1" w:type="dxa"/>
              <w:left w:w="-1" w:type="dxa"/>
              <w:bottom w:w="-1" w:type="dxa"/>
              <w:right w:w="-1" w:type="dxa"/>
            </w:tcMar>
            <w:vAlign w:val="center"/>
          </w:tcPr>
          <w:p w14:paraId="7EC39172">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Sex</w:t>
            </w:r>
          </w:p>
        </w:tc>
        <w:tc>
          <w:tcPr>
            <w:tcW w:w="763" w:type="pct"/>
            <w:tcBorders>
              <w:top w:val="nil"/>
              <w:left w:val="nil"/>
              <w:bottom w:val="nil"/>
              <w:right w:val="nil"/>
            </w:tcBorders>
            <w:shd w:val="clear"/>
            <w:noWrap w:val="0"/>
            <w:tcMar>
              <w:top w:w="-1" w:type="dxa"/>
              <w:left w:w="-1" w:type="dxa"/>
              <w:bottom w:w="-1" w:type="dxa"/>
              <w:right w:w="-1" w:type="dxa"/>
            </w:tcMar>
            <w:vAlign w:val="center"/>
          </w:tcPr>
          <w:p w14:paraId="742C1084">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Female</w:t>
            </w:r>
          </w:p>
        </w:tc>
        <w:tc>
          <w:tcPr>
            <w:tcW w:w="1010" w:type="pct"/>
            <w:tcBorders>
              <w:top w:val="nil"/>
              <w:left w:val="nil"/>
              <w:bottom w:val="nil"/>
              <w:right w:val="nil"/>
            </w:tcBorders>
            <w:shd w:val="clear"/>
            <w:noWrap w:val="0"/>
            <w:tcMar>
              <w:top w:w="-1" w:type="dxa"/>
              <w:left w:w="-1" w:type="dxa"/>
              <w:bottom w:w="-1" w:type="dxa"/>
              <w:right w:w="-1" w:type="dxa"/>
            </w:tcMar>
            <w:vAlign w:val="center"/>
          </w:tcPr>
          <w:p w14:paraId="7E98CB90">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Female</w:t>
            </w:r>
          </w:p>
        </w:tc>
        <w:tc>
          <w:tcPr>
            <w:tcW w:w="772" w:type="pct"/>
            <w:tcBorders>
              <w:top w:val="nil"/>
              <w:left w:val="nil"/>
              <w:bottom w:val="nil"/>
              <w:right w:val="nil"/>
            </w:tcBorders>
            <w:shd w:val="clear"/>
            <w:noWrap w:val="0"/>
            <w:tcMar>
              <w:top w:w="-1" w:type="dxa"/>
              <w:left w:w="-1" w:type="dxa"/>
              <w:bottom w:w="-1" w:type="dxa"/>
              <w:right w:w="-1" w:type="dxa"/>
            </w:tcMar>
            <w:vAlign w:val="center"/>
          </w:tcPr>
          <w:p w14:paraId="3629877F">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Female</w:t>
            </w:r>
          </w:p>
        </w:tc>
        <w:tc>
          <w:tcPr>
            <w:tcW w:w="812" w:type="pct"/>
            <w:tcBorders>
              <w:top w:val="nil"/>
              <w:left w:val="nil"/>
              <w:bottom w:val="nil"/>
              <w:right w:val="nil"/>
            </w:tcBorders>
            <w:shd w:val="clear"/>
            <w:noWrap w:val="0"/>
            <w:tcMar>
              <w:top w:w="-1" w:type="dxa"/>
              <w:left w:w="-1" w:type="dxa"/>
              <w:bottom w:w="-1" w:type="dxa"/>
              <w:right w:w="-1" w:type="dxa"/>
            </w:tcMar>
            <w:vAlign w:val="center"/>
          </w:tcPr>
          <w:p w14:paraId="6A7DD575">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Female</w:t>
            </w:r>
          </w:p>
        </w:tc>
        <w:tc>
          <w:tcPr>
            <w:tcW w:w="708" w:type="pct"/>
            <w:tcBorders>
              <w:top w:val="nil"/>
              <w:left w:val="nil"/>
              <w:bottom w:val="nil"/>
              <w:right w:val="nil"/>
            </w:tcBorders>
            <w:shd w:val="clear"/>
            <w:noWrap w:val="0"/>
            <w:tcMar>
              <w:top w:w="-1" w:type="dxa"/>
              <w:left w:w="-1" w:type="dxa"/>
              <w:bottom w:w="-1" w:type="dxa"/>
              <w:right w:w="-1" w:type="dxa"/>
            </w:tcMar>
            <w:vAlign w:val="center"/>
          </w:tcPr>
          <w:p w14:paraId="42A2D3A1">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Female</w:t>
            </w:r>
          </w:p>
        </w:tc>
      </w:tr>
      <w:tr w14:paraId="40103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08" w:type="pct"/>
            <w:tcBorders>
              <w:top w:val="nil"/>
              <w:left w:val="nil"/>
              <w:bottom w:val="nil"/>
              <w:right w:val="nil"/>
            </w:tcBorders>
            <w:shd w:val="clear"/>
            <w:noWrap w:val="0"/>
            <w:tcMar>
              <w:top w:w="-1" w:type="dxa"/>
              <w:left w:w="-1" w:type="dxa"/>
              <w:bottom w:w="-1" w:type="dxa"/>
              <w:right w:w="-1" w:type="dxa"/>
            </w:tcMar>
            <w:vAlign w:val="center"/>
          </w:tcPr>
          <w:p w14:paraId="34E2BA98">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Pathogen</w:t>
            </w:r>
          </w:p>
        </w:tc>
        <w:tc>
          <w:tcPr>
            <w:tcW w:w="763" w:type="pct"/>
            <w:tcBorders>
              <w:top w:val="nil"/>
              <w:left w:val="nil"/>
              <w:bottom w:val="nil"/>
              <w:right w:val="nil"/>
            </w:tcBorders>
            <w:shd w:val="clear"/>
            <w:noWrap w:val="0"/>
            <w:tcMar>
              <w:top w:w="-1" w:type="dxa"/>
              <w:left w:w="-1" w:type="dxa"/>
              <w:bottom w:w="-1" w:type="dxa"/>
              <w:right w:w="-1" w:type="dxa"/>
            </w:tcMar>
            <w:vAlign w:val="center"/>
          </w:tcPr>
          <w:p w14:paraId="683CFA56">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Style w:val="6"/>
                <w:rFonts w:hint="default" w:ascii="Times New Roman" w:hAnsi="Times New Roman" w:eastAsia="宋体" w:cs="Times New Roman"/>
                <w:kern w:val="0"/>
                <w:sz w:val="21"/>
                <w:szCs w:val="21"/>
                <w:lang w:val="en-US" w:eastAsia="zh-CN" w:bidi="ar"/>
              </w:rPr>
              <w:t>R. japonica</w:t>
            </w:r>
          </w:p>
        </w:tc>
        <w:tc>
          <w:tcPr>
            <w:tcW w:w="1010" w:type="pct"/>
            <w:tcBorders>
              <w:top w:val="nil"/>
              <w:left w:val="nil"/>
              <w:bottom w:val="nil"/>
              <w:right w:val="nil"/>
            </w:tcBorders>
            <w:shd w:val="clear"/>
            <w:noWrap w:val="0"/>
            <w:tcMar>
              <w:top w:w="-1" w:type="dxa"/>
              <w:left w:w="-1" w:type="dxa"/>
              <w:bottom w:w="-1" w:type="dxa"/>
              <w:right w:w="-1" w:type="dxa"/>
            </w:tcMar>
            <w:vAlign w:val="center"/>
          </w:tcPr>
          <w:p w14:paraId="33DC4355">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Style w:val="6"/>
                <w:rFonts w:hint="default" w:ascii="Times New Roman" w:hAnsi="Times New Roman" w:eastAsia="宋体" w:cs="Times New Roman"/>
                <w:kern w:val="0"/>
                <w:sz w:val="21"/>
                <w:szCs w:val="21"/>
                <w:lang w:val="en-US" w:eastAsia="zh-CN" w:bidi="ar"/>
              </w:rPr>
              <w:t>R. japonica</w:t>
            </w:r>
          </w:p>
        </w:tc>
        <w:tc>
          <w:tcPr>
            <w:tcW w:w="772" w:type="pct"/>
            <w:tcBorders>
              <w:top w:val="nil"/>
              <w:left w:val="nil"/>
              <w:bottom w:val="nil"/>
              <w:right w:val="nil"/>
            </w:tcBorders>
            <w:shd w:val="clear"/>
            <w:noWrap w:val="0"/>
            <w:tcMar>
              <w:top w:w="-1" w:type="dxa"/>
              <w:left w:w="-1" w:type="dxa"/>
              <w:bottom w:w="-1" w:type="dxa"/>
              <w:right w:w="-1" w:type="dxa"/>
            </w:tcMar>
            <w:vAlign w:val="center"/>
          </w:tcPr>
          <w:p w14:paraId="0497B810">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Style w:val="6"/>
                <w:rFonts w:hint="default" w:ascii="Times New Roman" w:hAnsi="Times New Roman" w:eastAsia="宋体" w:cs="Times New Roman"/>
                <w:kern w:val="0"/>
                <w:sz w:val="21"/>
                <w:szCs w:val="21"/>
                <w:lang w:val="en-US" w:eastAsia="zh-CN" w:bidi="ar"/>
              </w:rPr>
              <w:t>O. tsutsugamushi</w:t>
            </w:r>
          </w:p>
        </w:tc>
        <w:tc>
          <w:tcPr>
            <w:tcW w:w="812" w:type="pct"/>
            <w:tcBorders>
              <w:top w:val="nil"/>
              <w:left w:val="nil"/>
              <w:bottom w:val="nil"/>
              <w:right w:val="nil"/>
            </w:tcBorders>
            <w:shd w:val="clear"/>
            <w:noWrap w:val="0"/>
            <w:tcMar>
              <w:top w:w="-1" w:type="dxa"/>
              <w:left w:w="-1" w:type="dxa"/>
              <w:bottom w:w="-1" w:type="dxa"/>
              <w:right w:w="-1" w:type="dxa"/>
            </w:tcMar>
            <w:vAlign w:val="center"/>
          </w:tcPr>
          <w:p w14:paraId="27E5D24D">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Style w:val="6"/>
                <w:rFonts w:hint="default" w:ascii="Times New Roman" w:hAnsi="Times New Roman" w:eastAsia="宋体" w:cs="Times New Roman"/>
                <w:kern w:val="0"/>
                <w:sz w:val="21"/>
                <w:szCs w:val="21"/>
                <w:lang w:val="en-US" w:eastAsia="zh-CN" w:bidi="ar"/>
              </w:rPr>
              <w:t>O. tsutsugamushi</w:t>
            </w:r>
          </w:p>
        </w:tc>
        <w:tc>
          <w:tcPr>
            <w:tcW w:w="708" w:type="pct"/>
            <w:tcBorders>
              <w:top w:val="nil"/>
              <w:left w:val="nil"/>
              <w:bottom w:val="nil"/>
              <w:right w:val="nil"/>
            </w:tcBorders>
            <w:shd w:val="clear"/>
            <w:noWrap w:val="0"/>
            <w:tcMar>
              <w:top w:w="-1" w:type="dxa"/>
              <w:left w:w="-1" w:type="dxa"/>
              <w:bottom w:w="-1" w:type="dxa"/>
              <w:right w:w="-1" w:type="dxa"/>
            </w:tcMar>
            <w:vAlign w:val="center"/>
          </w:tcPr>
          <w:p w14:paraId="00BA5494">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Style w:val="6"/>
                <w:rFonts w:hint="default" w:ascii="Times New Roman" w:hAnsi="Times New Roman" w:eastAsia="宋体" w:cs="Times New Roman"/>
                <w:kern w:val="0"/>
                <w:sz w:val="21"/>
                <w:szCs w:val="21"/>
                <w:lang w:val="en-US" w:eastAsia="zh-CN" w:bidi="ar"/>
              </w:rPr>
              <w:t>R. japonica</w:t>
            </w:r>
          </w:p>
        </w:tc>
      </w:tr>
      <w:tr w14:paraId="6F258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08" w:type="pct"/>
            <w:tcBorders>
              <w:top w:val="nil"/>
              <w:left w:val="nil"/>
              <w:bottom w:val="nil"/>
              <w:right w:val="nil"/>
            </w:tcBorders>
            <w:shd w:val="clear"/>
            <w:noWrap w:val="0"/>
            <w:tcMar>
              <w:top w:w="-1" w:type="dxa"/>
              <w:left w:w="-1" w:type="dxa"/>
              <w:bottom w:w="-1" w:type="dxa"/>
              <w:right w:w="-1" w:type="dxa"/>
            </w:tcMar>
            <w:vAlign w:val="center"/>
          </w:tcPr>
          <w:p w14:paraId="3715B318">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Predominant clinical manifestations</w:t>
            </w:r>
          </w:p>
        </w:tc>
        <w:tc>
          <w:tcPr>
            <w:tcW w:w="763" w:type="pct"/>
            <w:tcBorders>
              <w:top w:val="nil"/>
              <w:left w:val="nil"/>
              <w:bottom w:val="nil"/>
              <w:right w:val="nil"/>
            </w:tcBorders>
            <w:shd w:val="clear"/>
            <w:noWrap w:val="0"/>
            <w:tcMar>
              <w:top w:w="-1" w:type="dxa"/>
              <w:left w:w="-1" w:type="dxa"/>
              <w:bottom w:w="-1" w:type="dxa"/>
              <w:right w:w="-1" w:type="dxa"/>
            </w:tcMar>
            <w:vAlign w:val="center"/>
          </w:tcPr>
          <w:p w14:paraId="10E45D50">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Septic shock, severe ARDS, AKI, hepatic dysfunction, coagulopathy</w:t>
            </w:r>
          </w:p>
        </w:tc>
        <w:tc>
          <w:tcPr>
            <w:tcW w:w="1010" w:type="pct"/>
            <w:tcBorders>
              <w:top w:val="nil"/>
              <w:left w:val="nil"/>
              <w:bottom w:val="nil"/>
              <w:right w:val="nil"/>
            </w:tcBorders>
            <w:shd w:val="clear"/>
            <w:noWrap w:val="0"/>
            <w:tcMar>
              <w:top w:w="-1" w:type="dxa"/>
              <w:left w:w="-1" w:type="dxa"/>
              <w:bottom w:w="-1" w:type="dxa"/>
              <w:right w:w="-1" w:type="dxa"/>
            </w:tcMar>
            <w:vAlign w:val="center"/>
          </w:tcPr>
          <w:p w14:paraId="476046B8">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Hypotension, AKI, thrombocytopenia, hepatic dysfunction</w:t>
            </w:r>
          </w:p>
        </w:tc>
        <w:tc>
          <w:tcPr>
            <w:tcW w:w="772" w:type="pct"/>
            <w:tcBorders>
              <w:top w:val="nil"/>
              <w:left w:val="nil"/>
              <w:bottom w:val="nil"/>
              <w:right w:val="nil"/>
            </w:tcBorders>
            <w:shd w:val="clear"/>
            <w:noWrap w:val="0"/>
            <w:tcMar>
              <w:top w:w="-1" w:type="dxa"/>
              <w:left w:w="-1" w:type="dxa"/>
              <w:bottom w:w="-1" w:type="dxa"/>
              <w:right w:w="-1" w:type="dxa"/>
            </w:tcMar>
            <w:vAlign w:val="center"/>
          </w:tcPr>
          <w:p w14:paraId="68D47AE0">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Neurological dysfunction, respiratory failure</w:t>
            </w:r>
          </w:p>
        </w:tc>
        <w:tc>
          <w:tcPr>
            <w:tcW w:w="812" w:type="pct"/>
            <w:tcBorders>
              <w:top w:val="nil"/>
              <w:left w:val="nil"/>
              <w:bottom w:val="nil"/>
              <w:right w:val="nil"/>
            </w:tcBorders>
            <w:shd w:val="clear"/>
            <w:noWrap w:val="0"/>
            <w:tcMar>
              <w:top w:w="-1" w:type="dxa"/>
              <w:left w:w="-1" w:type="dxa"/>
              <w:bottom w:w="-1" w:type="dxa"/>
              <w:right w:w="-1" w:type="dxa"/>
            </w:tcMar>
            <w:vAlign w:val="center"/>
          </w:tcPr>
          <w:p w14:paraId="2F3EF441">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Respiratory failure, pulmonary edema, pleural effusion, cardiac dysfunction</w:t>
            </w:r>
          </w:p>
        </w:tc>
        <w:tc>
          <w:tcPr>
            <w:tcW w:w="708" w:type="pct"/>
            <w:tcBorders>
              <w:top w:val="nil"/>
              <w:left w:val="nil"/>
              <w:bottom w:val="nil"/>
              <w:right w:val="nil"/>
            </w:tcBorders>
            <w:shd w:val="clear"/>
            <w:noWrap w:val="0"/>
            <w:tcMar>
              <w:top w:w="-1" w:type="dxa"/>
              <w:left w:w="-1" w:type="dxa"/>
              <w:bottom w:w="-1" w:type="dxa"/>
              <w:right w:w="-1" w:type="dxa"/>
            </w:tcMar>
            <w:vAlign w:val="center"/>
          </w:tcPr>
          <w:p w14:paraId="3F19D72C">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Septic shock, respiratory failure, cardiac dysfunction, anuric AKI</w:t>
            </w:r>
          </w:p>
        </w:tc>
      </w:tr>
      <w:tr w14:paraId="44C6D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08" w:type="pct"/>
            <w:tcBorders>
              <w:top w:val="nil"/>
              <w:left w:val="nil"/>
              <w:bottom w:val="nil"/>
              <w:right w:val="nil"/>
            </w:tcBorders>
            <w:shd w:val="clear"/>
            <w:noWrap w:val="0"/>
            <w:tcMar>
              <w:top w:w="-1" w:type="dxa"/>
              <w:left w:w="-1" w:type="dxa"/>
              <w:bottom w:w="-1" w:type="dxa"/>
              <w:right w:w="-1" w:type="dxa"/>
            </w:tcMar>
            <w:vAlign w:val="center"/>
          </w:tcPr>
          <w:p w14:paraId="3839E347">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SOFA score at ICU admission</w:t>
            </w:r>
          </w:p>
        </w:tc>
        <w:tc>
          <w:tcPr>
            <w:tcW w:w="763" w:type="pct"/>
            <w:tcBorders>
              <w:top w:val="nil"/>
              <w:left w:val="nil"/>
              <w:bottom w:val="nil"/>
              <w:right w:val="nil"/>
            </w:tcBorders>
            <w:shd w:val="clear"/>
            <w:noWrap w:val="0"/>
            <w:tcMar>
              <w:top w:w="-1" w:type="dxa"/>
              <w:left w:w="-1" w:type="dxa"/>
              <w:bottom w:w="-1" w:type="dxa"/>
              <w:right w:w="-1" w:type="dxa"/>
            </w:tcMar>
            <w:vAlign w:val="center"/>
          </w:tcPr>
          <w:p w14:paraId="28388BB6">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8</w:t>
            </w:r>
          </w:p>
        </w:tc>
        <w:tc>
          <w:tcPr>
            <w:tcW w:w="1010" w:type="pct"/>
            <w:tcBorders>
              <w:top w:val="nil"/>
              <w:left w:val="nil"/>
              <w:bottom w:val="nil"/>
              <w:right w:val="nil"/>
            </w:tcBorders>
            <w:shd w:val="clear"/>
            <w:noWrap w:val="0"/>
            <w:tcMar>
              <w:top w:w="-1" w:type="dxa"/>
              <w:left w:w="-1" w:type="dxa"/>
              <w:bottom w:w="-1" w:type="dxa"/>
              <w:right w:w="-1" w:type="dxa"/>
            </w:tcMar>
            <w:vAlign w:val="center"/>
          </w:tcPr>
          <w:p w14:paraId="4F9DF946">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11</w:t>
            </w:r>
          </w:p>
        </w:tc>
        <w:tc>
          <w:tcPr>
            <w:tcW w:w="772" w:type="pct"/>
            <w:tcBorders>
              <w:top w:val="nil"/>
              <w:left w:val="nil"/>
              <w:bottom w:val="nil"/>
              <w:right w:val="nil"/>
            </w:tcBorders>
            <w:shd w:val="clear"/>
            <w:noWrap w:val="0"/>
            <w:tcMar>
              <w:top w:w="-1" w:type="dxa"/>
              <w:left w:w="-1" w:type="dxa"/>
              <w:bottom w:w="-1" w:type="dxa"/>
              <w:right w:w="-1" w:type="dxa"/>
            </w:tcMar>
            <w:vAlign w:val="center"/>
          </w:tcPr>
          <w:p w14:paraId="7B6A7709">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9</w:t>
            </w:r>
          </w:p>
        </w:tc>
        <w:tc>
          <w:tcPr>
            <w:tcW w:w="812" w:type="pct"/>
            <w:tcBorders>
              <w:top w:val="nil"/>
              <w:left w:val="nil"/>
              <w:bottom w:val="nil"/>
              <w:right w:val="nil"/>
            </w:tcBorders>
            <w:shd w:val="clear"/>
            <w:noWrap w:val="0"/>
            <w:tcMar>
              <w:top w:w="-1" w:type="dxa"/>
              <w:left w:w="-1" w:type="dxa"/>
              <w:bottom w:w="-1" w:type="dxa"/>
              <w:right w:w="-1" w:type="dxa"/>
            </w:tcMar>
            <w:vAlign w:val="center"/>
          </w:tcPr>
          <w:p w14:paraId="5E34DCF1">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11</w:t>
            </w:r>
          </w:p>
        </w:tc>
        <w:tc>
          <w:tcPr>
            <w:tcW w:w="708" w:type="pct"/>
            <w:tcBorders>
              <w:top w:val="nil"/>
              <w:left w:val="nil"/>
              <w:bottom w:val="nil"/>
              <w:right w:val="nil"/>
            </w:tcBorders>
            <w:shd w:val="clear"/>
            <w:noWrap w:val="0"/>
            <w:tcMar>
              <w:top w:w="-1" w:type="dxa"/>
              <w:left w:w="-1" w:type="dxa"/>
              <w:bottom w:w="-1" w:type="dxa"/>
              <w:right w:w="-1" w:type="dxa"/>
            </w:tcMar>
            <w:vAlign w:val="center"/>
          </w:tcPr>
          <w:p w14:paraId="5B147F18">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10</w:t>
            </w:r>
          </w:p>
        </w:tc>
      </w:tr>
      <w:tr w14:paraId="15E60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08" w:type="pct"/>
            <w:tcBorders>
              <w:top w:val="nil"/>
              <w:left w:val="nil"/>
              <w:bottom w:val="nil"/>
              <w:right w:val="nil"/>
            </w:tcBorders>
            <w:shd w:val="clear"/>
            <w:noWrap w:val="0"/>
            <w:tcMar>
              <w:top w:w="-1" w:type="dxa"/>
              <w:left w:w="-1" w:type="dxa"/>
              <w:bottom w:w="-1" w:type="dxa"/>
              <w:right w:w="-1" w:type="dxa"/>
            </w:tcMar>
            <w:vAlign w:val="center"/>
          </w:tcPr>
          <w:p w14:paraId="2C193F10">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APACHE II score at ICU admission</w:t>
            </w:r>
          </w:p>
        </w:tc>
        <w:tc>
          <w:tcPr>
            <w:tcW w:w="763" w:type="pct"/>
            <w:tcBorders>
              <w:top w:val="nil"/>
              <w:left w:val="nil"/>
              <w:bottom w:val="nil"/>
              <w:right w:val="nil"/>
            </w:tcBorders>
            <w:shd w:val="clear"/>
            <w:noWrap w:val="0"/>
            <w:tcMar>
              <w:top w:w="-1" w:type="dxa"/>
              <w:left w:w="-1" w:type="dxa"/>
              <w:bottom w:w="-1" w:type="dxa"/>
              <w:right w:w="-1" w:type="dxa"/>
            </w:tcMar>
            <w:vAlign w:val="center"/>
          </w:tcPr>
          <w:p w14:paraId="01A5E06F">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16</w:t>
            </w:r>
          </w:p>
        </w:tc>
        <w:tc>
          <w:tcPr>
            <w:tcW w:w="1010" w:type="pct"/>
            <w:tcBorders>
              <w:top w:val="nil"/>
              <w:left w:val="nil"/>
              <w:bottom w:val="nil"/>
              <w:right w:val="nil"/>
            </w:tcBorders>
            <w:shd w:val="clear"/>
            <w:noWrap w:val="0"/>
            <w:tcMar>
              <w:top w:w="-1" w:type="dxa"/>
              <w:left w:w="-1" w:type="dxa"/>
              <w:bottom w:w="-1" w:type="dxa"/>
              <w:right w:w="-1" w:type="dxa"/>
            </w:tcMar>
            <w:vAlign w:val="center"/>
          </w:tcPr>
          <w:p w14:paraId="1DF1306B">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18</w:t>
            </w:r>
          </w:p>
        </w:tc>
        <w:tc>
          <w:tcPr>
            <w:tcW w:w="772" w:type="pct"/>
            <w:tcBorders>
              <w:top w:val="nil"/>
              <w:left w:val="nil"/>
              <w:bottom w:val="nil"/>
              <w:right w:val="nil"/>
            </w:tcBorders>
            <w:shd w:val="clear"/>
            <w:noWrap w:val="0"/>
            <w:tcMar>
              <w:top w:w="-1" w:type="dxa"/>
              <w:left w:w="-1" w:type="dxa"/>
              <w:bottom w:w="-1" w:type="dxa"/>
              <w:right w:w="-1" w:type="dxa"/>
            </w:tcMar>
            <w:vAlign w:val="center"/>
          </w:tcPr>
          <w:p w14:paraId="70C2D40D">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8</w:t>
            </w:r>
          </w:p>
        </w:tc>
        <w:tc>
          <w:tcPr>
            <w:tcW w:w="812" w:type="pct"/>
            <w:tcBorders>
              <w:top w:val="nil"/>
              <w:left w:val="nil"/>
              <w:bottom w:val="nil"/>
              <w:right w:val="nil"/>
            </w:tcBorders>
            <w:shd w:val="clear"/>
            <w:noWrap w:val="0"/>
            <w:tcMar>
              <w:top w:w="-1" w:type="dxa"/>
              <w:left w:w="-1" w:type="dxa"/>
              <w:bottom w:w="-1" w:type="dxa"/>
              <w:right w:w="-1" w:type="dxa"/>
            </w:tcMar>
            <w:vAlign w:val="center"/>
          </w:tcPr>
          <w:p w14:paraId="253B3D64">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11</w:t>
            </w:r>
          </w:p>
        </w:tc>
        <w:tc>
          <w:tcPr>
            <w:tcW w:w="708" w:type="pct"/>
            <w:tcBorders>
              <w:top w:val="nil"/>
              <w:left w:val="nil"/>
              <w:bottom w:val="nil"/>
              <w:right w:val="nil"/>
            </w:tcBorders>
            <w:shd w:val="clear"/>
            <w:noWrap w:val="0"/>
            <w:tcMar>
              <w:top w:w="-1" w:type="dxa"/>
              <w:left w:w="-1" w:type="dxa"/>
              <w:bottom w:w="-1" w:type="dxa"/>
              <w:right w:w="-1" w:type="dxa"/>
            </w:tcMar>
            <w:vAlign w:val="center"/>
          </w:tcPr>
          <w:p w14:paraId="4A5068DB">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17</w:t>
            </w:r>
          </w:p>
        </w:tc>
      </w:tr>
      <w:tr w14:paraId="09A61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08" w:type="pct"/>
            <w:tcBorders>
              <w:top w:val="nil"/>
              <w:left w:val="nil"/>
              <w:bottom w:val="nil"/>
              <w:right w:val="nil"/>
            </w:tcBorders>
            <w:shd w:val="clear"/>
            <w:noWrap w:val="0"/>
            <w:tcMar>
              <w:top w:w="-1" w:type="dxa"/>
              <w:left w:w="-1" w:type="dxa"/>
              <w:bottom w:w="-1" w:type="dxa"/>
              <w:right w:w="-1" w:type="dxa"/>
            </w:tcMar>
            <w:vAlign w:val="center"/>
          </w:tcPr>
          <w:p w14:paraId="2A29AAD8">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Lowest PaO₂/FiO₂ ratio, mmHg</w:t>
            </w:r>
          </w:p>
        </w:tc>
        <w:tc>
          <w:tcPr>
            <w:tcW w:w="763" w:type="pct"/>
            <w:tcBorders>
              <w:top w:val="nil"/>
              <w:left w:val="nil"/>
              <w:bottom w:val="nil"/>
              <w:right w:val="nil"/>
            </w:tcBorders>
            <w:shd w:val="clear"/>
            <w:noWrap w:val="0"/>
            <w:tcMar>
              <w:top w:w="-1" w:type="dxa"/>
              <w:left w:w="-1" w:type="dxa"/>
              <w:bottom w:w="-1" w:type="dxa"/>
              <w:right w:w="-1" w:type="dxa"/>
            </w:tcMar>
            <w:vAlign w:val="center"/>
          </w:tcPr>
          <w:p w14:paraId="681E0A8E">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45.2</w:t>
            </w:r>
          </w:p>
        </w:tc>
        <w:tc>
          <w:tcPr>
            <w:tcW w:w="1010" w:type="pct"/>
            <w:tcBorders>
              <w:top w:val="nil"/>
              <w:left w:val="nil"/>
              <w:bottom w:val="nil"/>
              <w:right w:val="nil"/>
            </w:tcBorders>
            <w:shd w:val="clear"/>
            <w:noWrap w:val="0"/>
            <w:tcMar>
              <w:top w:w="-1" w:type="dxa"/>
              <w:left w:w="-1" w:type="dxa"/>
              <w:bottom w:w="-1" w:type="dxa"/>
              <w:right w:w="-1" w:type="dxa"/>
            </w:tcMar>
            <w:vAlign w:val="center"/>
          </w:tcPr>
          <w:p w14:paraId="0BB69B49">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216</w:t>
            </w:r>
          </w:p>
        </w:tc>
        <w:tc>
          <w:tcPr>
            <w:tcW w:w="772" w:type="pct"/>
            <w:tcBorders>
              <w:top w:val="nil"/>
              <w:left w:val="nil"/>
              <w:bottom w:val="nil"/>
              <w:right w:val="nil"/>
            </w:tcBorders>
            <w:shd w:val="clear"/>
            <w:noWrap w:val="0"/>
            <w:tcMar>
              <w:top w:w="-1" w:type="dxa"/>
              <w:left w:w="-1" w:type="dxa"/>
              <w:bottom w:w="-1" w:type="dxa"/>
              <w:right w:w="-1" w:type="dxa"/>
            </w:tcMar>
            <w:vAlign w:val="center"/>
          </w:tcPr>
          <w:p w14:paraId="4DC88541">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180</w:t>
            </w:r>
          </w:p>
        </w:tc>
        <w:tc>
          <w:tcPr>
            <w:tcW w:w="812" w:type="pct"/>
            <w:tcBorders>
              <w:top w:val="nil"/>
              <w:left w:val="nil"/>
              <w:bottom w:val="nil"/>
              <w:right w:val="nil"/>
            </w:tcBorders>
            <w:shd w:val="clear"/>
            <w:noWrap w:val="0"/>
            <w:tcMar>
              <w:top w:w="-1" w:type="dxa"/>
              <w:left w:w="-1" w:type="dxa"/>
              <w:bottom w:w="-1" w:type="dxa"/>
              <w:right w:w="-1" w:type="dxa"/>
            </w:tcMar>
            <w:vAlign w:val="center"/>
          </w:tcPr>
          <w:p w14:paraId="3A72E4D9">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92.1</w:t>
            </w:r>
          </w:p>
        </w:tc>
        <w:tc>
          <w:tcPr>
            <w:tcW w:w="708" w:type="pct"/>
            <w:tcBorders>
              <w:top w:val="nil"/>
              <w:left w:val="nil"/>
              <w:bottom w:val="nil"/>
              <w:right w:val="nil"/>
            </w:tcBorders>
            <w:shd w:val="clear"/>
            <w:noWrap w:val="0"/>
            <w:tcMar>
              <w:top w:w="-1" w:type="dxa"/>
              <w:left w:w="-1" w:type="dxa"/>
              <w:bottom w:w="-1" w:type="dxa"/>
              <w:right w:w="-1" w:type="dxa"/>
            </w:tcMar>
            <w:vAlign w:val="center"/>
          </w:tcPr>
          <w:p w14:paraId="60DBC38E">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85.7</w:t>
            </w:r>
          </w:p>
        </w:tc>
      </w:tr>
      <w:tr w14:paraId="429BE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08" w:type="pct"/>
            <w:tcBorders>
              <w:top w:val="nil"/>
              <w:left w:val="nil"/>
              <w:bottom w:val="nil"/>
              <w:right w:val="nil"/>
            </w:tcBorders>
            <w:shd w:val="clear"/>
            <w:noWrap w:val="0"/>
            <w:tcMar>
              <w:top w:w="-1" w:type="dxa"/>
              <w:left w:w="-1" w:type="dxa"/>
              <w:bottom w:w="-1" w:type="dxa"/>
              <w:right w:w="-1" w:type="dxa"/>
            </w:tcMar>
            <w:vAlign w:val="center"/>
          </w:tcPr>
          <w:p w14:paraId="7F176A90">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Peak lactate, mmol/L</w:t>
            </w:r>
          </w:p>
        </w:tc>
        <w:tc>
          <w:tcPr>
            <w:tcW w:w="763" w:type="pct"/>
            <w:tcBorders>
              <w:top w:val="nil"/>
              <w:left w:val="nil"/>
              <w:bottom w:val="nil"/>
              <w:right w:val="nil"/>
            </w:tcBorders>
            <w:shd w:val="clear"/>
            <w:noWrap w:val="0"/>
            <w:tcMar>
              <w:top w:w="-1" w:type="dxa"/>
              <w:left w:w="-1" w:type="dxa"/>
              <w:bottom w:w="-1" w:type="dxa"/>
              <w:right w:w="-1" w:type="dxa"/>
            </w:tcMar>
            <w:vAlign w:val="center"/>
          </w:tcPr>
          <w:p w14:paraId="24AADA63">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7.6</w:t>
            </w:r>
          </w:p>
        </w:tc>
        <w:tc>
          <w:tcPr>
            <w:tcW w:w="1010" w:type="pct"/>
            <w:tcBorders>
              <w:top w:val="nil"/>
              <w:left w:val="nil"/>
              <w:bottom w:val="nil"/>
              <w:right w:val="nil"/>
            </w:tcBorders>
            <w:shd w:val="clear"/>
            <w:noWrap w:val="0"/>
            <w:tcMar>
              <w:top w:w="-1" w:type="dxa"/>
              <w:left w:w="-1" w:type="dxa"/>
              <w:bottom w:w="-1" w:type="dxa"/>
              <w:right w:w="-1" w:type="dxa"/>
            </w:tcMar>
            <w:vAlign w:val="center"/>
          </w:tcPr>
          <w:p w14:paraId="5B818310">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2.5</w:t>
            </w:r>
          </w:p>
        </w:tc>
        <w:tc>
          <w:tcPr>
            <w:tcW w:w="772" w:type="pct"/>
            <w:tcBorders>
              <w:top w:val="nil"/>
              <w:left w:val="nil"/>
              <w:bottom w:val="nil"/>
              <w:right w:val="nil"/>
            </w:tcBorders>
            <w:shd w:val="clear"/>
            <w:noWrap w:val="0"/>
            <w:tcMar>
              <w:top w:w="-1" w:type="dxa"/>
              <w:left w:w="-1" w:type="dxa"/>
              <w:bottom w:w="-1" w:type="dxa"/>
              <w:right w:w="-1" w:type="dxa"/>
            </w:tcMar>
            <w:vAlign w:val="center"/>
          </w:tcPr>
          <w:p w14:paraId="326A1594">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2.1</w:t>
            </w:r>
          </w:p>
        </w:tc>
        <w:tc>
          <w:tcPr>
            <w:tcW w:w="812" w:type="pct"/>
            <w:tcBorders>
              <w:top w:val="nil"/>
              <w:left w:val="nil"/>
              <w:bottom w:val="nil"/>
              <w:right w:val="nil"/>
            </w:tcBorders>
            <w:shd w:val="clear"/>
            <w:noWrap w:val="0"/>
            <w:tcMar>
              <w:top w:w="-1" w:type="dxa"/>
              <w:left w:w="-1" w:type="dxa"/>
              <w:bottom w:w="-1" w:type="dxa"/>
              <w:right w:w="-1" w:type="dxa"/>
            </w:tcMar>
            <w:vAlign w:val="center"/>
          </w:tcPr>
          <w:p w14:paraId="6CE3EDF8">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4.1</w:t>
            </w:r>
          </w:p>
        </w:tc>
        <w:tc>
          <w:tcPr>
            <w:tcW w:w="708" w:type="pct"/>
            <w:tcBorders>
              <w:top w:val="nil"/>
              <w:left w:val="nil"/>
              <w:bottom w:val="nil"/>
              <w:right w:val="nil"/>
            </w:tcBorders>
            <w:shd w:val="clear"/>
            <w:noWrap w:val="0"/>
            <w:tcMar>
              <w:top w:w="-1" w:type="dxa"/>
              <w:left w:w="-1" w:type="dxa"/>
              <w:bottom w:w="-1" w:type="dxa"/>
              <w:right w:w="-1" w:type="dxa"/>
            </w:tcMar>
            <w:vAlign w:val="center"/>
          </w:tcPr>
          <w:p w14:paraId="20E7D205">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9.9</w:t>
            </w:r>
          </w:p>
        </w:tc>
      </w:tr>
      <w:tr w14:paraId="4841B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08" w:type="pct"/>
            <w:tcBorders>
              <w:top w:val="nil"/>
              <w:left w:val="nil"/>
              <w:bottom w:val="nil"/>
              <w:right w:val="nil"/>
            </w:tcBorders>
            <w:shd w:val="clear"/>
            <w:noWrap w:val="0"/>
            <w:tcMar>
              <w:top w:w="-1" w:type="dxa"/>
              <w:left w:w="-1" w:type="dxa"/>
              <w:bottom w:w="-1" w:type="dxa"/>
              <w:right w:w="-1" w:type="dxa"/>
            </w:tcMar>
            <w:vAlign w:val="center"/>
          </w:tcPr>
          <w:p w14:paraId="267525ED">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Platelet nadir, ×10⁹/L</w:t>
            </w:r>
          </w:p>
        </w:tc>
        <w:tc>
          <w:tcPr>
            <w:tcW w:w="763" w:type="pct"/>
            <w:tcBorders>
              <w:top w:val="nil"/>
              <w:left w:val="nil"/>
              <w:bottom w:val="nil"/>
              <w:right w:val="nil"/>
            </w:tcBorders>
            <w:shd w:val="clear"/>
            <w:noWrap w:val="0"/>
            <w:tcMar>
              <w:top w:w="-1" w:type="dxa"/>
              <w:left w:w="-1" w:type="dxa"/>
              <w:bottom w:w="-1" w:type="dxa"/>
              <w:right w:w="-1" w:type="dxa"/>
            </w:tcMar>
            <w:vAlign w:val="center"/>
          </w:tcPr>
          <w:p w14:paraId="43CE2E6F">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13</w:t>
            </w:r>
          </w:p>
        </w:tc>
        <w:tc>
          <w:tcPr>
            <w:tcW w:w="1010" w:type="pct"/>
            <w:tcBorders>
              <w:top w:val="nil"/>
              <w:left w:val="nil"/>
              <w:bottom w:val="nil"/>
              <w:right w:val="nil"/>
            </w:tcBorders>
            <w:shd w:val="clear"/>
            <w:noWrap w:val="0"/>
            <w:tcMar>
              <w:top w:w="-1" w:type="dxa"/>
              <w:left w:w="-1" w:type="dxa"/>
              <w:bottom w:w="-1" w:type="dxa"/>
              <w:right w:w="-1" w:type="dxa"/>
            </w:tcMar>
            <w:vAlign w:val="center"/>
          </w:tcPr>
          <w:p w14:paraId="6240F6F1">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33</w:t>
            </w:r>
          </w:p>
        </w:tc>
        <w:tc>
          <w:tcPr>
            <w:tcW w:w="772" w:type="pct"/>
            <w:tcBorders>
              <w:top w:val="nil"/>
              <w:left w:val="nil"/>
              <w:bottom w:val="nil"/>
              <w:right w:val="nil"/>
            </w:tcBorders>
            <w:shd w:val="clear"/>
            <w:noWrap w:val="0"/>
            <w:tcMar>
              <w:top w:w="-1" w:type="dxa"/>
              <w:left w:w="-1" w:type="dxa"/>
              <w:bottom w:w="-1" w:type="dxa"/>
              <w:right w:w="-1" w:type="dxa"/>
            </w:tcMar>
            <w:vAlign w:val="center"/>
          </w:tcPr>
          <w:p w14:paraId="3FB3D2FE">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40</w:t>
            </w:r>
          </w:p>
        </w:tc>
        <w:tc>
          <w:tcPr>
            <w:tcW w:w="812" w:type="pct"/>
            <w:tcBorders>
              <w:top w:val="nil"/>
              <w:left w:val="nil"/>
              <w:bottom w:val="nil"/>
              <w:right w:val="nil"/>
            </w:tcBorders>
            <w:shd w:val="clear"/>
            <w:noWrap w:val="0"/>
            <w:tcMar>
              <w:top w:w="-1" w:type="dxa"/>
              <w:left w:w="-1" w:type="dxa"/>
              <w:bottom w:w="-1" w:type="dxa"/>
              <w:right w:w="-1" w:type="dxa"/>
            </w:tcMar>
            <w:vAlign w:val="center"/>
          </w:tcPr>
          <w:p w14:paraId="4438F013">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42</w:t>
            </w:r>
          </w:p>
        </w:tc>
        <w:tc>
          <w:tcPr>
            <w:tcW w:w="708" w:type="pct"/>
            <w:tcBorders>
              <w:top w:val="nil"/>
              <w:left w:val="nil"/>
              <w:bottom w:val="nil"/>
              <w:right w:val="nil"/>
            </w:tcBorders>
            <w:shd w:val="clear"/>
            <w:noWrap w:val="0"/>
            <w:tcMar>
              <w:top w:w="-1" w:type="dxa"/>
              <w:left w:w="-1" w:type="dxa"/>
              <w:bottom w:w="-1" w:type="dxa"/>
              <w:right w:w="-1" w:type="dxa"/>
            </w:tcMar>
            <w:vAlign w:val="center"/>
          </w:tcPr>
          <w:p w14:paraId="35A8F888">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26</w:t>
            </w:r>
          </w:p>
        </w:tc>
      </w:tr>
      <w:tr w14:paraId="012D5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08" w:type="pct"/>
            <w:tcBorders>
              <w:top w:val="nil"/>
              <w:left w:val="nil"/>
              <w:bottom w:val="nil"/>
              <w:right w:val="nil"/>
            </w:tcBorders>
            <w:shd w:val="clear"/>
            <w:noWrap w:val="0"/>
            <w:tcMar>
              <w:top w:w="-1" w:type="dxa"/>
              <w:left w:w="-1" w:type="dxa"/>
              <w:bottom w:w="-1" w:type="dxa"/>
              <w:right w:w="-1" w:type="dxa"/>
            </w:tcMar>
            <w:vAlign w:val="center"/>
          </w:tcPr>
          <w:p w14:paraId="4EFBA840">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Peak serum creatinine, μmol/L</w:t>
            </w:r>
          </w:p>
        </w:tc>
        <w:tc>
          <w:tcPr>
            <w:tcW w:w="763" w:type="pct"/>
            <w:tcBorders>
              <w:top w:val="nil"/>
              <w:left w:val="nil"/>
              <w:bottom w:val="nil"/>
              <w:right w:val="nil"/>
            </w:tcBorders>
            <w:shd w:val="clear"/>
            <w:noWrap w:val="0"/>
            <w:tcMar>
              <w:top w:w="-1" w:type="dxa"/>
              <w:left w:w="-1" w:type="dxa"/>
              <w:bottom w:w="-1" w:type="dxa"/>
              <w:right w:w="-1" w:type="dxa"/>
            </w:tcMar>
            <w:vAlign w:val="center"/>
          </w:tcPr>
          <w:p w14:paraId="3F3C1862">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180</w:t>
            </w:r>
          </w:p>
        </w:tc>
        <w:tc>
          <w:tcPr>
            <w:tcW w:w="1010" w:type="pct"/>
            <w:tcBorders>
              <w:top w:val="nil"/>
              <w:left w:val="nil"/>
              <w:bottom w:val="nil"/>
              <w:right w:val="nil"/>
            </w:tcBorders>
            <w:shd w:val="clear"/>
            <w:noWrap w:val="0"/>
            <w:tcMar>
              <w:top w:w="-1" w:type="dxa"/>
              <w:left w:w="-1" w:type="dxa"/>
              <w:bottom w:w="-1" w:type="dxa"/>
              <w:right w:w="-1" w:type="dxa"/>
            </w:tcMar>
            <w:vAlign w:val="center"/>
          </w:tcPr>
          <w:p w14:paraId="39C22A5B">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230</w:t>
            </w:r>
          </w:p>
        </w:tc>
        <w:tc>
          <w:tcPr>
            <w:tcW w:w="772" w:type="pct"/>
            <w:tcBorders>
              <w:top w:val="nil"/>
              <w:left w:val="nil"/>
              <w:bottom w:val="nil"/>
              <w:right w:val="nil"/>
            </w:tcBorders>
            <w:shd w:val="clear"/>
            <w:noWrap w:val="0"/>
            <w:tcMar>
              <w:top w:w="-1" w:type="dxa"/>
              <w:left w:w="-1" w:type="dxa"/>
              <w:bottom w:w="-1" w:type="dxa"/>
              <w:right w:w="-1" w:type="dxa"/>
            </w:tcMar>
            <w:vAlign w:val="center"/>
          </w:tcPr>
          <w:p w14:paraId="41646D19">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90</w:t>
            </w:r>
          </w:p>
        </w:tc>
        <w:tc>
          <w:tcPr>
            <w:tcW w:w="812" w:type="pct"/>
            <w:tcBorders>
              <w:top w:val="nil"/>
              <w:left w:val="nil"/>
              <w:bottom w:val="nil"/>
              <w:right w:val="nil"/>
            </w:tcBorders>
            <w:shd w:val="clear"/>
            <w:noWrap w:val="0"/>
            <w:tcMar>
              <w:top w:w="-1" w:type="dxa"/>
              <w:left w:w="-1" w:type="dxa"/>
              <w:bottom w:w="-1" w:type="dxa"/>
              <w:right w:w="-1" w:type="dxa"/>
            </w:tcMar>
            <w:vAlign w:val="center"/>
          </w:tcPr>
          <w:p w14:paraId="65EC1DDE">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61</w:t>
            </w:r>
          </w:p>
        </w:tc>
        <w:tc>
          <w:tcPr>
            <w:tcW w:w="708" w:type="pct"/>
            <w:tcBorders>
              <w:top w:val="nil"/>
              <w:left w:val="nil"/>
              <w:bottom w:val="nil"/>
              <w:right w:val="nil"/>
            </w:tcBorders>
            <w:shd w:val="clear"/>
            <w:noWrap w:val="0"/>
            <w:tcMar>
              <w:top w:w="-1" w:type="dxa"/>
              <w:left w:w="-1" w:type="dxa"/>
              <w:bottom w:w="-1" w:type="dxa"/>
              <w:right w:w="-1" w:type="dxa"/>
            </w:tcMar>
            <w:vAlign w:val="center"/>
          </w:tcPr>
          <w:p w14:paraId="7AEBF95E">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119</w:t>
            </w:r>
          </w:p>
        </w:tc>
      </w:tr>
      <w:tr w14:paraId="09C2B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CellSpacing w:w="15" w:type="dxa"/>
          <w:jc w:val="center"/>
        </w:trPr>
        <w:tc>
          <w:tcPr>
            <w:tcW w:w="808" w:type="pct"/>
            <w:tcBorders>
              <w:top w:val="nil"/>
              <w:left w:val="nil"/>
              <w:bottom w:val="single" w:color="auto" w:sz="12" w:space="0"/>
              <w:right w:val="nil"/>
            </w:tcBorders>
            <w:shd w:val="clear"/>
            <w:noWrap w:val="0"/>
            <w:tcMar>
              <w:top w:w="-1" w:type="dxa"/>
              <w:left w:w="-1" w:type="dxa"/>
              <w:bottom w:w="-1" w:type="dxa"/>
              <w:right w:w="-1" w:type="dxa"/>
            </w:tcMar>
            <w:vAlign w:val="center"/>
          </w:tcPr>
          <w:p w14:paraId="09F176F1">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Peak total bilirubin, μmol/L</w:t>
            </w:r>
          </w:p>
        </w:tc>
        <w:tc>
          <w:tcPr>
            <w:tcW w:w="763" w:type="pct"/>
            <w:tcBorders>
              <w:top w:val="nil"/>
              <w:left w:val="nil"/>
              <w:bottom w:val="single" w:color="auto" w:sz="12" w:space="0"/>
              <w:right w:val="nil"/>
            </w:tcBorders>
            <w:shd w:val="clear"/>
            <w:noWrap w:val="0"/>
            <w:tcMar>
              <w:top w:w="-1" w:type="dxa"/>
              <w:left w:w="-1" w:type="dxa"/>
              <w:bottom w:w="-1" w:type="dxa"/>
              <w:right w:w="-1" w:type="dxa"/>
            </w:tcMar>
            <w:vAlign w:val="center"/>
          </w:tcPr>
          <w:p w14:paraId="41BF5683">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77.1</w:t>
            </w:r>
          </w:p>
        </w:tc>
        <w:tc>
          <w:tcPr>
            <w:tcW w:w="1010" w:type="pct"/>
            <w:tcBorders>
              <w:top w:val="nil"/>
              <w:left w:val="nil"/>
              <w:bottom w:val="single" w:color="auto" w:sz="12" w:space="0"/>
              <w:right w:val="nil"/>
            </w:tcBorders>
            <w:shd w:val="clear"/>
            <w:noWrap w:val="0"/>
            <w:tcMar>
              <w:top w:w="-1" w:type="dxa"/>
              <w:left w:w="-1" w:type="dxa"/>
              <w:bottom w:w="-1" w:type="dxa"/>
              <w:right w:w="-1" w:type="dxa"/>
            </w:tcMar>
            <w:vAlign w:val="center"/>
          </w:tcPr>
          <w:p w14:paraId="5A9B3978">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58.9</w:t>
            </w:r>
          </w:p>
        </w:tc>
        <w:tc>
          <w:tcPr>
            <w:tcW w:w="772" w:type="pct"/>
            <w:tcBorders>
              <w:top w:val="nil"/>
              <w:left w:val="nil"/>
              <w:bottom w:val="single" w:color="auto" w:sz="12" w:space="0"/>
              <w:right w:val="nil"/>
            </w:tcBorders>
            <w:shd w:val="clear"/>
            <w:noWrap w:val="0"/>
            <w:tcMar>
              <w:top w:w="-1" w:type="dxa"/>
              <w:left w:w="-1" w:type="dxa"/>
              <w:bottom w:w="-1" w:type="dxa"/>
              <w:right w:w="-1" w:type="dxa"/>
            </w:tcMar>
            <w:vAlign w:val="center"/>
          </w:tcPr>
          <w:p w14:paraId="281F3166">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11.1</w:t>
            </w:r>
          </w:p>
        </w:tc>
        <w:tc>
          <w:tcPr>
            <w:tcW w:w="812" w:type="pct"/>
            <w:tcBorders>
              <w:top w:val="nil"/>
              <w:left w:val="nil"/>
              <w:bottom w:val="single" w:color="auto" w:sz="12" w:space="0"/>
              <w:right w:val="nil"/>
            </w:tcBorders>
            <w:shd w:val="clear"/>
            <w:noWrap w:val="0"/>
            <w:tcMar>
              <w:top w:w="-1" w:type="dxa"/>
              <w:left w:w="-1" w:type="dxa"/>
              <w:bottom w:w="-1" w:type="dxa"/>
              <w:right w:w="-1" w:type="dxa"/>
            </w:tcMar>
            <w:vAlign w:val="center"/>
          </w:tcPr>
          <w:p w14:paraId="33203CE9">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27.2</w:t>
            </w:r>
          </w:p>
        </w:tc>
        <w:tc>
          <w:tcPr>
            <w:tcW w:w="708" w:type="pct"/>
            <w:tcBorders>
              <w:top w:val="nil"/>
              <w:left w:val="nil"/>
              <w:bottom w:val="single" w:color="auto" w:sz="12" w:space="0"/>
              <w:right w:val="nil"/>
            </w:tcBorders>
            <w:shd w:val="clear"/>
            <w:noWrap w:val="0"/>
            <w:tcMar>
              <w:top w:w="-1" w:type="dxa"/>
              <w:left w:w="-1" w:type="dxa"/>
              <w:bottom w:w="-1" w:type="dxa"/>
              <w:right w:w="-1" w:type="dxa"/>
            </w:tcMar>
            <w:vAlign w:val="center"/>
          </w:tcPr>
          <w:p w14:paraId="36B915A1">
            <w:pPr>
              <w:keepNext w:val="0"/>
              <w:keepLines w:val="0"/>
              <w:widowControl/>
              <w:suppressLineNumbers w:val="0"/>
              <w:snapToGrid w:val="0"/>
              <w:ind w:left="0" w:leftChars="0" w:right="0" w:rightChars="0" w:firstLine="0" w:firstLineChars="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rPr>
              <w:t>39.0</w:t>
            </w:r>
          </w:p>
        </w:tc>
      </w:tr>
    </w:tbl>
    <w:p w14:paraId="4E5CF62A">
      <w:pPr>
        <w:pStyle w:val="2"/>
        <w:keepNext w:val="0"/>
        <w:keepLines w:val="0"/>
        <w:widowControl/>
        <w:suppressLineNumbers w:val="0"/>
        <w:rPr>
          <w:rFonts w:hint="default" w:ascii="Times New Roman" w:hAnsi="Times New Roman" w:cs="Times New Roman"/>
          <w:sz w:val="21"/>
          <w:szCs w:val="21"/>
        </w:rPr>
      </w:pPr>
      <w:r>
        <w:rPr>
          <w:rStyle w:val="5"/>
          <w:rFonts w:hint="default" w:ascii="Times New Roman" w:hAnsi="Times New Roman" w:cs="Times New Roman"/>
          <w:sz w:val="21"/>
          <w:szCs w:val="21"/>
        </w:rPr>
        <w:t>Abbreviations:</w:t>
      </w:r>
      <w:r>
        <w:rPr>
          <w:rFonts w:hint="default" w:ascii="Times New Roman" w:hAnsi="Times New Roman" w:cs="Times New Roman"/>
          <w:sz w:val="21"/>
          <w:szCs w:val="21"/>
        </w:rPr>
        <w:t xml:space="preserve"> AKI, acute kidney injury; APACHE II, Acute Physiology and Chronic Health Evaluation II; ARDS, acute respiratory distress syndrome; ICU, intensive care unit; SOFA, Sequential Organ Failure Assessment.</w:t>
      </w:r>
    </w:p>
    <w:p w14:paraId="5EB78BFE">
      <w:pPr>
        <w:pStyle w:val="2"/>
        <w:keepNext w:val="0"/>
        <w:keepLines w:val="0"/>
        <w:widowControl/>
        <w:suppressLineNumbers w:val="0"/>
        <w:rPr>
          <w:rFonts w:hint="default" w:ascii="Times New Roman" w:hAnsi="Times New Roman" w:cs="Times New Roman"/>
          <w:sz w:val="21"/>
          <w:szCs w:val="21"/>
        </w:rPr>
      </w:pPr>
      <w:r>
        <w:rPr>
          <w:rStyle w:val="5"/>
          <w:rFonts w:hint="default" w:ascii="Times New Roman" w:hAnsi="Times New Roman" w:cs="Times New Roman"/>
          <w:sz w:val="21"/>
          <w:szCs w:val="21"/>
        </w:rPr>
        <w:t>Note:</w:t>
      </w:r>
      <w:r>
        <w:rPr>
          <w:rFonts w:hint="default" w:ascii="Times New Roman" w:hAnsi="Times New Roman" w:cs="Times New Roman"/>
          <w:sz w:val="21"/>
          <w:szCs w:val="21"/>
        </w:rPr>
        <w:t xml:space="preserve"> SOFA and APACHE II scores were recorded at ICU admission and do not represent subsequent peak illness severity. Physiological and laboratory variables represent clinically relevant extreme values recorded during the acute illness: PaO₂/FiO₂ is the lowest recorded ratio; lactate, serum creatinine, and total bilirubin are peak values; platelet count is the nadir. Extreme values may have occurred at different time points and should not be interpreted as concurrent measurements.</w:t>
      </w:r>
    </w:p>
    <w:p w14:paraId="7A4A3A25">
      <w:pPr>
        <w:rPr>
          <w:rFonts w:hint="default" w:ascii="Times New Roman" w:hAnsi="Times New Roman" w:eastAsia="宋体" w:cs="Times New Roman"/>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FD42B8"/>
    <w:rsid w:val="00AE30B0"/>
    <w:rsid w:val="14E3515C"/>
    <w:rsid w:val="183D2FD1"/>
    <w:rsid w:val="28E05C4D"/>
    <w:rsid w:val="31030467"/>
    <w:rsid w:val="349D2C44"/>
    <w:rsid w:val="3B11613A"/>
    <w:rsid w:val="4F573914"/>
    <w:rsid w:val="52E94897"/>
    <w:rsid w:val="55C73B6D"/>
    <w:rsid w:val="585C7749"/>
    <w:rsid w:val="5C4C26D6"/>
    <w:rsid w:val="680A7DEC"/>
    <w:rsid w:val="6DFD42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247</Words>
  <Characters>1436</Characters>
  <Lines>0</Lines>
  <Paragraphs>0</Paragraphs>
  <TotalTime>0</TotalTime>
  <ScaleCrop>false</ScaleCrop>
  <LinksUpToDate>false</LinksUpToDate>
  <CharactersWithSpaces>1608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2026-09-25T07:34:00Z</dcterms:created>
  <dc:creator>朱悦</dc:creator>
  <cp:lastModifiedBy>朱悦</cp:lastModifiedBy>
  <dcterms:modified xsi:type="dcterms:W3CDTF">2026-09-30T12:35:20Z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E706744555B6408DAB83D220F6EBBD2D_11</vt:lpwstr>
  </property>
  <property fmtid="{D5CDD505-2E9C-101B-9397-08002B2CF9AE}" pid="4" name="KSOTemplateDocerSaveRecord">
    <vt:lpwstr>eyJoZGlkIjoiOWZkOWUzYjBiYTU2NzhiNTFmODQxZDRjM2UwYmYyMDEiLCJ1c2VySWQiOiIxNjQwMjYxMjgxIn0=</vt:lpwstr>
  </property>
</Properties>
</file>