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A300C">
      <w:pP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Table 2. Microbiological Findings, Antimicrobial Treatment, Organ Support, and Outcomes</w:t>
      </w:r>
    </w:p>
    <w:tbl>
      <w:tblPr>
        <w:tblW w:w="5000"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39"/>
        <w:gridCol w:w="1255"/>
        <w:gridCol w:w="1357"/>
        <w:gridCol w:w="1332"/>
        <w:gridCol w:w="1332"/>
        <w:gridCol w:w="1381"/>
      </w:tblGrid>
      <w:tr w14:paraId="5475D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05FC6E6C">
            <w:pPr>
              <w:keepNext w:val="0"/>
              <w:keepLines w:val="0"/>
              <w:widowControl/>
              <w:suppressLineNumbers w:val="0"/>
              <w:snapToGrid w:val="0"/>
              <w:jc w:val="center"/>
              <w:rPr>
                <w:rFonts w:hint="default" w:ascii="Times New Roman" w:hAnsi="Times New Roman" w:cs="Times New Roman"/>
                <w:b/>
                <w:bCs/>
                <w:sz w:val="21"/>
                <w:szCs w:val="21"/>
              </w:rPr>
            </w:pPr>
            <w:bookmarkStart w:id="0" w:name="_GoBack"/>
            <w:bookmarkEnd w:id="0"/>
            <w:r>
              <w:rPr>
                <w:rFonts w:hint="default" w:ascii="Times New Roman" w:hAnsi="Times New Roman" w:eastAsia="宋体" w:cs="Times New Roman"/>
                <w:b/>
                <w:bCs/>
                <w:kern w:val="0"/>
                <w:sz w:val="21"/>
                <w:szCs w:val="21"/>
                <w:lang w:val="en-US" w:eastAsia="zh-CN" w:bidi="ar"/>
              </w:rPr>
              <w:t>Characteristic</w:t>
            </w:r>
          </w:p>
        </w:tc>
        <w:tc>
          <w:tcPr>
            <w:tcW w:w="729" w:type="pct"/>
            <w:shd w:val="clear"/>
            <w:vAlign w:val="center"/>
          </w:tcPr>
          <w:p w14:paraId="7B5825E5">
            <w:pPr>
              <w:keepNext w:val="0"/>
              <w:keepLines w:val="0"/>
              <w:widowControl/>
              <w:suppressLineNumbers w:val="0"/>
              <w:snapToGrid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1</w:t>
            </w:r>
          </w:p>
        </w:tc>
        <w:tc>
          <w:tcPr>
            <w:tcW w:w="790" w:type="pct"/>
            <w:shd w:val="clear"/>
            <w:vAlign w:val="center"/>
          </w:tcPr>
          <w:p w14:paraId="794DF63A">
            <w:pPr>
              <w:keepNext w:val="0"/>
              <w:keepLines w:val="0"/>
              <w:widowControl/>
              <w:suppressLineNumbers w:val="0"/>
              <w:snapToGrid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2</w:t>
            </w:r>
          </w:p>
        </w:tc>
        <w:tc>
          <w:tcPr>
            <w:tcW w:w="775" w:type="pct"/>
            <w:shd w:val="clear"/>
            <w:vAlign w:val="center"/>
          </w:tcPr>
          <w:p w14:paraId="2F17B954">
            <w:pPr>
              <w:keepNext w:val="0"/>
              <w:keepLines w:val="0"/>
              <w:widowControl/>
              <w:suppressLineNumbers w:val="0"/>
              <w:snapToGrid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3</w:t>
            </w:r>
          </w:p>
        </w:tc>
        <w:tc>
          <w:tcPr>
            <w:tcW w:w="775" w:type="pct"/>
            <w:shd w:val="clear"/>
            <w:vAlign w:val="center"/>
          </w:tcPr>
          <w:p w14:paraId="4033F0FA">
            <w:pPr>
              <w:keepNext w:val="0"/>
              <w:keepLines w:val="0"/>
              <w:widowControl/>
              <w:suppressLineNumbers w:val="0"/>
              <w:snapToGrid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4</w:t>
            </w:r>
          </w:p>
        </w:tc>
        <w:tc>
          <w:tcPr>
            <w:tcW w:w="795" w:type="pct"/>
            <w:shd w:val="clear"/>
            <w:vAlign w:val="center"/>
          </w:tcPr>
          <w:p w14:paraId="09E9C250">
            <w:pPr>
              <w:keepNext w:val="0"/>
              <w:keepLines w:val="0"/>
              <w:widowControl/>
              <w:suppressLineNumbers w:val="0"/>
              <w:snapToGrid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5</w:t>
            </w:r>
          </w:p>
        </w:tc>
      </w:tr>
      <w:tr w14:paraId="28E3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77A2B438">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Pathogen</w:t>
            </w:r>
          </w:p>
        </w:tc>
        <w:tc>
          <w:tcPr>
            <w:tcW w:w="729" w:type="pct"/>
            <w:shd w:val="clear"/>
            <w:vAlign w:val="center"/>
          </w:tcPr>
          <w:p w14:paraId="6C2AE11B">
            <w:pPr>
              <w:keepNext w:val="0"/>
              <w:keepLines w:val="0"/>
              <w:widowControl/>
              <w:suppressLineNumbers w:val="0"/>
              <w:snapToGrid w:val="0"/>
              <w:jc w:val="left"/>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R. japonica</w:t>
            </w:r>
          </w:p>
        </w:tc>
        <w:tc>
          <w:tcPr>
            <w:tcW w:w="790" w:type="pct"/>
            <w:shd w:val="clear"/>
            <w:vAlign w:val="center"/>
          </w:tcPr>
          <w:p w14:paraId="1F57A158">
            <w:pPr>
              <w:keepNext w:val="0"/>
              <w:keepLines w:val="0"/>
              <w:widowControl/>
              <w:suppressLineNumbers w:val="0"/>
              <w:snapToGrid w:val="0"/>
              <w:jc w:val="left"/>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R. japonica</w:t>
            </w:r>
          </w:p>
        </w:tc>
        <w:tc>
          <w:tcPr>
            <w:tcW w:w="775" w:type="pct"/>
            <w:shd w:val="clear"/>
            <w:vAlign w:val="center"/>
          </w:tcPr>
          <w:p w14:paraId="6D0B1076">
            <w:pPr>
              <w:keepNext w:val="0"/>
              <w:keepLines w:val="0"/>
              <w:widowControl/>
              <w:suppressLineNumbers w:val="0"/>
              <w:snapToGrid w:val="0"/>
              <w:jc w:val="left"/>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O. tsutsugamushi</w:t>
            </w:r>
          </w:p>
        </w:tc>
        <w:tc>
          <w:tcPr>
            <w:tcW w:w="775" w:type="pct"/>
            <w:shd w:val="clear"/>
            <w:vAlign w:val="center"/>
          </w:tcPr>
          <w:p w14:paraId="36845E4E">
            <w:pPr>
              <w:keepNext w:val="0"/>
              <w:keepLines w:val="0"/>
              <w:widowControl/>
              <w:suppressLineNumbers w:val="0"/>
              <w:snapToGrid w:val="0"/>
              <w:jc w:val="left"/>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O. tsutsugamushi</w:t>
            </w:r>
          </w:p>
        </w:tc>
        <w:tc>
          <w:tcPr>
            <w:tcW w:w="795" w:type="pct"/>
            <w:shd w:val="clear"/>
            <w:vAlign w:val="center"/>
          </w:tcPr>
          <w:p w14:paraId="654ACEDD">
            <w:pPr>
              <w:keepNext w:val="0"/>
              <w:keepLines w:val="0"/>
              <w:widowControl/>
              <w:suppressLineNumbers w:val="0"/>
              <w:snapToGrid w:val="0"/>
              <w:jc w:val="left"/>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R. japonica</w:t>
            </w:r>
          </w:p>
        </w:tc>
      </w:tr>
      <w:tr w14:paraId="6E31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4FD5D084">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mNGS date</w:t>
            </w:r>
          </w:p>
        </w:tc>
        <w:tc>
          <w:tcPr>
            <w:tcW w:w="729" w:type="pct"/>
            <w:shd w:val="clear"/>
            <w:vAlign w:val="center"/>
          </w:tcPr>
          <w:p w14:paraId="7F0BC544">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Apr 20, 2024</w:t>
            </w:r>
          </w:p>
        </w:tc>
        <w:tc>
          <w:tcPr>
            <w:tcW w:w="790" w:type="pct"/>
            <w:shd w:val="clear"/>
            <w:vAlign w:val="center"/>
          </w:tcPr>
          <w:p w14:paraId="38BFEB7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May 8, 2024</w:t>
            </w:r>
          </w:p>
        </w:tc>
        <w:tc>
          <w:tcPr>
            <w:tcW w:w="775" w:type="pct"/>
            <w:shd w:val="clear"/>
            <w:vAlign w:val="center"/>
          </w:tcPr>
          <w:p w14:paraId="47DE07C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Aug 7, 2025</w:t>
            </w:r>
          </w:p>
        </w:tc>
        <w:tc>
          <w:tcPr>
            <w:tcW w:w="775" w:type="pct"/>
            <w:shd w:val="clear"/>
            <w:vAlign w:val="center"/>
          </w:tcPr>
          <w:p w14:paraId="2C0740C7">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Sep 5, 2025</w:t>
            </w:r>
          </w:p>
        </w:tc>
        <w:tc>
          <w:tcPr>
            <w:tcW w:w="795" w:type="pct"/>
            <w:shd w:val="clear"/>
            <w:vAlign w:val="center"/>
          </w:tcPr>
          <w:p w14:paraId="774FDD3F">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Sep 23, 2026</w:t>
            </w:r>
          </w:p>
        </w:tc>
      </w:tr>
      <w:tr w14:paraId="222D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26BB5630">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Specimen tested</w:t>
            </w:r>
          </w:p>
        </w:tc>
        <w:tc>
          <w:tcPr>
            <w:tcW w:w="729" w:type="pct"/>
            <w:shd w:val="clear"/>
            <w:vAlign w:val="center"/>
          </w:tcPr>
          <w:p w14:paraId="25AADEE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Blood and BALF</w:t>
            </w:r>
          </w:p>
        </w:tc>
        <w:tc>
          <w:tcPr>
            <w:tcW w:w="790" w:type="pct"/>
            <w:shd w:val="clear"/>
            <w:vAlign w:val="center"/>
          </w:tcPr>
          <w:p w14:paraId="27CC937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Blood</w:t>
            </w:r>
          </w:p>
        </w:tc>
        <w:tc>
          <w:tcPr>
            <w:tcW w:w="775" w:type="pct"/>
            <w:shd w:val="clear"/>
            <w:vAlign w:val="center"/>
          </w:tcPr>
          <w:p w14:paraId="7A254251">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CSF</w:t>
            </w:r>
          </w:p>
        </w:tc>
        <w:tc>
          <w:tcPr>
            <w:tcW w:w="775" w:type="pct"/>
            <w:shd w:val="clear"/>
            <w:vAlign w:val="center"/>
          </w:tcPr>
          <w:p w14:paraId="0309A7B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Blood</w:t>
            </w:r>
          </w:p>
        </w:tc>
        <w:tc>
          <w:tcPr>
            <w:tcW w:w="795" w:type="pct"/>
            <w:shd w:val="clear"/>
            <w:vAlign w:val="center"/>
          </w:tcPr>
          <w:p w14:paraId="5497BD4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Blood</w:t>
            </w:r>
          </w:p>
        </w:tc>
      </w:tr>
      <w:tr w14:paraId="40045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5DC27751">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Organism-specific reads</w:t>
            </w:r>
          </w:p>
        </w:tc>
        <w:tc>
          <w:tcPr>
            <w:tcW w:w="729" w:type="pct"/>
            <w:shd w:val="clear"/>
            <w:vAlign w:val="center"/>
          </w:tcPr>
          <w:p w14:paraId="2AEC21B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Blood, 11; BALF, 5</w:t>
            </w:r>
          </w:p>
        </w:tc>
        <w:tc>
          <w:tcPr>
            <w:tcW w:w="790" w:type="pct"/>
            <w:shd w:val="clear"/>
            <w:vAlign w:val="center"/>
          </w:tcPr>
          <w:p w14:paraId="4C79E489">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3</w:t>
            </w:r>
          </w:p>
        </w:tc>
        <w:tc>
          <w:tcPr>
            <w:tcW w:w="775" w:type="pct"/>
            <w:shd w:val="clear"/>
            <w:vAlign w:val="center"/>
          </w:tcPr>
          <w:p w14:paraId="28C2BC52">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23</w:t>
            </w:r>
          </w:p>
        </w:tc>
        <w:tc>
          <w:tcPr>
            <w:tcW w:w="775" w:type="pct"/>
            <w:shd w:val="clear"/>
            <w:vAlign w:val="center"/>
          </w:tcPr>
          <w:p w14:paraId="3743A06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191</w:t>
            </w:r>
          </w:p>
        </w:tc>
        <w:tc>
          <w:tcPr>
            <w:tcW w:w="795" w:type="pct"/>
            <w:shd w:val="clear"/>
            <w:vAlign w:val="center"/>
          </w:tcPr>
          <w:p w14:paraId="59AB754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35</w:t>
            </w:r>
          </w:p>
        </w:tc>
      </w:tr>
      <w:tr w14:paraId="0E19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0169CE8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Additional microbial detection by mNGS</w:t>
            </w:r>
          </w:p>
        </w:tc>
        <w:tc>
          <w:tcPr>
            <w:tcW w:w="729" w:type="pct"/>
            <w:shd w:val="clear"/>
            <w:vAlign w:val="center"/>
          </w:tcPr>
          <w:p w14:paraId="3F5A3802">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EBV (HHV-4), 25 reads</w:t>
            </w:r>
          </w:p>
        </w:tc>
        <w:tc>
          <w:tcPr>
            <w:tcW w:w="790" w:type="pct"/>
            <w:shd w:val="clear"/>
            <w:vAlign w:val="center"/>
          </w:tcPr>
          <w:p w14:paraId="21D532E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None reported</w:t>
            </w:r>
          </w:p>
        </w:tc>
        <w:tc>
          <w:tcPr>
            <w:tcW w:w="775" w:type="pct"/>
            <w:shd w:val="clear"/>
            <w:vAlign w:val="center"/>
          </w:tcPr>
          <w:p w14:paraId="286E582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None reported</w:t>
            </w:r>
          </w:p>
        </w:tc>
        <w:tc>
          <w:tcPr>
            <w:tcW w:w="775" w:type="pct"/>
            <w:shd w:val="clear"/>
            <w:vAlign w:val="center"/>
          </w:tcPr>
          <w:p w14:paraId="78C69070">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None reported</w:t>
            </w:r>
          </w:p>
        </w:tc>
        <w:tc>
          <w:tcPr>
            <w:tcW w:w="795" w:type="pct"/>
            <w:shd w:val="clear"/>
            <w:vAlign w:val="center"/>
          </w:tcPr>
          <w:p w14:paraId="63E45541">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EBV (HHV-4), 3 reads</w:t>
            </w:r>
          </w:p>
        </w:tc>
      </w:tr>
      <w:tr w14:paraId="409C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6188277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Antimicrobial regimen</w:t>
            </w:r>
          </w:p>
        </w:tc>
        <w:tc>
          <w:tcPr>
            <w:tcW w:w="729" w:type="pct"/>
            <w:shd w:val="clear"/>
            <w:vAlign w:val="center"/>
          </w:tcPr>
          <w:p w14:paraId="002B3E3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Doxycycline + moxifloxacin</w:t>
            </w:r>
          </w:p>
        </w:tc>
        <w:tc>
          <w:tcPr>
            <w:tcW w:w="790" w:type="pct"/>
            <w:shd w:val="clear"/>
            <w:vAlign w:val="center"/>
          </w:tcPr>
          <w:p w14:paraId="2492B334">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Doxycycline; omadacycline sequentially</w:t>
            </w:r>
          </w:p>
        </w:tc>
        <w:tc>
          <w:tcPr>
            <w:tcW w:w="775" w:type="pct"/>
            <w:shd w:val="clear"/>
            <w:vAlign w:val="center"/>
          </w:tcPr>
          <w:p w14:paraId="0350867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Doxycycline + azithromycin</w:t>
            </w:r>
          </w:p>
        </w:tc>
        <w:tc>
          <w:tcPr>
            <w:tcW w:w="775" w:type="pct"/>
            <w:shd w:val="clear"/>
            <w:vAlign w:val="center"/>
          </w:tcPr>
          <w:p w14:paraId="1DD43AC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Doxycycline + azithromycin</w:t>
            </w:r>
          </w:p>
        </w:tc>
        <w:tc>
          <w:tcPr>
            <w:tcW w:w="795" w:type="pct"/>
            <w:shd w:val="clear"/>
            <w:vAlign w:val="center"/>
          </w:tcPr>
          <w:p w14:paraId="3923DBE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Doxycycline + azithromycin</w:t>
            </w:r>
          </w:p>
        </w:tc>
      </w:tr>
      <w:tr w14:paraId="6FA22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557CA48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Vasoactive support</w:t>
            </w:r>
          </w:p>
        </w:tc>
        <w:tc>
          <w:tcPr>
            <w:tcW w:w="729" w:type="pct"/>
            <w:shd w:val="clear"/>
            <w:vAlign w:val="center"/>
          </w:tcPr>
          <w:p w14:paraId="4649EAC5">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90" w:type="pct"/>
            <w:shd w:val="clear"/>
            <w:vAlign w:val="center"/>
          </w:tcPr>
          <w:p w14:paraId="05092D97">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75" w:type="pct"/>
            <w:shd w:val="clear"/>
            <w:vAlign w:val="center"/>
          </w:tcPr>
          <w:p w14:paraId="76542F88">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75" w:type="pct"/>
            <w:shd w:val="clear"/>
            <w:vAlign w:val="center"/>
          </w:tcPr>
          <w:p w14:paraId="2F8B80D5">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95" w:type="pct"/>
            <w:shd w:val="clear"/>
            <w:vAlign w:val="center"/>
          </w:tcPr>
          <w:p w14:paraId="0C8362B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r>
      <w:tr w14:paraId="08E48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03429C7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Invasive mechanical ventilation</w:t>
            </w:r>
          </w:p>
        </w:tc>
        <w:tc>
          <w:tcPr>
            <w:tcW w:w="729" w:type="pct"/>
            <w:shd w:val="clear"/>
            <w:vAlign w:val="center"/>
          </w:tcPr>
          <w:p w14:paraId="5FC62A98">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90" w:type="pct"/>
            <w:shd w:val="clear"/>
            <w:vAlign w:val="center"/>
          </w:tcPr>
          <w:p w14:paraId="5FF2D03F">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75" w:type="pct"/>
            <w:shd w:val="clear"/>
            <w:vAlign w:val="center"/>
          </w:tcPr>
          <w:p w14:paraId="0976B78A">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75" w:type="pct"/>
            <w:shd w:val="clear"/>
            <w:vAlign w:val="center"/>
          </w:tcPr>
          <w:p w14:paraId="5CBA678D">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95" w:type="pct"/>
            <w:shd w:val="clear"/>
            <w:vAlign w:val="center"/>
          </w:tcPr>
          <w:p w14:paraId="12EDFAA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r>
      <w:tr w14:paraId="0AAD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3C64D85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CRRT</w:t>
            </w:r>
          </w:p>
        </w:tc>
        <w:tc>
          <w:tcPr>
            <w:tcW w:w="729" w:type="pct"/>
            <w:shd w:val="clear"/>
            <w:vAlign w:val="center"/>
          </w:tcPr>
          <w:p w14:paraId="6A3477E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c>
          <w:tcPr>
            <w:tcW w:w="790" w:type="pct"/>
            <w:shd w:val="clear"/>
            <w:vAlign w:val="center"/>
          </w:tcPr>
          <w:p w14:paraId="077203D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75" w:type="pct"/>
            <w:shd w:val="clear"/>
            <w:vAlign w:val="center"/>
          </w:tcPr>
          <w:p w14:paraId="3DE7999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75" w:type="pct"/>
            <w:shd w:val="clear"/>
            <w:vAlign w:val="center"/>
          </w:tcPr>
          <w:p w14:paraId="14A52F24">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95" w:type="pct"/>
            <w:shd w:val="clear"/>
            <w:vAlign w:val="center"/>
          </w:tcPr>
          <w:p w14:paraId="405C13D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Yes</w:t>
            </w:r>
          </w:p>
        </w:tc>
      </w:tr>
      <w:tr w14:paraId="3E345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3830874B">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ECMO</w:t>
            </w:r>
          </w:p>
        </w:tc>
        <w:tc>
          <w:tcPr>
            <w:tcW w:w="729" w:type="pct"/>
            <w:shd w:val="clear"/>
            <w:vAlign w:val="center"/>
          </w:tcPr>
          <w:p w14:paraId="7254A2C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VV-ECMO</w:t>
            </w:r>
          </w:p>
        </w:tc>
        <w:tc>
          <w:tcPr>
            <w:tcW w:w="790" w:type="pct"/>
            <w:shd w:val="clear"/>
            <w:vAlign w:val="center"/>
          </w:tcPr>
          <w:p w14:paraId="1A53E55D">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75" w:type="pct"/>
            <w:shd w:val="clear"/>
            <w:vAlign w:val="center"/>
          </w:tcPr>
          <w:p w14:paraId="47F3F74F">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75" w:type="pct"/>
            <w:shd w:val="clear"/>
            <w:vAlign w:val="center"/>
          </w:tcPr>
          <w:p w14:paraId="7C4785FA">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c>
          <w:tcPr>
            <w:tcW w:w="795" w:type="pct"/>
            <w:shd w:val="clear"/>
            <w:vAlign w:val="center"/>
          </w:tcPr>
          <w:p w14:paraId="0A9E12F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w:t>
            </w:r>
          </w:p>
        </w:tc>
      </w:tr>
      <w:tr w14:paraId="52B5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59991824">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ICU length of stay, days</w:t>
            </w:r>
          </w:p>
        </w:tc>
        <w:tc>
          <w:tcPr>
            <w:tcW w:w="729" w:type="pct"/>
            <w:shd w:val="clear"/>
            <w:vAlign w:val="center"/>
          </w:tcPr>
          <w:p w14:paraId="13B6FDA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15</w:t>
            </w:r>
          </w:p>
        </w:tc>
        <w:tc>
          <w:tcPr>
            <w:tcW w:w="790" w:type="pct"/>
            <w:shd w:val="clear"/>
            <w:vAlign w:val="center"/>
          </w:tcPr>
          <w:p w14:paraId="57117AC9">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5</w:t>
            </w:r>
          </w:p>
        </w:tc>
        <w:tc>
          <w:tcPr>
            <w:tcW w:w="775" w:type="pct"/>
            <w:shd w:val="clear"/>
            <w:vAlign w:val="center"/>
          </w:tcPr>
          <w:p w14:paraId="4F90DCBD">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6</w:t>
            </w:r>
          </w:p>
        </w:tc>
        <w:tc>
          <w:tcPr>
            <w:tcW w:w="775" w:type="pct"/>
            <w:shd w:val="clear"/>
            <w:vAlign w:val="center"/>
          </w:tcPr>
          <w:p w14:paraId="3B13F18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6</w:t>
            </w:r>
          </w:p>
        </w:tc>
        <w:tc>
          <w:tcPr>
            <w:tcW w:w="795" w:type="pct"/>
            <w:shd w:val="clear"/>
            <w:vAlign w:val="center"/>
          </w:tcPr>
          <w:p w14:paraId="3F148801">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Not final at cutoff</w:t>
            </w:r>
          </w:p>
        </w:tc>
      </w:tr>
      <w:tr w14:paraId="58977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4A200D2A">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Hospital length of stay, days</w:t>
            </w:r>
          </w:p>
        </w:tc>
        <w:tc>
          <w:tcPr>
            <w:tcW w:w="729" w:type="pct"/>
            <w:shd w:val="clear"/>
            <w:vAlign w:val="center"/>
          </w:tcPr>
          <w:p w14:paraId="0DD2F5C4">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23</w:t>
            </w:r>
          </w:p>
        </w:tc>
        <w:tc>
          <w:tcPr>
            <w:tcW w:w="790" w:type="pct"/>
            <w:shd w:val="clear"/>
            <w:vAlign w:val="center"/>
          </w:tcPr>
          <w:p w14:paraId="05F7803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9</w:t>
            </w:r>
          </w:p>
        </w:tc>
        <w:tc>
          <w:tcPr>
            <w:tcW w:w="775" w:type="pct"/>
            <w:shd w:val="clear"/>
            <w:vAlign w:val="center"/>
          </w:tcPr>
          <w:p w14:paraId="0C986522">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10</w:t>
            </w:r>
          </w:p>
        </w:tc>
        <w:tc>
          <w:tcPr>
            <w:tcW w:w="775" w:type="pct"/>
            <w:shd w:val="clear"/>
            <w:vAlign w:val="center"/>
          </w:tcPr>
          <w:p w14:paraId="7FC3BA4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13</w:t>
            </w:r>
          </w:p>
        </w:tc>
        <w:tc>
          <w:tcPr>
            <w:tcW w:w="795" w:type="pct"/>
            <w:shd w:val="clear"/>
            <w:vAlign w:val="center"/>
          </w:tcPr>
          <w:p w14:paraId="4B70A6C0">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Not final at cutoff</w:t>
            </w:r>
          </w:p>
        </w:tc>
      </w:tr>
      <w:tr w14:paraId="57498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1008" w:type="pct"/>
            <w:shd w:val="clear"/>
            <w:vAlign w:val="center"/>
          </w:tcPr>
          <w:p w14:paraId="3F891543">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Status at study cutoff</w:t>
            </w:r>
          </w:p>
        </w:tc>
        <w:tc>
          <w:tcPr>
            <w:tcW w:w="729" w:type="pct"/>
            <w:shd w:val="clear"/>
            <w:vAlign w:val="center"/>
          </w:tcPr>
          <w:p w14:paraId="15CB9978">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Survived to discharge</w:t>
            </w:r>
          </w:p>
        </w:tc>
        <w:tc>
          <w:tcPr>
            <w:tcW w:w="790" w:type="pct"/>
            <w:shd w:val="clear"/>
            <w:vAlign w:val="center"/>
          </w:tcPr>
          <w:p w14:paraId="1CAFB660">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Survived to discharge</w:t>
            </w:r>
          </w:p>
        </w:tc>
        <w:tc>
          <w:tcPr>
            <w:tcW w:w="775" w:type="pct"/>
            <w:shd w:val="clear"/>
            <w:vAlign w:val="center"/>
          </w:tcPr>
          <w:p w14:paraId="1DD61AD6">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Survived to discharge</w:t>
            </w:r>
          </w:p>
        </w:tc>
        <w:tc>
          <w:tcPr>
            <w:tcW w:w="775" w:type="pct"/>
            <w:shd w:val="clear"/>
            <w:vAlign w:val="center"/>
          </w:tcPr>
          <w:p w14:paraId="5F42B76C">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Survived to discharge</w:t>
            </w:r>
          </w:p>
        </w:tc>
        <w:tc>
          <w:tcPr>
            <w:tcW w:w="795" w:type="pct"/>
            <w:shd w:val="clear"/>
            <w:vAlign w:val="center"/>
          </w:tcPr>
          <w:p w14:paraId="40FC0BAE">
            <w:pPr>
              <w:keepNext w:val="0"/>
              <w:keepLines w:val="0"/>
              <w:widowControl/>
              <w:suppressLineNumbers w:val="0"/>
              <w:snapToGrid w:val="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Ongoing hospitalization</w:t>
            </w:r>
          </w:p>
        </w:tc>
      </w:tr>
    </w:tbl>
    <w:p w14:paraId="3B442A82">
      <w:pPr>
        <w:pStyle w:val="2"/>
        <w:keepNext w:val="0"/>
        <w:keepLines w:val="0"/>
        <w:widowControl/>
        <w:suppressLineNumbers w:val="0"/>
        <w:rPr>
          <w:rFonts w:hint="default" w:ascii="Times New Roman" w:hAnsi="Times New Roman" w:cs="Times New Roman"/>
          <w:sz w:val="21"/>
          <w:szCs w:val="21"/>
        </w:rPr>
      </w:pPr>
      <w:r>
        <w:rPr>
          <w:rStyle w:val="5"/>
          <w:rFonts w:hint="default" w:ascii="Times New Roman" w:hAnsi="Times New Roman" w:cs="Times New Roman"/>
          <w:sz w:val="21"/>
          <w:szCs w:val="21"/>
        </w:rPr>
        <w:t>Abbreviations:</w:t>
      </w:r>
      <w:r>
        <w:rPr>
          <w:rFonts w:hint="default" w:ascii="Times New Roman" w:hAnsi="Times New Roman" w:cs="Times New Roman"/>
          <w:sz w:val="21"/>
          <w:szCs w:val="21"/>
        </w:rPr>
        <w:t xml:space="preserve"> BALF, bronchoalveolar lavage fluid; CRRT, continuous renal replacement therapy; CSF, cerebrospinal fluid; EBV, Epstein–Barr virus; ECMO, extracorporeal membrane oxygenation; HHV-4, human herpesvirus 4; ICU, intensive care unit; mNGS, metagenomic next-generation sequencing; VV-ECMO, venovenous extracorporeal membrane oxygenation.</w:t>
      </w:r>
    </w:p>
    <w:p w14:paraId="5C6DD523">
      <w:pPr>
        <w:pStyle w:val="2"/>
        <w:keepNext w:val="0"/>
        <w:keepLines w:val="0"/>
        <w:widowControl/>
        <w:suppressLineNumbers w:val="0"/>
        <w:rPr>
          <w:rFonts w:hint="default" w:ascii="Times New Roman" w:hAnsi="Times New Roman" w:cs="Times New Roman"/>
          <w:sz w:val="21"/>
          <w:szCs w:val="21"/>
        </w:rPr>
      </w:pPr>
      <w:r>
        <w:rPr>
          <w:rStyle w:val="5"/>
          <w:rFonts w:hint="default" w:ascii="Times New Roman" w:hAnsi="Times New Roman" w:cs="Times New Roman"/>
          <w:sz w:val="21"/>
          <w:szCs w:val="21"/>
        </w:rPr>
        <w:t>Note:</w:t>
      </w:r>
      <w:r>
        <w:rPr>
          <w:rFonts w:hint="default" w:ascii="Times New Roman" w:hAnsi="Times New Roman" w:cs="Times New Roman"/>
          <w:sz w:val="21"/>
          <w:szCs w:val="21"/>
        </w:rPr>
        <w:t xml:space="preserve"> Organism-specific read counts are reported descriptively. Because specimen selection was clinically directed and different specimen types were tested across patients, read counts were not compared quantitatively between patients or interpreted as direct measures of pathogen burden. Additional microbial detections were interpreted together with the clinical syndrome and were not classified as active coinfections on the basis of sequencing findings alone. For Patient 5, ICU and hospital lengths of stay were not final because hospitalization was ongoing at the prespecified study cutoff of September 24, 2026.</w:t>
      </w:r>
    </w:p>
    <w:p w14:paraId="4CDB5F3E">
      <w:pPr>
        <w:rPr>
          <w:rFonts w:hint="default" w:ascii="Times New Roman" w:hAnsi="Times New Roman" w:eastAsia="宋体" w:cs="Times New Roman"/>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77E39"/>
    <w:rsid w:val="0BA94BA0"/>
    <w:rsid w:val="10EA0134"/>
    <w:rsid w:val="1105293F"/>
    <w:rsid w:val="14FF03D8"/>
    <w:rsid w:val="193C213D"/>
    <w:rsid w:val="1C077FC9"/>
    <w:rsid w:val="1CB77E39"/>
    <w:rsid w:val="25D11550"/>
    <w:rsid w:val="3DAD1224"/>
    <w:rsid w:val="40F77B80"/>
    <w:rsid w:val="42650DCD"/>
    <w:rsid w:val="4640741A"/>
    <w:rsid w:val="4E231FB4"/>
    <w:rsid w:val="503F0BFC"/>
    <w:rsid w:val="56056FB0"/>
    <w:rsid w:val="57DE6DC2"/>
    <w:rsid w:val="61FD68D2"/>
    <w:rsid w:val="663743F7"/>
    <w:rsid w:val="775545EE"/>
    <w:rsid w:val="79377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298</Words>
  <Characters>1759</Characters>
  <Lines>0</Lines>
  <Paragraphs>0</Paragraphs>
  <TotalTime>1</TotalTime>
  <ScaleCrop>false</ScaleCrop>
  <LinksUpToDate>false</LinksUpToDate>
  <CharactersWithSpaces>1970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2026-09-25T07:35:00Z</dcterms:created>
  <dc:creator>朱悦</dc:creator>
  <cp:lastModifiedBy>朱悦</cp:lastModifiedBy>
  <dcterms:modified xsi:type="dcterms:W3CDTF">2026-09-30T12:36:22Z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2249D76B63F040A98CABF56689FDF80D_11</vt:lpwstr>
  </property>
  <property fmtid="{D5CDD505-2E9C-101B-9397-08002B2CF9AE}" pid="4" name="KSOTemplateDocerSaveRecord">
    <vt:lpwstr>eyJoZGlkIjoiOWZkOWUzYjBiYTU2NzhiNTFmODQxZDRjM2UwYmYyMDEiLCJ1c2VySWQiOiIxNjQwMjYxMjgxIn0=</vt:lpwstr>
  </property>
</Properties>
</file>