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ellasemplice-1"/>
        <w:tblpPr w:leftFromText="141" w:rightFromText="141" w:vertAnchor="page" w:horzAnchor="margin" w:tblpY="2437"/>
        <w:tblW w:w="15776" w:type="dxa"/>
        <w:tblLook w:val="04A0" w:firstRow="1" w:lastRow="0" w:firstColumn="1" w:lastColumn="0" w:noHBand="0" w:noVBand="1"/>
      </w:tblPr>
      <w:tblGrid>
        <w:gridCol w:w="1405"/>
        <w:gridCol w:w="2134"/>
        <w:gridCol w:w="1843"/>
        <w:gridCol w:w="1984"/>
        <w:gridCol w:w="1701"/>
        <w:gridCol w:w="1560"/>
        <w:gridCol w:w="1111"/>
        <w:gridCol w:w="1446"/>
        <w:gridCol w:w="1363"/>
        <w:gridCol w:w="1229"/>
      </w:tblGrid>
      <w:tr w:rsidR="00491DCF" w:rsidRPr="00A801AD" w:rsidTr="008651A4">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405" w:type="dxa"/>
            <w:shd w:val="clear" w:color="auto" w:fill="DEEAF6" w:themeFill="accent1" w:themeFillTint="33"/>
            <w:noWrap/>
            <w:hideMark/>
          </w:tcPr>
          <w:p w:rsidR="00A801AD" w:rsidRPr="00D829E4" w:rsidRDefault="007E2144" w:rsidP="00491DCF">
            <w:pPr>
              <w:spacing w:before="240"/>
            </w:pPr>
            <w:r w:rsidRPr="00D829E4">
              <w:rPr>
                <w:bCs w:val="0"/>
              </w:rPr>
              <w:t>Country</w:t>
            </w:r>
          </w:p>
        </w:tc>
        <w:tc>
          <w:tcPr>
            <w:tcW w:w="2134" w:type="dxa"/>
            <w:shd w:val="clear" w:color="auto" w:fill="DEEAF6" w:themeFill="accent1" w:themeFillTint="33"/>
            <w:noWrap/>
            <w:hideMark/>
          </w:tcPr>
          <w:p w:rsidR="00A801AD" w:rsidRPr="00D829E4" w:rsidRDefault="007E2144" w:rsidP="00491DCF">
            <w:pPr>
              <w:spacing w:before="240"/>
              <w:cnfStyle w:val="100000000000" w:firstRow="1" w:lastRow="0" w:firstColumn="0" w:lastColumn="0" w:oddVBand="0" w:evenVBand="0" w:oddHBand="0" w:evenHBand="0" w:firstRowFirstColumn="0" w:firstRowLastColumn="0" w:lastRowFirstColumn="0" w:lastRowLastColumn="0"/>
            </w:pPr>
            <w:r w:rsidRPr="00D829E4">
              <w:rPr>
                <w:bCs w:val="0"/>
              </w:rPr>
              <w:t>Area</w:t>
            </w:r>
          </w:p>
        </w:tc>
        <w:tc>
          <w:tcPr>
            <w:tcW w:w="1843" w:type="dxa"/>
            <w:shd w:val="clear" w:color="auto" w:fill="DEEAF6" w:themeFill="accent1" w:themeFillTint="33"/>
            <w:noWrap/>
            <w:hideMark/>
          </w:tcPr>
          <w:p w:rsidR="001D752A" w:rsidRDefault="001D752A" w:rsidP="00491DCF">
            <w:pPr>
              <w:spacing w:before="240"/>
              <w:cnfStyle w:val="100000000000" w:firstRow="1" w:lastRow="0" w:firstColumn="0" w:lastColumn="0" w:oddVBand="0" w:evenVBand="0" w:oddHBand="0" w:evenHBand="0" w:firstRowFirstColumn="0" w:firstRowLastColumn="0" w:lastRowFirstColumn="0" w:lastRowLastColumn="0"/>
              <w:rPr>
                <w:bCs w:val="0"/>
                <w:lang w:val="en-US"/>
              </w:rPr>
            </w:pPr>
            <w:r w:rsidRPr="001D752A">
              <w:rPr>
                <w:bCs w:val="0"/>
                <w:lang w:val="en-US"/>
              </w:rPr>
              <w:t>Dominant s</w:t>
            </w:r>
            <w:r w:rsidR="00971174" w:rsidRPr="001D752A">
              <w:rPr>
                <w:bCs w:val="0"/>
                <w:lang w:val="en-US"/>
              </w:rPr>
              <w:t>pecies</w:t>
            </w:r>
          </w:p>
          <w:p w:rsidR="00A801AD" w:rsidRPr="001D752A" w:rsidRDefault="00491DCF" w:rsidP="00491DCF">
            <w:pPr>
              <w:cnfStyle w:val="100000000000" w:firstRow="1" w:lastRow="0" w:firstColumn="0" w:lastColumn="0" w:oddVBand="0" w:evenVBand="0" w:oddHBand="0" w:evenHBand="0" w:firstRowFirstColumn="0" w:firstRowLastColumn="0" w:lastRowFirstColumn="0" w:lastRowLastColumn="0"/>
              <w:rPr>
                <w:lang w:val="en-US"/>
              </w:rPr>
            </w:pPr>
            <w:r>
              <w:rPr>
                <w:bCs w:val="0"/>
                <w:lang w:val="en-US"/>
              </w:rPr>
              <w:t>p</w:t>
            </w:r>
            <w:r w:rsidR="007E2144" w:rsidRPr="001D752A">
              <w:rPr>
                <w:bCs w:val="0"/>
                <w:lang w:val="en-US"/>
              </w:rPr>
              <w:t>re</w:t>
            </w:r>
            <w:r>
              <w:rPr>
                <w:bCs w:val="0"/>
                <w:lang w:val="en-US"/>
              </w:rPr>
              <w:t>-</w:t>
            </w:r>
            <w:r w:rsidR="001D752A" w:rsidRPr="001D752A">
              <w:rPr>
                <w:bCs w:val="0"/>
                <w:lang w:val="en-US"/>
              </w:rPr>
              <w:t>i</w:t>
            </w:r>
            <w:r w:rsidR="00971174" w:rsidRPr="001D752A">
              <w:rPr>
                <w:bCs w:val="0"/>
                <w:lang w:val="en-US"/>
              </w:rPr>
              <w:t>ntroductio</w:t>
            </w:r>
            <w:r w:rsidR="00D829E4" w:rsidRPr="001D752A">
              <w:rPr>
                <w:bCs w:val="0"/>
                <w:lang w:val="en-US"/>
              </w:rPr>
              <w:t>n</w:t>
            </w:r>
          </w:p>
        </w:tc>
        <w:tc>
          <w:tcPr>
            <w:tcW w:w="1984" w:type="dxa"/>
            <w:shd w:val="clear" w:color="auto" w:fill="DEEAF6" w:themeFill="accent1" w:themeFillTint="33"/>
            <w:noWrap/>
            <w:hideMark/>
          </w:tcPr>
          <w:p w:rsidR="00A801AD" w:rsidRPr="00D829E4" w:rsidRDefault="007E2144" w:rsidP="00491DCF">
            <w:pPr>
              <w:spacing w:before="240"/>
              <w:cnfStyle w:val="100000000000" w:firstRow="1" w:lastRow="0" w:firstColumn="0" w:lastColumn="0" w:oddVBand="0" w:evenVBand="0" w:oddHBand="0" w:evenHBand="0" w:firstRowFirstColumn="0" w:firstRowLastColumn="0" w:lastRowFirstColumn="0" w:lastRowLastColumn="0"/>
            </w:pPr>
            <w:proofErr w:type="spellStart"/>
            <w:r w:rsidRPr="00D829E4">
              <w:rPr>
                <w:bCs w:val="0"/>
              </w:rPr>
              <w:t>Dominant</w:t>
            </w:r>
            <w:proofErr w:type="spellEnd"/>
            <w:r w:rsidRPr="00D829E4">
              <w:rPr>
                <w:bCs w:val="0"/>
              </w:rPr>
              <w:t xml:space="preserve"> </w:t>
            </w:r>
            <w:proofErr w:type="spellStart"/>
            <w:r w:rsidR="001D752A">
              <w:rPr>
                <w:bCs w:val="0"/>
              </w:rPr>
              <w:t>s</w:t>
            </w:r>
            <w:r w:rsidR="00971174" w:rsidRPr="00D829E4">
              <w:rPr>
                <w:bCs w:val="0"/>
              </w:rPr>
              <w:t>pecies</w:t>
            </w:r>
            <w:proofErr w:type="spellEnd"/>
            <w:r w:rsidR="00971174" w:rsidRPr="00D829E4">
              <w:rPr>
                <w:bCs w:val="0"/>
              </w:rPr>
              <w:t xml:space="preserve"> </w:t>
            </w:r>
            <w:r w:rsidR="001D752A">
              <w:rPr>
                <w:bCs w:val="0"/>
              </w:rPr>
              <w:t>p</w:t>
            </w:r>
            <w:r w:rsidRPr="00D829E4">
              <w:rPr>
                <w:bCs w:val="0"/>
              </w:rPr>
              <w:t>ost</w:t>
            </w:r>
            <w:r w:rsidR="00491DCF">
              <w:rPr>
                <w:bCs w:val="0"/>
              </w:rPr>
              <w:t>-</w:t>
            </w:r>
            <w:proofErr w:type="spellStart"/>
            <w:r w:rsidR="001D752A">
              <w:rPr>
                <w:bCs w:val="0"/>
              </w:rPr>
              <w:t>i</w:t>
            </w:r>
            <w:r w:rsidR="00971174" w:rsidRPr="00D829E4">
              <w:rPr>
                <w:bCs w:val="0"/>
              </w:rPr>
              <w:t>ntroduction</w:t>
            </w:r>
            <w:proofErr w:type="spellEnd"/>
          </w:p>
        </w:tc>
        <w:tc>
          <w:tcPr>
            <w:tcW w:w="1701" w:type="dxa"/>
            <w:shd w:val="clear" w:color="auto" w:fill="DEEAF6" w:themeFill="accent1" w:themeFillTint="33"/>
            <w:noWrap/>
            <w:hideMark/>
          </w:tcPr>
          <w:p w:rsidR="00A801AD" w:rsidRPr="00D829E4" w:rsidRDefault="007E2144" w:rsidP="008A1CAE">
            <w:pPr>
              <w:spacing w:before="240"/>
              <w:jc w:val="center"/>
              <w:cnfStyle w:val="100000000000" w:firstRow="1" w:lastRow="0" w:firstColumn="0" w:lastColumn="0" w:oddVBand="0" w:evenVBand="0" w:oddHBand="0" w:evenHBand="0" w:firstRowFirstColumn="0" w:firstRowLastColumn="0" w:lastRowFirstColumn="0" w:lastRowLastColumn="0"/>
            </w:pPr>
            <w:proofErr w:type="spellStart"/>
            <w:r w:rsidRPr="00D829E4">
              <w:rPr>
                <w:bCs w:val="0"/>
              </w:rPr>
              <w:t>Increased</w:t>
            </w:r>
            <w:proofErr w:type="spellEnd"/>
            <w:r w:rsidRPr="00D829E4">
              <w:rPr>
                <w:bCs w:val="0"/>
              </w:rPr>
              <w:t xml:space="preserve"> </w:t>
            </w:r>
            <w:proofErr w:type="spellStart"/>
            <w:r w:rsidRPr="00D829E4">
              <w:rPr>
                <w:bCs w:val="0"/>
              </w:rPr>
              <w:t>Exophagy</w:t>
            </w:r>
            <w:proofErr w:type="spellEnd"/>
          </w:p>
        </w:tc>
        <w:tc>
          <w:tcPr>
            <w:tcW w:w="1560" w:type="dxa"/>
            <w:shd w:val="clear" w:color="auto" w:fill="DEEAF6" w:themeFill="accent1" w:themeFillTint="33"/>
            <w:noWrap/>
            <w:hideMark/>
          </w:tcPr>
          <w:p w:rsidR="00A801AD" w:rsidRPr="00D829E4" w:rsidRDefault="007E2144" w:rsidP="008A1CAE">
            <w:pPr>
              <w:spacing w:before="240"/>
              <w:jc w:val="center"/>
              <w:cnfStyle w:val="100000000000" w:firstRow="1" w:lastRow="0" w:firstColumn="0" w:lastColumn="0" w:oddVBand="0" w:evenVBand="0" w:oddHBand="0" w:evenHBand="0" w:firstRowFirstColumn="0" w:firstRowLastColumn="0" w:lastRowFirstColumn="0" w:lastRowLastColumn="0"/>
            </w:pPr>
            <w:proofErr w:type="spellStart"/>
            <w:r w:rsidRPr="00D829E4">
              <w:rPr>
                <w:bCs w:val="0"/>
              </w:rPr>
              <w:t>Biting</w:t>
            </w:r>
            <w:proofErr w:type="spellEnd"/>
            <w:r w:rsidRPr="00D829E4">
              <w:rPr>
                <w:bCs w:val="0"/>
              </w:rPr>
              <w:t xml:space="preserve"> Time</w:t>
            </w:r>
          </w:p>
        </w:tc>
        <w:tc>
          <w:tcPr>
            <w:tcW w:w="1111" w:type="dxa"/>
            <w:shd w:val="clear" w:color="auto" w:fill="DEEAF6" w:themeFill="accent1" w:themeFillTint="33"/>
            <w:noWrap/>
            <w:hideMark/>
          </w:tcPr>
          <w:p w:rsidR="00A801AD" w:rsidRPr="00D829E4" w:rsidRDefault="007E2144" w:rsidP="008A1CAE">
            <w:pPr>
              <w:spacing w:before="240"/>
              <w:jc w:val="center"/>
              <w:cnfStyle w:val="100000000000" w:firstRow="1" w:lastRow="0" w:firstColumn="0" w:lastColumn="0" w:oddVBand="0" w:evenVBand="0" w:oddHBand="0" w:evenHBand="0" w:firstRowFirstColumn="0" w:firstRowLastColumn="0" w:lastRowFirstColumn="0" w:lastRowLastColumn="0"/>
            </w:pPr>
            <w:proofErr w:type="spellStart"/>
            <w:r w:rsidRPr="00D829E4">
              <w:rPr>
                <w:bCs w:val="0"/>
              </w:rPr>
              <w:t>Increased</w:t>
            </w:r>
            <w:proofErr w:type="spellEnd"/>
            <w:r w:rsidRPr="00D829E4">
              <w:rPr>
                <w:bCs w:val="0"/>
              </w:rPr>
              <w:t xml:space="preserve"> </w:t>
            </w:r>
            <w:proofErr w:type="spellStart"/>
            <w:r w:rsidRPr="00D829E4">
              <w:rPr>
                <w:bCs w:val="0"/>
              </w:rPr>
              <w:t>Zoophagy</w:t>
            </w:r>
            <w:proofErr w:type="spellEnd"/>
          </w:p>
        </w:tc>
        <w:tc>
          <w:tcPr>
            <w:tcW w:w="1446" w:type="dxa"/>
            <w:shd w:val="clear" w:color="auto" w:fill="DEEAF6" w:themeFill="accent1" w:themeFillTint="33"/>
            <w:noWrap/>
            <w:hideMark/>
          </w:tcPr>
          <w:p w:rsidR="00A801AD" w:rsidRPr="00D829E4" w:rsidRDefault="00491DCF" w:rsidP="0010196D">
            <w:pPr>
              <w:spacing w:before="240"/>
              <w:jc w:val="center"/>
              <w:cnfStyle w:val="100000000000" w:firstRow="1" w:lastRow="0" w:firstColumn="0" w:lastColumn="0" w:oddVBand="0" w:evenVBand="0" w:oddHBand="0" w:evenHBand="0" w:firstRowFirstColumn="0" w:firstRowLastColumn="0" w:lastRowFirstColumn="0" w:lastRowLastColumn="0"/>
            </w:pPr>
            <w:r>
              <w:rPr>
                <w:bCs w:val="0"/>
              </w:rPr>
              <w:t xml:space="preserve">SR(%) </w:t>
            </w:r>
            <w:proofErr w:type="spellStart"/>
            <w:r>
              <w:rPr>
                <w:bCs w:val="0"/>
              </w:rPr>
              <w:t>p</w:t>
            </w:r>
            <w:r w:rsidR="007E2144" w:rsidRPr="00D829E4">
              <w:rPr>
                <w:bCs w:val="0"/>
              </w:rPr>
              <w:t>re</w:t>
            </w:r>
            <w:r>
              <w:rPr>
                <w:bCs w:val="0"/>
              </w:rPr>
              <w:t>-i</w:t>
            </w:r>
            <w:r w:rsidR="00D829E4" w:rsidRPr="00D829E4">
              <w:rPr>
                <w:bCs w:val="0"/>
              </w:rPr>
              <w:t>ntroduction</w:t>
            </w:r>
            <w:proofErr w:type="spellEnd"/>
          </w:p>
        </w:tc>
        <w:tc>
          <w:tcPr>
            <w:tcW w:w="1363" w:type="dxa"/>
            <w:shd w:val="clear" w:color="auto" w:fill="DEEAF6" w:themeFill="accent1" w:themeFillTint="33"/>
            <w:noWrap/>
            <w:hideMark/>
          </w:tcPr>
          <w:p w:rsidR="00D829E4" w:rsidRPr="00D829E4" w:rsidRDefault="007E2144" w:rsidP="0010196D">
            <w:pPr>
              <w:spacing w:before="240"/>
              <w:jc w:val="center"/>
              <w:cnfStyle w:val="100000000000" w:firstRow="1" w:lastRow="0" w:firstColumn="0" w:lastColumn="0" w:oddVBand="0" w:evenVBand="0" w:oddHBand="0" w:evenHBand="0" w:firstRowFirstColumn="0" w:firstRowLastColumn="0" w:lastRowFirstColumn="0" w:lastRowLastColumn="0"/>
            </w:pPr>
            <w:r w:rsidRPr="00D829E4">
              <w:rPr>
                <w:bCs w:val="0"/>
              </w:rPr>
              <w:t>S</w:t>
            </w:r>
            <w:r w:rsidR="00491DCF">
              <w:rPr>
                <w:bCs w:val="0"/>
              </w:rPr>
              <w:t>R(%) p</w:t>
            </w:r>
            <w:r w:rsidRPr="00D829E4">
              <w:rPr>
                <w:bCs w:val="0"/>
              </w:rPr>
              <w:t>ost</w:t>
            </w:r>
            <w:r w:rsidR="00491DCF">
              <w:rPr>
                <w:bCs w:val="0"/>
              </w:rPr>
              <w:t>-</w:t>
            </w:r>
            <w:proofErr w:type="spellStart"/>
            <w:r w:rsidR="00491DCF">
              <w:rPr>
                <w:bCs w:val="0"/>
              </w:rPr>
              <w:t>i</w:t>
            </w:r>
            <w:r w:rsidR="00D829E4" w:rsidRPr="00D829E4">
              <w:rPr>
                <w:bCs w:val="0"/>
              </w:rPr>
              <w:t>ntroduction</w:t>
            </w:r>
            <w:proofErr w:type="spellEnd"/>
          </w:p>
        </w:tc>
        <w:tc>
          <w:tcPr>
            <w:tcW w:w="1229" w:type="dxa"/>
            <w:shd w:val="clear" w:color="auto" w:fill="DEEAF6" w:themeFill="accent1" w:themeFillTint="33"/>
            <w:noWrap/>
            <w:hideMark/>
          </w:tcPr>
          <w:p w:rsidR="00A801AD" w:rsidRPr="00D829E4" w:rsidRDefault="00A801AD" w:rsidP="0010196D">
            <w:pPr>
              <w:spacing w:before="240"/>
              <w:jc w:val="center"/>
              <w:cnfStyle w:val="100000000000" w:firstRow="1" w:lastRow="0" w:firstColumn="0" w:lastColumn="0" w:oddVBand="0" w:evenVBand="0" w:oddHBand="0" w:evenHBand="0" w:firstRowFirstColumn="0" w:firstRowLastColumn="0" w:lastRowFirstColumn="0" w:lastRowLastColumn="0"/>
            </w:pPr>
            <w:proofErr w:type="spellStart"/>
            <w:r w:rsidRPr="00D829E4">
              <w:t>R</w:t>
            </w:r>
            <w:r w:rsidR="00491DCF">
              <w:t>eferences</w:t>
            </w:r>
            <w:proofErr w:type="spellEnd"/>
          </w:p>
        </w:tc>
      </w:tr>
      <w:tr w:rsidR="007E2144" w:rsidRPr="00037624" w:rsidTr="008651A4">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405" w:type="dxa"/>
            <w:noWrap/>
            <w:hideMark/>
          </w:tcPr>
          <w:p w:rsidR="00A801AD" w:rsidRPr="00DD5362" w:rsidRDefault="00A801AD" w:rsidP="008A1CAE">
            <w:proofErr w:type="spellStart"/>
            <w:r w:rsidRPr="00DD5362">
              <w:t>Bioko</w:t>
            </w:r>
            <w:proofErr w:type="spellEnd"/>
            <w:r w:rsidRPr="00DD5362">
              <w:t xml:space="preserve"> Island</w:t>
            </w:r>
          </w:p>
        </w:tc>
        <w:tc>
          <w:tcPr>
            <w:tcW w:w="2134" w:type="dxa"/>
            <w:noWrap/>
            <w:hideMark/>
          </w:tcPr>
          <w:p w:rsidR="00A801AD" w:rsidRPr="00A801AD" w:rsidRDefault="00A801AD" w:rsidP="008A1CAE">
            <w:pPr>
              <w:cnfStyle w:val="000000100000" w:firstRow="0" w:lastRow="0" w:firstColumn="0" w:lastColumn="0" w:oddVBand="0" w:evenVBand="0" w:oddHBand="1" w:evenHBand="0" w:firstRowFirstColumn="0" w:firstRowLastColumn="0" w:lastRowFirstColumn="0" w:lastRowLastColumn="0"/>
            </w:pPr>
            <w:r w:rsidRPr="00A801AD">
              <w:t>Punta Europa</w:t>
            </w:r>
          </w:p>
        </w:tc>
        <w:tc>
          <w:tcPr>
            <w:tcW w:w="1843" w:type="dxa"/>
            <w:noWrap/>
            <w:hideMark/>
          </w:tcPr>
          <w:p w:rsidR="00A801AD" w:rsidRPr="00D829E4" w:rsidRDefault="00971174" w:rsidP="008A1CAE">
            <w:pPr>
              <w:cnfStyle w:val="000000100000" w:firstRow="0" w:lastRow="0" w:firstColumn="0" w:lastColumn="0" w:oddVBand="0" w:evenVBand="0" w:oddHBand="1" w:evenHBand="0" w:firstRowFirstColumn="0" w:firstRowLastColumn="0" w:lastRowFirstColumn="0" w:lastRowLastColumn="0"/>
              <w:rPr>
                <w:i/>
              </w:rPr>
            </w:pPr>
            <w:r w:rsidRPr="00D829E4">
              <w:rPr>
                <w:i/>
              </w:rPr>
              <w:t>A.</w:t>
            </w:r>
            <w:r w:rsidR="00491DCF">
              <w:rPr>
                <w:i/>
              </w:rPr>
              <w:t xml:space="preserve"> </w:t>
            </w:r>
            <w:r w:rsidR="00A801AD" w:rsidRPr="00D829E4">
              <w:rPr>
                <w:i/>
              </w:rPr>
              <w:t xml:space="preserve">gambiae </w:t>
            </w:r>
            <w:proofErr w:type="spellStart"/>
            <w:r w:rsidR="00DD5362" w:rsidRPr="00DD5362">
              <w:t>s.s.</w:t>
            </w:r>
            <w:proofErr w:type="spellEnd"/>
          </w:p>
        </w:tc>
        <w:tc>
          <w:tcPr>
            <w:tcW w:w="1984" w:type="dxa"/>
            <w:noWrap/>
            <w:hideMark/>
          </w:tcPr>
          <w:p w:rsidR="00A801AD" w:rsidRPr="00D829E4" w:rsidRDefault="00971174" w:rsidP="008A1CAE">
            <w:pPr>
              <w:cnfStyle w:val="000000100000" w:firstRow="0" w:lastRow="0" w:firstColumn="0" w:lastColumn="0" w:oddVBand="0" w:evenVBand="0" w:oddHBand="1" w:evenHBand="0" w:firstRowFirstColumn="0" w:firstRowLastColumn="0" w:lastRowFirstColumn="0" w:lastRowLastColumn="0"/>
              <w:rPr>
                <w:i/>
              </w:rPr>
            </w:pPr>
            <w:r w:rsidRPr="00D829E4">
              <w:rPr>
                <w:i/>
              </w:rPr>
              <w:t xml:space="preserve">A. </w:t>
            </w:r>
            <w:r w:rsidR="00A801AD" w:rsidRPr="00D829E4">
              <w:rPr>
                <w:i/>
              </w:rPr>
              <w:t>coluzzii</w:t>
            </w:r>
          </w:p>
        </w:tc>
        <w:tc>
          <w:tcPr>
            <w:tcW w:w="1701" w:type="dxa"/>
            <w:noWrap/>
            <w:hideMark/>
          </w:tcPr>
          <w:p w:rsidR="00A801AD" w:rsidRPr="00A801AD" w:rsidRDefault="00A801AD" w:rsidP="008A1CAE">
            <w:pPr>
              <w:jc w:val="center"/>
              <w:cnfStyle w:val="000000100000" w:firstRow="0" w:lastRow="0" w:firstColumn="0" w:lastColumn="0" w:oddVBand="0" w:evenVBand="0" w:oddHBand="1" w:evenHBand="0" w:firstRowFirstColumn="0" w:firstRowLastColumn="0" w:lastRowFirstColumn="0" w:lastRowLastColumn="0"/>
            </w:pPr>
            <w:r w:rsidRPr="00A801AD">
              <w:t>+</w:t>
            </w:r>
          </w:p>
        </w:tc>
        <w:tc>
          <w:tcPr>
            <w:tcW w:w="1560" w:type="dxa"/>
            <w:noWrap/>
            <w:hideMark/>
          </w:tcPr>
          <w:p w:rsidR="00A801AD" w:rsidRPr="00A801AD" w:rsidRDefault="00A801AD" w:rsidP="008A1CAE">
            <w:pPr>
              <w:jc w:val="center"/>
              <w:cnfStyle w:val="000000100000" w:firstRow="0" w:lastRow="0" w:firstColumn="0" w:lastColumn="0" w:oddVBand="0" w:evenVBand="0" w:oddHBand="1" w:evenHBand="0" w:firstRowFirstColumn="0" w:firstRowLastColumn="0" w:lastRowFirstColumn="0" w:lastRowLastColumn="0"/>
            </w:pPr>
            <w:r w:rsidRPr="00A801AD">
              <w:t>N.A.</w:t>
            </w:r>
          </w:p>
        </w:tc>
        <w:tc>
          <w:tcPr>
            <w:tcW w:w="1111" w:type="dxa"/>
            <w:noWrap/>
            <w:hideMark/>
          </w:tcPr>
          <w:p w:rsidR="00A801AD" w:rsidRPr="00A801AD" w:rsidRDefault="00A801AD" w:rsidP="008A1CAE">
            <w:pPr>
              <w:jc w:val="center"/>
              <w:cnfStyle w:val="000000100000" w:firstRow="0" w:lastRow="0" w:firstColumn="0" w:lastColumn="0" w:oddVBand="0" w:evenVBand="0" w:oddHBand="1" w:evenHBand="0" w:firstRowFirstColumn="0" w:firstRowLastColumn="0" w:lastRowFirstColumn="0" w:lastRowLastColumn="0"/>
            </w:pPr>
            <w:r w:rsidRPr="00A801AD">
              <w:t>N.A.</w:t>
            </w:r>
          </w:p>
        </w:tc>
        <w:tc>
          <w:tcPr>
            <w:tcW w:w="1446" w:type="dxa"/>
            <w:noWrap/>
            <w:hideMark/>
          </w:tcPr>
          <w:p w:rsidR="00A801AD" w:rsidRPr="00A801AD" w:rsidRDefault="00A801AD" w:rsidP="0010196D">
            <w:pPr>
              <w:jc w:val="center"/>
              <w:cnfStyle w:val="000000100000" w:firstRow="0" w:lastRow="0" w:firstColumn="0" w:lastColumn="0" w:oddVBand="0" w:evenVBand="0" w:oddHBand="1" w:evenHBand="0" w:firstRowFirstColumn="0" w:firstRowLastColumn="0" w:lastRowFirstColumn="0" w:lastRowLastColumn="0"/>
            </w:pPr>
            <w:r w:rsidRPr="00A801AD">
              <w:t>N.A.</w:t>
            </w:r>
          </w:p>
        </w:tc>
        <w:tc>
          <w:tcPr>
            <w:tcW w:w="1363" w:type="dxa"/>
            <w:noWrap/>
            <w:hideMark/>
          </w:tcPr>
          <w:p w:rsidR="00A801AD" w:rsidRPr="00A801AD" w:rsidRDefault="00A801AD" w:rsidP="0010196D">
            <w:pPr>
              <w:jc w:val="center"/>
              <w:cnfStyle w:val="000000100000" w:firstRow="0" w:lastRow="0" w:firstColumn="0" w:lastColumn="0" w:oddVBand="0" w:evenVBand="0" w:oddHBand="1" w:evenHBand="0" w:firstRowFirstColumn="0" w:firstRowLastColumn="0" w:lastRowFirstColumn="0" w:lastRowLastColumn="0"/>
            </w:pPr>
            <w:r w:rsidRPr="00A801AD">
              <w:t>N.A.</w:t>
            </w:r>
          </w:p>
        </w:tc>
        <w:tc>
          <w:tcPr>
            <w:tcW w:w="1229" w:type="dxa"/>
            <w:noWrap/>
            <w:hideMark/>
          </w:tcPr>
          <w:p w:rsidR="00A801AD" w:rsidRPr="000866C8" w:rsidRDefault="00A801AD" w:rsidP="0010196D">
            <w:pPr>
              <w:jc w:val="center"/>
              <w:cnfStyle w:val="000000100000" w:firstRow="0" w:lastRow="0" w:firstColumn="0" w:lastColumn="0" w:oddVBand="0" w:evenVBand="0" w:oddHBand="1" w:evenHBand="0" w:firstRowFirstColumn="0" w:firstRowLastColumn="0" w:lastRowFirstColumn="0" w:lastRowLastColumn="0"/>
              <w:rPr>
                <w:b/>
                <w:bCs/>
              </w:rPr>
            </w:pPr>
            <w:r>
              <w:rPr>
                <w:b/>
                <w:bCs/>
              </w:rPr>
              <w:fldChar w:fldCharType="begin" w:fldLock="1"/>
            </w:r>
            <w:r w:rsidR="00037624">
              <w:rPr>
                <w:b/>
                <w:bCs/>
              </w:rPr>
              <w:instrText>ADDIN CSL_CITATION {"citationItems":[{"id":"ITEM-1","itemData":{"DOI":"10.1186/1475-2875-10-184","ISSN":"14752875","abstract":"Background: Indoor-based anti-vector interventions remain the preferred means of reducing risk of malaria transmission in malaria endemic areas around the world. Despite demonstrated success in reducing human-mosquito interactions, these methods are effective solely against endophilic vectors. It may be that outdoor locations serve as an important venue of host seeking by Anopheles gambiae sensu lato (s.l.) mosquitoes where indoor vector suppression measures are employed. This paper describes the host seeking activity of anopheline mosquito vectors in the Punta Europa region of Bioko Island, Equatorial Guinea. In this area, An. gambiae sensu stricto (s.s.) is the primary malaria vector. The goal of the paper is to evaluate the importance of An gambiae s.l. outdoor host seeking behaviour and discuss its implications for anti-vector interventions. Methods. The venue and temporal characteristics of host seeking by anopheline vectors in a hyperendemic setting was evaluated using human landing collections conducted inside and outside homes in three villages during both the wet and dry seasons in 2007 and 2008. Additionally, five bi-monthly human landing collections were conducted throughout 2009. Collections were segregated hourly to provide a time distribution of host-seeking behaviour. Results: Surprisingly high levels of outdoor biting by An. gambiae senso stricto and An. melas vectors were observed throughout the night, including during the early evening and morning hours when human hosts are often outdoors. As reported previously, An. gambiae s.s. is the primary malaria vector in the Punta Europa region, where it seeks hosts outdoors at least as much as it does indoors. Further, approximately 40% of An. gambiae s.l. are feeding at times when people are often outdoors, where they are not protected by IRS or LLINs. Repeated sampling over two consecutive dry-wet season cycles indicates that this result is independent of seasonality. Conclusions: An. gambiae s.l. mosquitoes currently seek hosts in outdoor venues as much as indoors in the Punta Europa region of Bioko Island. This contrasts with an earlier pre-intervention observation of exclusive endophagy of An. gambiae in this region. In light of this finding, it is proposed that the long term indoor application of insecticides may have resulted in an adaptive shift toward outdoor host seeking in An. gambiae s.s. on Bioko Island. © 2011 Reddy et al; licensee BioMed Central Ltd.","author":[{"dropping-p</w:instrText>
            </w:r>
            <w:r w:rsidR="00037624" w:rsidRPr="000866C8">
              <w:rPr>
                <w:b/>
                <w:bCs/>
              </w:rPr>
              <w:instrText>article":"","family":"Reddy","given":"Michael R.","non-dropping-particle":"","parse-names":false,"suffix":""},{"dropping-particle":"","family":"Overgaard","given":"Hans J.","non-dropping-particle":"","parse-names":false,"suffix":""},{"dropping-particle":"","family":"Abaga","given":"Simon","non-dropping-particle":"","parse-names":false,"suffix":""},{"dropping-particle":"","family":"Reddy","given":"Vamsi P.","non-dropping-particle":"","parse-names":false,"suffix":""},{"dropping-particle":"","family":"Caccone","given":"Adalgisa","non-dropping-particle":"","parse-names":false,"suffix":""},{"dropping-particle":"","family":"Kiszewski","given":"Anthony E.","non-dropping-particle":"","parse-names":false,"suffix":""},{"dropping-particle":"","family":"Slotman","given":"Michel A.","non-dropping-particle":"","parse-names":false,"suffix":""}],"container-title":"Malaria Journal","id":"ITEM-1","issue":"1","issued":{"date-parts":[["2011"]]},"page":"184","publisher":"BioMed Central Ltd","title":"Outdoor host seeking behaviour of Anopheles gambiae mosquitoes following initiation of malaria vector control on Bioko Island, Equatorial Guinea","type":"article-journal","volume":"10"},"uris":["http://www.mendeley.com/documents/?uuid=1189506e-c978-4199-ba79-28371550e4a7"]}],"mendeley":{"formattedCitation":"[1]","plainTextFormattedCitation":"[1]","previouslyFormattedCitation":"[4]"},"properties":{"noteIndex":0},"schema":"https://github.com/citation-style-language/schema/raw/master/csl-citation.json"}</w:instrText>
            </w:r>
            <w:r>
              <w:rPr>
                <w:b/>
                <w:bCs/>
              </w:rPr>
              <w:fldChar w:fldCharType="separate"/>
            </w:r>
            <w:r w:rsidR="00037624" w:rsidRPr="000866C8">
              <w:rPr>
                <w:bCs/>
                <w:noProof/>
              </w:rPr>
              <w:t>[1]</w:t>
            </w:r>
            <w:r>
              <w:rPr>
                <w:b/>
                <w:bCs/>
              </w:rPr>
              <w:fldChar w:fldCharType="end"/>
            </w:r>
          </w:p>
        </w:tc>
      </w:tr>
      <w:tr w:rsidR="00491DCF" w:rsidRPr="00A801AD" w:rsidTr="008651A4">
        <w:trPr>
          <w:trHeight w:val="288"/>
        </w:trPr>
        <w:tc>
          <w:tcPr>
            <w:cnfStyle w:val="001000000000" w:firstRow="0" w:lastRow="0" w:firstColumn="1" w:lastColumn="0" w:oddVBand="0" w:evenVBand="0" w:oddHBand="0" w:evenHBand="0" w:firstRowFirstColumn="0" w:firstRowLastColumn="0" w:lastRowFirstColumn="0" w:lastRowLastColumn="0"/>
            <w:tcW w:w="1405" w:type="dxa"/>
            <w:noWrap/>
            <w:hideMark/>
          </w:tcPr>
          <w:p w:rsidR="00A801AD" w:rsidRPr="000866C8" w:rsidRDefault="00A801AD" w:rsidP="008A1CAE">
            <w:pPr>
              <w:spacing w:before="240"/>
            </w:pPr>
            <w:r w:rsidRPr="000866C8">
              <w:t>Senegal</w:t>
            </w:r>
          </w:p>
        </w:tc>
        <w:tc>
          <w:tcPr>
            <w:tcW w:w="2134" w:type="dxa"/>
            <w:noWrap/>
            <w:hideMark/>
          </w:tcPr>
          <w:p w:rsidR="00A801AD" w:rsidRPr="000866C8" w:rsidRDefault="00A801AD" w:rsidP="008A1CAE">
            <w:pPr>
              <w:spacing w:before="240"/>
              <w:cnfStyle w:val="000000000000" w:firstRow="0" w:lastRow="0" w:firstColumn="0" w:lastColumn="0" w:oddVBand="0" w:evenVBand="0" w:oddHBand="0" w:evenHBand="0" w:firstRowFirstColumn="0" w:firstRowLastColumn="0" w:lastRowFirstColumn="0" w:lastRowLastColumn="0"/>
            </w:pPr>
            <w:proofErr w:type="spellStart"/>
            <w:r w:rsidRPr="000866C8">
              <w:t>Dielmo</w:t>
            </w:r>
            <w:proofErr w:type="spellEnd"/>
          </w:p>
        </w:tc>
        <w:tc>
          <w:tcPr>
            <w:tcW w:w="1843" w:type="dxa"/>
            <w:noWrap/>
            <w:hideMark/>
          </w:tcPr>
          <w:p w:rsidR="00A801AD" w:rsidRPr="000866C8" w:rsidRDefault="00A801AD" w:rsidP="00491DCF">
            <w:pPr>
              <w:spacing w:before="240"/>
              <w:cnfStyle w:val="000000000000" w:firstRow="0" w:lastRow="0" w:firstColumn="0" w:lastColumn="0" w:oddVBand="0" w:evenVBand="0" w:oddHBand="0" w:evenHBand="0" w:firstRowFirstColumn="0" w:firstRowLastColumn="0" w:lastRowFirstColumn="0" w:lastRowLastColumn="0"/>
              <w:rPr>
                <w:i/>
              </w:rPr>
            </w:pPr>
            <w:r w:rsidRPr="000866C8">
              <w:rPr>
                <w:i/>
              </w:rPr>
              <w:t>A.</w:t>
            </w:r>
            <w:r w:rsidR="00491DCF" w:rsidRPr="000866C8">
              <w:rPr>
                <w:i/>
              </w:rPr>
              <w:t xml:space="preserve"> </w:t>
            </w:r>
            <w:r w:rsidRPr="000866C8">
              <w:rPr>
                <w:i/>
              </w:rPr>
              <w:t xml:space="preserve">gambiae </w:t>
            </w:r>
            <w:r w:rsidRPr="000866C8">
              <w:t>s.l</w:t>
            </w:r>
            <w:r w:rsidR="00491DCF" w:rsidRPr="000866C8">
              <w:t>.</w:t>
            </w:r>
            <w:r w:rsidR="00491DCF" w:rsidRPr="000866C8">
              <w:rPr>
                <w:i/>
              </w:rPr>
              <w:br/>
            </w:r>
            <w:r w:rsidRPr="000866C8">
              <w:rPr>
                <w:i/>
              </w:rPr>
              <w:t>A.</w:t>
            </w:r>
            <w:r w:rsidR="00491DCF" w:rsidRPr="000866C8">
              <w:rPr>
                <w:i/>
              </w:rPr>
              <w:t xml:space="preserve"> </w:t>
            </w:r>
            <w:r w:rsidRPr="000866C8">
              <w:rPr>
                <w:i/>
              </w:rPr>
              <w:t>funestus</w:t>
            </w:r>
          </w:p>
        </w:tc>
        <w:tc>
          <w:tcPr>
            <w:tcW w:w="1984" w:type="dxa"/>
            <w:noWrap/>
            <w:hideMark/>
          </w:tcPr>
          <w:p w:rsidR="00A801AD" w:rsidRPr="000866C8" w:rsidRDefault="00A801AD" w:rsidP="00491DCF">
            <w:pPr>
              <w:spacing w:before="240"/>
              <w:cnfStyle w:val="000000000000" w:firstRow="0" w:lastRow="0" w:firstColumn="0" w:lastColumn="0" w:oddVBand="0" w:evenVBand="0" w:oddHBand="0" w:evenHBand="0" w:firstRowFirstColumn="0" w:firstRowLastColumn="0" w:lastRowFirstColumn="0" w:lastRowLastColumn="0"/>
              <w:rPr>
                <w:i/>
              </w:rPr>
            </w:pPr>
            <w:proofErr w:type="spellStart"/>
            <w:r w:rsidRPr="000866C8">
              <w:rPr>
                <w:i/>
              </w:rPr>
              <w:t>A.gambiae</w:t>
            </w:r>
            <w:proofErr w:type="spellEnd"/>
            <w:r w:rsidRPr="000866C8">
              <w:rPr>
                <w:i/>
              </w:rPr>
              <w:t xml:space="preserve"> s.</w:t>
            </w:r>
            <w:r w:rsidR="00D829E4" w:rsidRPr="000866C8">
              <w:rPr>
                <w:i/>
              </w:rPr>
              <w:t>l</w:t>
            </w:r>
            <w:r w:rsidR="00491DCF" w:rsidRPr="000866C8">
              <w:rPr>
                <w:i/>
              </w:rPr>
              <w:t>.</w:t>
            </w:r>
            <w:r w:rsidR="00491DCF" w:rsidRPr="000866C8">
              <w:rPr>
                <w:i/>
              </w:rPr>
              <w:br/>
            </w:r>
            <w:proofErr w:type="spellStart"/>
            <w:r w:rsidR="00971174" w:rsidRPr="000866C8">
              <w:rPr>
                <w:i/>
              </w:rPr>
              <w:t>A.</w:t>
            </w:r>
            <w:r w:rsidR="00491DCF" w:rsidRPr="000866C8">
              <w:rPr>
                <w:i/>
              </w:rPr>
              <w:t>funestus</w:t>
            </w:r>
            <w:proofErr w:type="spellEnd"/>
            <w:r w:rsidR="00491DCF" w:rsidRPr="000866C8">
              <w:rPr>
                <w:i/>
              </w:rPr>
              <w:t xml:space="preserve"> (</w:t>
            </w:r>
            <w:proofErr w:type="spellStart"/>
            <w:r w:rsidR="00491DCF" w:rsidRPr="000866C8">
              <w:rPr>
                <w:i/>
              </w:rPr>
              <w:t>reduced</w:t>
            </w:r>
            <w:proofErr w:type="spellEnd"/>
            <w:r w:rsidRPr="000866C8">
              <w:rPr>
                <w:i/>
              </w:rPr>
              <w:t xml:space="preserve"> </w:t>
            </w:r>
            <w:proofErr w:type="spellStart"/>
            <w:r w:rsidRPr="000866C8">
              <w:rPr>
                <w:i/>
              </w:rPr>
              <w:t>density</w:t>
            </w:r>
            <w:proofErr w:type="spellEnd"/>
            <w:r w:rsidRPr="000866C8">
              <w:rPr>
                <w:i/>
              </w:rPr>
              <w:t>)</w:t>
            </w:r>
          </w:p>
        </w:tc>
        <w:tc>
          <w:tcPr>
            <w:tcW w:w="1701" w:type="dxa"/>
            <w:noWrap/>
            <w:hideMark/>
          </w:tcPr>
          <w:p w:rsidR="00A801AD" w:rsidRPr="000866C8" w:rsidRDefault="00A801AD" w:rsidP="008A1CAE">
            <w:pPr>
              <w:spacing w:before="240"/>
              <w:jc w:val="center"/>
              <w:cnfStyle w:val="000000000000" w:firstRow="0" w:lastRow="0" w:firstColumn="0" w:lastColumn="0" w:oddVBand="0" w:evenVBand="0" w:oddHBand="0" w:evenHBand="0" w:firstRowFirstColumn="0" w:firstRowLastColumn="0" w:lastRowFirstColumn="0" w:lastRowLastColumn="0"/>
            </w:pPr>
            <w:r w:rsidRPr="000866C8">
              <w:t>+</w:t>
            </w:r>
          </w:p>
        </w:tc>
        <w:tc>
          <w:tcPr>
            <w:tcW w:w="1560" w:type="dxa"/>
            <w:noWrap/>
            <w:hideMark/>
          </w:tcPr>
          <w:p w:rsidR="00A801AD" w:rsidRPr="000866C8" w:rsidRDefault="00491DCF" w:rsidP="008A1CAE">
            <w:pPr>
              <w:spacing w:before="240"/>
              <w:jc w:val="center"/>
              <w:cnfStyle w:val="000000000000" w:firstRow="0" w:lastRow="0" w:firstColumn="0" w:lastColumn="0" w:oddVBand="0" w:evenVBand="0" w:oddHBand="0" w:evenHBand="0" w:firstRowFirstColumn="0" w:firstRowLastColumn="0" w:lastRowFirstColumn="0" w:lastRowLastColumn="0"/>
            </w:pPr>
            <w:r w:rsidRPr="000866C8">
              <w:t>no</w:t>
            </w:r>
          </w:p>
        </w:tc>
        <w:tc>
          <w:tcPr>
            <w:tcW w:w="1111" w:type="dxa"/>
            <w:noWrap/>
            <w:hideMark/>
          </w:tcPr>
          <w:p w:rsidR="00A801AD" w:rsidRPr="000866C8" w:rsidRDefault="00A801AD" w:rsidP="008A1CAE">
            <w:pPr>
              <w:spacing w:before="240"/>
              <w:jc w:val="center"/>
              <w:cnfStyle w:val="000000000000" w:firstRow="0" w:lastRow="0" w:firstColumn="0" w:lastColumn="0" w:oddVBand="0" w:evenVBand="0" w:oddHBand="0" w:evenHBand="0" w:firstRowFirstColumn="0" w:firstRowLastColumn="0" w:lastRowFirstColumn="0" w:lastRowLastColumn="0"/>
            </w:pPr>
            <w:r w:rsidRPr="000866C8">
              <w:t>N.A.</w:t>
            </w:r>
          </w:p>
        </w:tc>
        <w:tc>
          <w:tcPr>
            <w:tcW w:w="1446" w:type="dxa"/>
            <w:noWrap/>
            <w:hideMark/>
          </w:tcPr>
          <w:p w:rsidR="00A801AD" w:rsidRPr="000866C8" w:rsidRDefault="00A801AD" w:rsidP="0010196D">
            <w:pPr>
              <w:spacing w:before="240"/>
              <w:jc w:val="center"/>
              <w:cnfStyle w:val="000000000000" w:firstRow="0" w:lastRow="0" w:firstColumn="0" w:lastColumn="0" w:oddVBand="0" w:evenVBand="0" w:oddHBand="0" w:evenHBand="0" w:firstRowFirstColumn="0" w:firstRowLastColumn="0" w:lastRowFirstColumn="0" w:lastRowLastColumn="0"/>
            </w:pPr>
            <w:r w:rsidRPr="000866C8">
              <w:t>1%</w:t>
            </w:r>
          </w:p>
        </w:tc>
        <w:tc>
          <w:tcPr>
            <w:tcW w:w="1363" w:type="dxa"/>
            <w:noWrap/>
            <w:hideMark/>
          </w:tcPr>
          <w:p w:rsidR="00A801AD" w:rsidRPr="000866C8" w:rsidRDefault="0010196D" w:rsidP="0010196D">
            <w:pPr>
              <w:spacing w:before="240"/>
              <w:jc w:val="center"/>
              <w:cnfStyle w:val="000000000000" w:firstRow="0" w:lastRow="0" w:firstColumn="0" w:lastColumn="0" w:oddVBand="0" w:evenVBand="0" w:oddHBand="0" w:evenHBand="0" w:firstRowFirstColumn="0" w:firstRowLastColumn="0" w:lastRowFirstColumn="0" w:lastRowLastColumn="0"/>
            </w:pPr>
            <w:r w:rsidRPr="000866C8">
              <w:t>2.2-0.</w:t>
            </w:r>
            <w:r w:rsidR="00A801AD" w:rsidRPr="000866C8">
              <w:t>5%</w:t>
            </w:r>
          </w:p>
        </w:tc>
        <w:tc>
          <w:tcPr>
            <w:tcW w:w="1229" w:type="dxa"/>
            <w:noWrap/>
            <w:hideMark/>
          </w:tcPr>
          <w:p w:rsidR="00A801AD" w:rsidRPr="00A801AD" w:rsidRDefault="00A801AD" w:rsidP="0010196D">
            <w:pPr>
              <w:spacing w:before="240"/>
              <w:jc w:val="center"/>
              <w:cnfStyle w:val="000000000000" w:firstRow="0" w:lastRow="0" w:firstColumn="0" w:lastColumn="0" w:oddVBand="0" w:evenVBand="0" w:oddHBand="0" w:evenHBand="0" w:firstRowFirstColumn="0" w:firstRowLastColumn="0" w:lastRowFirstColumn="0" w:lastRowLastColumn="0"/>
            </w:pPr>
            <w:r>
              <w:fldChar w:fldCharType="begin" w:fldLock="1"/>
            </w:r>
            <w:r w:rsidR="00037624" w:rsidRPr="000866C8">
              <w:instrText>ADDIN CSL_CITATION {"citationItems":[{"id":"ITEM-1","itemData":{"DOI":"10.4269/ajtmh.17-0009","ISSN":"00029637","abstract":"The implementation of long-lasting insecticidal-treated bed nets (LLINs) has contributed to halving the mortality rate due to malaria since 2000 in sub-Saharan Africa. These tools are highly effective against indoor-feeding malaria vectors. Thus, to achieve the World Health Assembly’s new target to reduce the burden of malaria over the next 15 years by 90%, it is necessary to understand how the spatiotemporal dynamics of malaria vectors and human exposure to bites is modified in the context of scaling up global efforts to control malaria transmission. This study</w:instrText>
            </w:r>
            <w:r w:rsidR="00037624">
              <w:rPr>
                <w:lang w:val="en-US"/>
              </w:rPr>
              <w:instrText xml:space="preserve"> was conducted in Dielmo, a Senegalese village, after the introduction of LLINs and two rounds of LLINs renewals. Data analysis showed that implementation of LLINs correlated with a significant decrease in the biting densities of the main malaria vectors, Anopheles gambiae s.l. and Anopheles funestus, reducing malaria transmission. Other environment factors likely contributed to the decrease in An. funestus, but this trend was enhanced with the introduction of LLINs. The bulk of bites occurred during sleeping hours, but the residual vector populations of An. gambiae s.l. and An. funestus had an increased propensity to bite outdoors, so a risk of infectious bites remained for LLINs users. These results highlight the need to increase the level and correct use of LLINs and to combine this intervention with complementary control measures against residual exposure, such as spatial repellents and larval source management, to achieve the goal of eliminating malaria transmission.","author":[{"dropping-particle":"","family":"Sougoufara","given":"Seynabou","non-dropping-particle":"","parse-names":false,"suffix":""},{"dropping-particle":"","family":"Thiaw","given":"Omar","non-dropping-particle":"","parse-names":false,"suffix":""},{"dropping-particle":"","family":"Cailleau","given":"Aurélie","non-dropping-particle":"","parse-names":false,"suffix":""},{"dropping-particle":"","family":"Diagne","given":"Nafissatou","non-dropping-particle":"","parse-names":false,"suffix":""},{"dropping-particle":"","family":"Harry","given":"Myriam","non-dropping-particle":"","parse-names":false,"suffix":""},{"dropping-particle":"","family":"Bouganali","given":"Charles","non-dropping-particle":"","parse-names":false,"suffix":""},{"dropping-particle":"","family":"Sembène","given":"Pape M.","non-dropping-particle":"","parse-names":false,"suffix":""},{"dropping-particle":"","family":"Doucoure","given":"Souleymane","non-dropping-particle":"","parse-names":false,"suffix":""},{"dropping-particle":"","family":"Sokhna","given":"Cheikh","non-dropping-particle":"","parse-names":false,"suffix":""}],"container-title":"American Journal of Tropical Medicine and Hygiene","id":"ITEM-1","issue":"5","issued":{"date-parts":[["2018"]]},"page":"1343-1352","title":"The impact of periodic distribution campaigns of long-lasting insecticidal-treated bed nets on malaria vector dynamics and human exposure in Dielmo, Senegal","type":"article-journal","volume":"98"},"uris":["http://www.mendeley.com/documents/?uuid=bee06e6a-65d5-4b2d-bf9c-df1d567eb940"]}],"mendeley":{"formattedCitation":"[2]","plainTextFormattedCitation":"[2]","previouslyFormattedCitation":"[5]"},"properties":{"noteIndex":0},"schema":"https://github.com/citation-style-language/schema/raw/master/csl-citation.json"}</w:instrText>
            </w:r>
            <w:r>
              <w:fldChar w:fldCharType="separate"/>
            </w:r>
            <w:r w:rsidR="00037624" w:rsidRPr="00037624">
              <w:rPr>
                <w:noProof/>
              </w:rPr>
              <w:t>[2]</w:t>
            </w:r>
            <w:r>
              <w:fldChar w:fldCharType="end"/>
            </w:r>
          </w:p>
        </w:tc>
      </w:tr>
      <w:tr w:rsidR="007E2144" w:rsidRPr="00A801AD" w:rsidTr="008651A4">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405" w:type="dxa"/>
            <w:noWrap/>
            <w:hideMark/>
          </w:tcPr>
          <w:p w:rsidR="00A801AD" w:rsidRPr="00DD5362" w:rsidRDefault="00A801AD" w:rsidP="008A1CAE">
            <w:r w:rsidRPr="00DD5362">
              <w:t>Kenya</w:t>
            </w:r>
          </w:p>
        </w:tc>
        <w:tc>
          <w:tcPr>
            <w:tcW w:w="2134" w:type="dxa"/>
            <w:noWrap/>
            <w:hideMark/>
          </w:tcPr>
          <w:p w:rsidR="00A801AD" w:rsidRPr="00A801AD" w:rsidRDefault="00A801AD" w:rsidP="008A1CAE">
            <w:pPr>
              <w:cnfStyle w:val="000000100000" w:firstRow="0" w:lastRow="0" w:firstColumn="0" w:lastColumn="0" w:oddVBand="0" w:evenVBand="0" w:oddHBand="1" w:evenHBand="0" w:firstRowFirstColumn="0" w:firstRowLastColumn="0" w:lastRowFirstColumn="0" w:lastRowLastColumn="0"/>
            </w:pPr>
            <w:r w:rsidRPr="00A801AD">
              <w:t xml:space="preserve">Kenya </w:t>
            </w:r>
            <w:proofErr w:type="spellStart"/>
            <w:r w:rsidRPr="00A801AD">
              <w:t>coast</w:t>
            </w:r>
            <w:proofErr w:type="spellEnd"/>
          </w:p>
        </w:tc>
        <w:tc>
          <w:tcPr>
            <w:tcW w:w="1843" w:type="dxa"/>
            <w:noWrap/>
            <w:hideMark/>
          </w:tcPr>
          <w:p w:rsidR="00A801AD" w:rsidRPr="00D829E4" w:rsidRDefault="00971174" w:rsidP="008A1CAE">
            <w:pPr>
              <w:cnfStyle w:val="000000100000" w:firstRow="0" w:lastRow="0" w:firstColumn="0" w:lastColumn="0" w:oddVBand="0" w:evenVBand="0" w:oddHBand="1" w:evenHBand="0" w:firstRowFirstColumn="0" w:firstRowLastColumn="0" w:lastRowFirstColumn="0" w:lastRowLastColumn="0"/>
              <w:rPr>
                <w:i/>
              </w:rPr>
            </w:pPr>
            <w:r w:rsidRPr="00D829E4">
              <w:rPr>
                <w:i/>
              </w:rPr>
              <w:t xml:space="preserve">A. </w:t>
            </w:r>
            <w:r w:rsidR="00A801AD" w:rsidRPr="00D829E4">
              <w:rPr>
                <w:i/>
              </w:rPr>
              <w:t xml:space="preserve">gambiae </w:t>
            </w:r>
            <w:proofErr w:type="spellStart"/>
            <w:r w:rsidR="00DD5362" w:rsidRPr="00DD5362">
              <w:t>s.s.</w:t>
            </w:r>
            <w:proofErr w:type="spellEnd"/>
          </w:p>
        </w:tc>
        <w:tc>
          <w:tcPr>
            <w:tcW w:w="1984" w:type="dxa"/>
            <w:noWrap/>
            <w:hideMark/>
          </w:tcPr>
          <w:p w:rsidR="00A801AD" w:rsidRPr="00D829E4" w:rsidRDefault="00971174" w:rsidP="008A1CAE">
            <w:pPr>
              <w:cnfStyle w:val="000000100000" w:firstRow="0" w:lastRow="0" w:firstColumn="0" w:lastColumn="0" w:oddVBand="0" w:evenVBand="0" w:oddHBand="1" w:evenHBand="0" w:firstRowFirstColumn="0" w:firstRowLastColumn="0" w:lastRowFirstColumn="0" w:lastRowLastColumn="0"/>
              <w:rPr>
                <w:i/>
              </w:rPr>
            </w:pPr>
            <w:r w:rsidRPr="00D829E4">
              <w:rPr>
                <w:i/>
              </w:rPr>
              <w:t xml:space="preserve">A. </w:t>
            </w:r>
            <w:r w:rsidR="00A801AD" w:rsidRPr="00D829E4">
              <w:rPr>
                <w:i/>
              </w:rPr>
              <w:t>arabiensis</w:t>
            </w:r>
          </w:p>
        </w:tc>
        <w:tc>
          <w:tcPr>
            <w:tcW w:w="1701" w:type="dxa"/>
            <w:noWrap/>
            <w:hideMark/>
          </w:tcPr>
          <w:p w:rsidR="00A801AD" w:rsidRPr="00A801AD" w:rsidRDefault="00A801AD" w:rsidP="008A1CAE">
            <w:pPr>
              <w:jc w:val="center"/>
              <w:cnfStyle w:val="000000100000" w:firstRow="0" w:lastRow="0" w:firstColumn="0" w:lastColumn="0" w:oddVBand="0" w:evenVBand="0" w:oddHBand="1" w:evenHBand="0" w:firstRowFirstColumn="0" w:firstRowLastColumn="0" w:lastRowFirstColumn="0" w:lastRowLastColumn="0"/>
            </w:pPr>
            <w:r w:rsidRPr="00A801AD">
              <w:t>+</w:t>
            </w:r>
          </w:p>
        </w:tc>
        <w:tc>
          <w:tcPr>
            <w:tcW w:w="1560" w:type="dxa"/>
            <w:noWrap/>
            <w:hideMark/>
          </w:tcPr>
          <w:p w:rsidR="00A801AD" w:rsidRPr="00A801AD" w:rsidRDefault="00A801AD" w:rsidP="008A1CAE">
            <w:pPr>
              <w:jc w:val="center"/>
              <w:cnfStyle w:val="000000100000" w:firstRow="0" w:lastRow="0" w:firstColumn="0" w:lastColumn="0" w:oddVBand="0" w:evenVBand="0" w:oddHBand="1" w:evenHBand="0" w:firstRowFirstColumn="0" w:firstRowLastColumn="0" w:lastRowFirstColumn="0" w:lastRowLastColumn="0"/>
            </w:pPr>
            <w:r w:rsidRPr="00A801AD">
              <w:t>+</w:t>
            </w:r>
          </w:p>
        </w:tc>
        <w:tc>
          <w:tcPr>
            <w:tcW w:w="1111" w:type="dxa"/>
            <w:noWrap/>
            <w:hideMark/>
          </w:tcPr>
          <w:p w:rsidR="00A801AD" w:rsidRPr="00A801AD" w:rsidRDefault="00A801AD" w:rsidP="008A1CAE">
            <w:pPr>
              <w:jc w:val="center"/>
              <w:cnfStyle w:val="000000100000" w:firstRow="0" w:lastRow="0" w:firstColumn="0" w:lastColumn="0" w:oddVBand="0" w:evenVBand="0" w:oddHBand="1" w:evenHBand="0" w:firstRowFirstColumn="0" w:firstRowLastColumn="0" w:lastRowFirstColumn="0" w:lastRowLastColumn="0"/>
            </w:pPr>
            <w:r w:rsidRPr="00A801AD">
              <w:t>+</w:t>
            </w:r>
          </w:p>
        </w:tc>
        <w:tc>
          <w:tcPr>
            <w:tcW w:w="1446" w:type="dxa"/>
            <w:noWrap/>
            <w:hideMark/>
          </w:tcPr>
          <w:p w:rsidR="00A801AD" w:rsidRPr="00A801AD" w:rsidRDefault="0010196D" w:rsidP="0010196D">
            <w:pPr>
              <w:jc w:val="center"/>
              <w:cnfStyle w:val="000000100000" w:firstRow="0" w:lastRow="0" w:firstColumn="0" w:lastColumn="0" w:oddVBand="0" w:evenVBand="0" w:oddHBand="1" w:evenHBand="0" w:firstRowFirstColumn="0" w:firstRowLastColumn="0" w:lastRowFirstColumn="0" w:lastRowLastColumn="0"/>
            </w:pPr>
            <w:r>
              <w:t>3.8</w:t>
            </w:r>
            <w:r w:rsidR="00A801AD" w:rsidRPr="00A801AD">
              <w:t>-8.</w:t>
            </w:r>
            <w:r>
              <w:t>7</w:t>
            </w:r>
            <w:r w:rsidR="00A801AD" w:rsidRPr="00A801AD">
              <w:t>%</w:t>
            </w:r>
          </w:p>
        </w:tc>
        <w:tc>
          <w:tcPr>
            <w:tcW w:w="1363" w:type="dxa"/>
            <w:noWrap/>
            <w:hideMark/>
          </w:tcPr>
          <w:p w:rsidR="00A801AD" w:rsidRPr="00A801AD" w:rsidRDefault="00A801AD" w:rsidP="0010196D">
            <w:pPr>
              <w:jc w:val="center"/>
              <w:cnfStyle w:val="000000100000" w:firstRow="0" w:lastRow="0" w:firstColumn="0" w:lastColumn="0" w:oddVBand="0" w:evenVBand="0" w:oddHBand="1" w:evenHBand="0" w:firstRowFirstColumn="0" w:firstRowLastColumn="0" w:lastRowFirstColumn="0" w:lastRowLastColumn="0"/>
            </w:pPr>
            <w:r w:rsidRPr="00A801AD">
              <w:t>0.</w:t>
            </w:r>
            <w:r w:rsidR="0010196D">
              <w:t>2</w:t>
            </w:r>
            <w:r w:rsidRPr="00A801AD">
              <w:t>-0.3%</w:t>
            </w:r>
          </w:p>
        </w:tc>
        <w:tc>
          <w:tcPr>
            <w:tcW w:w="1229" w:type="dxa"/>
            <w:noWrap/>
            <w:hideMark/>
          </w:tcPr>
          <w:p w:rsidR="00A801AD" w:rsidRPr="00A801AD" w:rsidRDefault="007E2144" w:rsidP="0010196D">
            <w:pPr>
              <w:jc w:val="center"/>
              <w:cnfStyle w:val="000000100000" w:firstRow="0" w:lastRow="0" w:firstColumn="0" w:lastColumn="0" w:oddVBand="0" w:evenVBand="0" w:oddHBand="1" w:evenHBand="0" w:firstRowFirstColumn="0" w:firstRowLastColumn="0" w:lastRowFirstColumn="0" w:lastRowLastColumn="0"/>
            </w:pPr>
            <w:r>
              <w:fldChar w:fldCharType="begin" w:fldLock="1"/>
            </w:r>
            <w:r w:rsidR="00037624">
              <w:instrText>ADDIN CSL_CITATION {"citationItems":[{"id":"ITEM-1","itemData":{"DOI":"10.1111/j.1365-2915.1996.tb00739.x","ISSN":"0269283X","abstract":"The effects of introducing permethrin-impregnated bednets on local populations of the malaria vector mosquitoes Anopheles funestus and the An.gambiae complex was monitored during a randomized controlled trial at Kilifi on the Kenyan coast. Pyrethrum spray collections inside 762 households were conducted between May 1994 and April 1995 after the introduction of bednets in half of the study area. All-night human bait collections were performed in two zones (one control and one intervention) for two nights each month during the same period. PCR identifications of An.gambiae sensu lato showed that proportions of sibling species were An.gambiae sensu stricto &gt; An.merus &gt; An.arabiensis. Indoor-resting densities of An.gambiae s.l. and the proportion of engorged females decreased significantly in intervention zones as compared to control zones. However, the human blood index and Plasmodium falciparum sporozoite rate remained unaffected. Also vector parous rates were unaltered by the intervention, implying that survival rates of malaria vectors were not affected. The human-biting density of An.gambiae s.l., the predominant vector, was consistently higher in the intervention zone compared to the control zone, but showed 8% reduction compared to pre-intervention biting rates versus 94% increase in the control zone. Bioassay, susceptibility and high-performance liquid chromatography results all indicated that the permethrin content applied to the nets was sufficient to maintain high mortality of susceptible vectors throughout the trial. Increased rates of early outdoor-biting, as opposed to indoor-biting later during the night, were behavioural or vector composition changes associated with this intervention, which would require further monitoring during control programmes employing insecticide-treated bednets.","author":[{"dropping-particle":"","family":"Mbogo","given":"C. N.M.","non-dropping-particle":"","parse-names":false,"suffix":""},{"dropping-particle":"","family":"Baya","given":"N. M.","non-dropping-particle":"","parse-names":false,"suffix":""},{"dropping-particle":"","family":"Ofulla","given":"A. V.O.","non-dropping-particle":"","parse-names":false,"suffix":""},{"dropping-particle":"","family":"Githure","given":"J. I.","non-dropping-particle":"","parse-names":false,"suffix":""},{"dropping-particle":"","family":"Snow","given":"R. W.","non-dropping-particle":"","parse-names":false,"suffix":""}],"container-title":"Medical and Veterinary Entomology","id":"ITEM-1","issue":"3","issued":{"date-parts":[["1996"]]},"page":"251-259","title":"The impact of permethrin-impregnated bednets on malaria vectors of the Kenyan coast","type":"article-journal","volume":"10"},"uris":["http://www.mendeley.com/documents/?uuid=e0f1b26b-ec16-4a27-877e-df1363bfd383"]},{"id":"ITEM-2","itemData":{"DOI":"10.1186/1475-2875-12-13","ISSN":"14752875","abstract":"Background: Over the past 20 years, numerous studies have investigated the ecology and behaviour of malaria vectors and Plasmodium falciparum malaria transmission on the coast of Kenya. Substantial progress has been made to control vector populations and reduce high malaria prevalence and severe disease. The goal of this paper was to examine trends over the past 20 years in Anopheles species composition, density, blood-feeding behaviour, and P. falciparum sporozoite transmission along the coast of Kenya. Methods. Using data collected from 1990 to 2010, vector density, species composition, blood-feeding patterns, and malaria transmission intensity was examined along the Kenyan coast. Mosquitoes were identified to species, based on morphological characteristics and DNA extracted from Anopheles gambiae for amplification. Using negative binomial generalized estimating equations, mosquito abundance over the period were modelled while adjusting for season. A multiple logistic regression model was used to analyse the sporozoite rates. Results: Results show that in some areas along the Kenyan coast, Anopheles arabiensis and Anopheles merus have replaced An. gambiae sensu stricto (s.s.) and Anopheles funestus as the major mosquito species. Further, there has been a shift from human to animal feeding for both An. gambiae sensu lato (s.l.) (99% to 16%) and An. funestus (100% to 3%), and P. falciparum sporozoite rates have significantly declined over the last 20 years, with the lowest sporozoite rates being observed in 2007 (0.19%) and 2008 (0.34%). There has been, on average, a significant reduction in the abundance of An. gambiae s.l. over the years (IRR = 0.94, 95% CI 0.90-0.98), with the density standing at low levels of an average 0.006 mosquitoes/house in the year 2010. Conclusion: Reductions in the densities of the major malaria vectors and a shift from human to animal feeding have contributed to the decreased burden of malaria along the Kenyan coast. Vector species composition remains heterogeneous but in many areas An. arabiensis has replaced An. gambiae as the major malaria vector. This has important implications for malaria epidemiology and control given that this vector predominately rests and feeds on humans outdoors. Strategies for vector control need to continue focusing on tools for protecting residents inside houses but additionally employ outdoor control tools because these are essential for further reducing the levels of malaria transmission. © 2…","author":[{"dropping-particle":"","family":"Mwangangi","given":"Joseph M.","non-dropping-particle":"","parse-names":false,"suffix":""},{"dropping-particle":"","family":"Mbogo","given":"Charles M.","non-dropping-particle":"","parse-names":false,"suffix":""},{"dropping-particle":"","family":"Orindi","given":"Benedict O.","non-dropping-particle":"","parse-names":false,"suffix":""},{"dropping-particle":"","family":"Muturi","given":"Ephantus J.","non-dropping-particle":"","parse-names":false,"suffix":""},{"dropping-particle":"","family":"Midega","given":"Janet T.","non-dropping-particle":"","parse-names":false,"suffix":""},{"dropping-particle":"","family":"Nzovu","given":"Joseph","non-dropping-particle":"","parse-names":false,"suffix":""},{"dropping-particle":"","family":"Gatakaa","given":"Hellen","non-dropping-particle":"","parse-names":false,"suffix":""},{"dropping-particle":"","family":"Githure","given":"John","non-dropping-particle":"","parse-names":false,"suffix":""},{"dropping-particle":"","family":"Borgemeister","given":"Christian","non-dropping-particle":"","parse-names":false,"suffix":""},{"dropping-particle":"","family":"Keating","given":"Joseph","non-dropping-particle":"","parse-names":false,"suffix":""},{"dropping-particle":"","family":"Beier","given":"John C.","non-dropping-particle":"","parse-names":false,"suffix":""}],"container-title":"Malaria Journal","id":"ITEM-2","issue":"1","issued":{"date-parts":[["2013"]]},"page":"1-9","title":"Shifts in malaria vector species composition and transmission dynamics along the Kenyan coast over the past 20 years","type":"article-journal","volume":"12"},"uris":["http://www.mendeley.com/documents/?uuid=224999db-6af8-425d-a152-b4f9c18abf66"]},{"id":"ITEM-3","itemData":{"DOI":"10.1186/1475-2875-10-356","ISSN":"14752875","abstract":"Background: Besides significantly reducing malaria vector densities, prolonged usage of bed nets has been linked to decline of Anopheles gambiae s.s. relative to Anopheles arabiensis, changes in host feeding preference of malaria vectors, and behavioural shifts to exophagy (outdoor biting) for the two important malaria vectors in Africa, An. gambiae s.l. and Anopheles funestus. In southern coastal Kenya, bed net use was negligible in 1997-1998 when Anopheles funestus and An. gambiae s.s. were the primary malaria vectors, with An. arabiensis and Anopheles merus playing a secondary role. Since 2001, bed net use has increased progressively and reached high levels by 2009-2010 with corresponding decline in malaria transmission. Methods. To evaluate the impact of the substantial increase in household bed net use within this area on vector density, vector composition, and human-vector contact, indoor and outdoor resting mosquitoes were collected in the same region during 2009-2010 using pyrethrum spray catches and clay pots for indoor and outdoor collections respectively. Information on bed net use per sleeping spaces and factors influencing mosquito density were determined in the same houses using Poisson regression analysis. Species distribution was determined, and number of mosquitoes per house, human-biting rates (HBR), and entomological inoculation rate (EIR) were compared to those reported for the same area during 1997-1998, when bed net coverage had been minimal. Results: Compared to 1997-1998, a significant decline in the relative proportion of An. gambiae s.s. among collected mosquitoes was noted, coupled with a proportionate increase of An. arabiensis. Following &gt; 5 years of 60-86% coverage with bed nets, the density, human biting rate and EIR of indoor resting mosquitoes were reduced by more than 92% for An. funestus and by 75% for An. gambiae s.l. In addition, the host feeding choice of both vectors shifted more toward non-human vertebrates. Besides bed net use, malaria vector abundance was also influenced by type of house construction and according to whether one sleeps on a bed or a mat (both of these are associated with household wealth). Mosquito density was positively associated with presence of domestic animals. Conclusions: These entomological indices indicate a much reduced human biting rate and a diminishing role of An. gambiae s.s. in malaria transmission following high bed net coverage. While increasing bed net coverage beyond the curre…","author":[{"dropping-particle":"","family":"Mutuku","given":"Francis M.","non-dropping-particle":"","parse-names":false,"suffix":""},{"dropping-particle":"","family":"King","given":"Charles H.","non-dropping-particle":"","parse-names":false,"suffix":""},{"dropping-particle":"","family":"Mungai","given":"Peter","non-dropping-particle":"","parse-names":false,"suffix":""},{"dropping-particle":"","family":"Mbogo","given":"Charles","non-dropping-particle":"","parse-names":false,"suffix":""},{"dropping-particle":"","family":"Mwangangi","given":"Joseph","non-dropping-particle":"","parse-names":false,"suffix":""},{"dropping-particle":"","family":"Muchiri","given":"Eric M.","non-dropping-particle":"","parse-names":false,"suffix":""},{"dropping-particle":"","family":"Walker","given":"Edward D.","non-dropping-particle":"","parse-names":false,"suffix":""},{"dropping-particle":"","family":"Kitron","given":"Uriel","non-dropping-particle":"","parse-names":false,"suffix":""}],"container-title":"Malaria Journal","id":"ITEM-3","issue":"1","issued":{"date-parts":[["2011"]]},"page":"356","publisher":"BioMed Central Ltd","title":"Impact of insecticide-treated bed nets on malaria transmission indices on the south coast of Kenya","type":"article-journal","volume":"10"},"uris":["http://www.mendeley.com/documents/?uuid=ca34cb64-e30e-44d6-b28b-75186873ca32"]},{"id":"ITEM-4","itemData":{"DOI":"10.4269/ajtmh.2003.68.734","ISSN":"00029637","PMID":"12887036","abstract":"The seasonal dynamics and spatial distributions of Anopheles mosquitoes and Plasmodium falciparum parasites were studied for one year at 30 villages in Malindi, Kilifi, and Kwale Districts along the coast of Kenya. Anopheline mosquitoes were sampled inside houses at each site once every two months and malaria parasite prevalence in local school children was determined at the end of the entomologic survey. A total of 5,476 Anopheles gambiae s.l. and 3,461 An. funestus were collected. Species in the An. gambiae complex, identified by a polymerase chain reaction, included 81.9% An. gambiae s.s., 12.8% An. arabiensis, and 5.3% An. merus. Anopheles gambiae s.s. contributed most to the transmission of P. falciparum along the coast as a whole, while An. funestus accounted for more than 50% of all transmission in Kwale District. Large spatial heterogeneity of transmission intensity (&lt; 1 up to 120 infective bites per person per year) resulted in correspondingly large and significantly related variations in parasite prevalence (range = 38-83%). Thirty-two percent of the sites (7 of 22 sites) with malaria prevalences ranging from 38% to 70% had annual entomologic inoculation rates (EIR) less than five infective bites per person per year. Anopheles gambiae s.l. and An. funestus densities in Kwale were not significantly influenced by rainfall. However, both were positively correlated with rainfall one and three months previously in Malindi and Kilifi Districts, respectively. These unexpected variations in the relationship between mosquito populations and rainfall suggest environmental heterogeneity in the predominant aquatic habitats in each district. One important conclusion is that the highly non-linear relationship between EIRs and prevalence indicates that the consistent pattern of high prevalence might be governed by substantial variation in transmission intensity measured by entomologic surveys. The field-based estimate of entomologic parameters on a district level does not provide a sensitive indicator of transmission intensity in this study.","author":[{"dropping-particle":"","family":"Mbogo","given":"Charles M.","non-dropping-particle":"","parse-names":false,"suffix":""},{"dropping-particle":"","family":"Mwangangi","given":"Joseph M.","non-dropping-particle":"","parse-names":false,"suffix":""},{"dropping-particle":"","family":"Nzovu","given":"Joseph G.","non-dropping-particle":"","parse-names":false,"suffix":""},{"dropping-particle":"","family":"Gu","given":"Weidong","non-dropping-particle":"","parse-names":false,"suffix":""},{"dropping-particle":"","family":"Yan","given":"Guiyan","non-dropping-particle":"","parse-names":false,"suffix":""},{"dropping-particle":"","family":"Gunter","given":"James T.","non-dropping-particle":"","parse-names":false,"suffix":""},{"dropping-particle":"","family":"Swalm","given":"Chris","non-dropping-particle":"","parse-names":false,"suffix":""},{"dropping-particle":"","family":"Keating","given":"Joseph","non-dropping-particle":"","parse-names":false,"suffix":""},{"dropping-particle":"","family":"Regens","given":"James L.","non-dropping-particle":"","parse-names":false,"suffix":""},{"dropping-particle":"","family":"Shililu","given":"Josephat I.","non-dropping-particle":"","parse-names":false,"suffix":""},{"dropping-particle":"","family":"Githure","given":"John I.","non-dropping-particle":"","parse-names":false,"suffix":""},{"dropping-particle":"","family":"Beier","given":"John C.","non-dropping-particle":"","parse-names":false,"suffix":""}],"container-title":"American Journal of Tropical Medicine and Hygiene","id":"ITEM-4","issue":"6","issued":{"date-parts":[["2003"]]},"page":"734-742","title":"Spatial and temporal heterogeneity of Anopheles mosquitoes and Plasmodium falciparum transmission along the Kenyan coast","type":"article-journal","volume":"68"},"uris":["http://www.mendeley.com/documents/?uuid=79195342-4448-4c2b-9875-5d11b218a3fd"]}],"mendeley":{"formattedCitation":"[3–6]","plainTextFormattedCitation":"[3–6]","previouslyFormattedCitation":"[6–9]"},"properties":{"noteIndex":0},"schema":"https://github.com/citation-style-language/schema/raw/master/csl-citation.json"}</w:instrText>
            </w:r>
            <w:r>
              <w:fldChar w:fldCharType="separate"/>
            </w:r>
            <w:r w:rsidR="00037624" w:rsidRPr="00037624">
              <w:rPr>
                <w:noProof/>
              </w:rPr>
              <w:t>[3–6]</w:t>
            </w:r>
            <w:r>
              <w:fldChar w:fldCharType="end"/>
            </w:r>
          </w:p>
        </w:tc>
      </w:tr>
      <w:tr w:rsidR="00491DCF" w:rsidRPr="00A801AD" w:rsidTr="008651A4">
        <w:trPr>
          <w:trHeight w:val="288"/>
        </w:trPr>
        <w:tc>
          <w:tcPr>
            <w:cnfStyle w:val="001000000000" w:firstRow="0" w:lastRow="0" w:firstColumn="1" w:lastColumn="0" w:oddVBand="0" w:evenVBand="0" w:oddHBand="0" w:evenHBand="0" w:firstRowFirstColumn="0" w:firstRowLastColumn="0" w:lastRowFirstColumn="0" w:lastRowLastColumn="0"/>
            <w:tcW w:w="1405" w:type="dxa"/>
            <w:noWrap/>
            <w:hideMark/>
          </w:tcPr>
          <w:p w:rsidR="00A801AD" w:rsidRPr="00DD5362" w:rsidRDefault="00A801AD" w:rsidP="008A1CAE">
            <w:r w:rsidRPr="00DD5362">
              <w:t>Kenya</w:t>
            </w:r>
          </w:p>
        </w:tc>
        <w:tc>
          <w:tcPr>
            <w:tcW w:w="2134" w:type="dxa"/>
            <w:noWrap/>
            <w:hideMark/>
          </w:tcPr>
          <w:p w:rsidR="00A801AD" w:rsidRPr="00A801AD" w:rsidRDefault="00A801AD" w:rsidP="008A1CAE">
            <w:pPr>
              <w:cnfStyle w:val="000000000000" w:firstRow="0" w:lastRow="0" w:firstColumn="0" w:lastColumn="0" w:oddVBand="0" w:evenVBand="0" w:oddHBand="0" w:evenHBand="0" w:firstRowFirstColumn="0" w:firstRowLastColumn="0" w:lastRowFirstColumn="0" w:lastRowLastColumn="0"/>
            </w:pPr>
            <w:proofErr w:type="spellStart"/>
            <w:r w:rsidRPr="00A801AD">
              <w:t>Asembo</w:t>
            </w:r>
            <w:proofErr w:type="spellEnd"/>
            <w:r w:rsidRPr="00A801AD">
              <w:t xml:space="preserve"> area</w:t>
            </w:r>
          </w:p>
        </w:tc>
        <w:tc>
          <w:tcPr>
            <w:tcW w:w="1843" w:type="dxa"/>
            <w:noWrap/>
            <w:hideMark/>
          </w:tcPr>
          <w:p w:rsidR="00A801AD" w:rsidRPr="00D829E4" w:rsidRDefault="00971174" w:rsidP="008A1CAE">
            <w:pPr>
              <w:cnfStyle w:val="000000000000" w:firstRow="0" w:lastRow="0" w:firstColumn="0" w:lastColumn="0" w:oddVBand="0" w:evenVBand="0" w:oddHBand="0" w:evenHBand="0" w:firstRowFirstColumn="0" w:firstRowLastColumn="0" w:lastRowFirstColumn="0" w:lastRowLastColumn="0"/>
              <w:rPr>
                <w:i/>
              </w:rPr>
            </w:pPr>
            <w:r w:rsidRPr="00D829E4">
              <w:rPr>
                <w:i/>
              </w:rPr>
              <w:t xml:space="preserve">A. </w:t>
            </w:r>
            <w:r w:rsidR="00A801AD" w:rsidRPr="00D829E4">
              <w:rPr>
                <w:i/>
              </w:rPr>
              <w:t xml:space="preserve">gambiae </w:t>
            </w:r>
            <w:proofErr w:type="spellStart"/>
            <w:r w:rsidR="00DD5362" w:rsidRPr="00DD5362">
              <w:t>s.s.</w:t>
            </w:r>
            <w:proofErr w:type="spellEnd"/>
          </w:p>
        </w:tc>
        <w:tc>
          <w:tcPr>
            <w:tcW w:w="1984" w:type="dxa"/>
            <w:noWrap/>
            <w:hideMark/>
          </w:tcPr>
          <w:p w:rsidR="00A801AD" w:rsidRPr="00D829E4" w:rsidRDefault="00971174" w:rsidP="008A1CAE">
            <w:pPr>
              <w:cnfStyle w:val="000000000000" w:firstRow="0" w:lastRow="0" w:firstColumn="0" w:lastColumn="0" w:oddVBand="0" w:evenVBand="0" w:oddHBand="0" w:evenHBand="0" w:firstRowFirstColumn="0" w:firstRowLastColumn="0" w:lastRowFirstColumn="0" w:lastRowLastColumn="0"/>
              <w:rPr>
                <w:i/>
              </w:rPr>
            </w:pPr>
            <w:r w:rsidRPr="00D829E4">
              <w:rPr>
                <w:i/>
              </w:rPr>
              <w:t xml:space="preserve">A. </w:t>
            </w:r>
            <w:r w:rsidR="00A801AD" w:rsidRPr="00D829E4">
              <w:rPr>
                <w:i/>
              </w:rPr>
              <w:t>arabiensis</w:t>
            </w:r>
          </w:p>
        </w:tc>
        <w:tc>
          <w:tcPr>
            <w:tcW w:w="1701" w:type="dxa"/>
            <w:noWrap/>
            <w:hideMark/>
          </w:tcPr>
          <w:p w:rsidR="00A801AD" w:rsidRPr="00A801AD" w:rsidRDefault="00A801AD" w:rsidP="008A1CAE">
            <w:pPr>
              <w:jc w:val="center"/>
              <w:cnfStyle w:val="000000000000" w:firstRow="0" w:lastRow="0" w:firstColumn="0" w:lastColumn="0" w:oddVBand="0" w:evenVBand="0" w:oddHBand="0" w:evenHBand="0" w:firstRowFirstColumn="0" w:firstRowLastColumn="0" w:lastRowFirstColumn="0" w:lastRowLastColumn="0"/>
            </w:pPr>
            <w:r w:rsidRPr="00A801AD">
              <w:t>+</w:t>
            </w:r>
          </w:p>
        </w:tc>
        <w:tc>
          <w:tcPr>
            <w:tcW w:w="1560" w:type="dxa"/>
            <w:noWrap/>
            <w:hideMark/>
          </w:tcPr>
          <w:p w:rsidR="00A801AD" w:rsidRPr="00A801AD" w:rsidRDefault="00A801AD" w:rsidP="008A1CAE">
            <w:pPr>
              <w:jc w:val="center"/>
              <w:cnfStyle w:val="000000000000" w:firstRow="0" w:lastRow="0" w:firstColumn="0" w:lastColumn="0" w:oddVBand="0" w:evenVBand="0" w:oddHBand="0" w:evenHBand="0" w:firstRowFirstColumn="0" w:firstRowLastColumn="0" w:lastRowFirstColumn="0" w:lastRowLastColumn="0"/>
            </w:pPr>
            <w:r w:rsidRPr="00A801AD">
              <w:t>+</w:t>
            </w:r>
          </w:p>
        </w:tc>
        <w:tc>
          <w:tcPr>
            <w:tcW w:w="1111" w:type="dxa"/>
            <w:noWrap/>
            <w:hideMark/>
          </w:tcPr>
          <w:p w:rsidR="00A801AD" w:rsidRPr="00A801AD" w:rsidRDefault="00A801AD" w:rsidP="008A1CAE">
            <w:pPr>
              <w:jc w:val="center"/>
              <w:cnfStyle w:val="000000000000" w:firstRow="0" w:lastRow="0" w:firstColumn="0" w:lastColumn="0" w:oddVBand="0" w:evenVBand="0" w:oddHBand="0" w:evenHBand="0" w:firstRowFirstColumn="0" w:firstRowLastColumn="0" w:lastRowFirstColumn="0" w:lastRowLastColumn="0"/>
            </w:pPr>
            <w:r w:rsidRPr="00A801AD">
              <w:t>N.A</w:t>
            </w:r>
          </w:p>
        </w:tc>
        <w:tc>
          <w:tcPr>
            <w:tcW w:w="1446" w:type="dxa"/>
            <w:noWrap/>
            <w:hideMark/>
          </w:tcPr>
          <w:p w:rsidR="00A801AD" w:rsidRPr="00A801AD" w:rsidRDefault="0010196D" w:rsidP="0010196D">
            <w:pPr>
              <w:jc w:val="center"/>
              <w:cnfStyle w:val="000000000000" w:firstRow="0" w:lastRow="0" w:firstColumn="0" w:lastColumn="0" w:oddVBand="0" w:evenVBand="0" w:oddHBand="0" w:evenHBand="0" w:firstRowFirstColumn="0" w:firstRowLastColumn="0" w:lastRowFirstColumn="0" w:lastRowLastColumn="0"/>
            </w:pPr>
            <w:r>
              <w:t>6</w:t>
            </w:r>
            <w:r w:rsidR="00A801AD" w:rsidRPr="00A801AD">
              <w:t>-13%</w:t>
            </w:r>
          </w:p>
        </w:tc>
        <w:tc>
          <w:tcPr>
            <w:tcW w:w="1363" w:type="dxa"/>
            <w:noWrap/>
            <w:hideMark/>
          </w:tcPr>
          <w:p w:rsidR="00A801AD" w:rsidRPr="00A801AD" w:rsidRDefault="0010196D" w:rsidP="0010196D">
            <w:pPr>
              <w:jc w:val="center"/>
              <w:cnfStyle w:val="000000000000" w:firstRow="0" w:lastRow="0" w:firstColumn="0" w:lastColumn="0" w:oddVBand="0" w:evenVBand="0" w:oddHBand="0" w:evenHBand="0" w:firstRowFirstColumn="0" w:firstRowLastColumn="0" w:lastRowFirstColumn="0" w:lastRowLastColumn="0"/>
            </w:pPr>
            <w:r>
              <w:t>0.5</w:t>
            </w:r>
            <w:r w:rsidR="00A801AD" w:rsidRPr="00A801AD">
              <w:t>-8.4%</w:t>
            </w:r>
          </w:p>
        </w:tc>
        <w:tc>
          <w:tcPr>
            <w:tcW w:w="1229" w:type="dxa"/>
            <w:noWrap/>
            <w:hideMark/>
          </w:tcPr>
          <w:p w:rsidR="00A801AD" w:rsidRPr="00A801AD" w:rsidRDefault="007E2144" w:rsidP="0010196D">
            <w:pPr>
              <w:jc w:val="center"/>
              <w:cnfStyle w:val="000000000000" w:firstRow="0" w:lastRow="0" w:firstColumn="0" w:lastColumn="0" w:oddVBand="0" w:evenVBand="0" w:oddHBand="0" w:evenHBand="0" w:firstRowFirstColumn="0" w:firstRowLastColumn="0" w:lastRowFirstColumn="0" w:lastRowLastColumn="0"/>
              <w:rPr>
                <w:b/>
                <w:bCs/>
              </w:rPr>
            </w:pPr>
            <w:r>
              <w:rPr>
                <w:b/>
                <w:bCs/>
              </w:rPr>
              <w:fldChar w:fldCharType="begin" w:fldLock="1"/>
            </w:r>
            <w:r w:rsidR="00037624">
              <w:rPr>
                <w:b/>
                <w:bCs/>
              </w:rPr>
              <w:instrText>ADDIN CSL_CITATION {"citationItems":[{"id":"ITEM-1","itemData":{"DOI":"10.1186/1756-3305-7-380","ISSN":"17563305","abstract":"Background: It has been speculated that widespread and sustained use of insecticide treated bed nets (ITNs) for over 10 years in Asembo, western Kenya, may have selected for changes in the location (indoor versus outdoor) and time (from late night to earlier in the evening) of biting of the predominant species of human malaria vectors (Anopheles funestus, Anopheles gambiae sensu stricto, and Anopheles arabiensis).\nMethods: Mosquitoes were collected by human landing catches over a six week period in June and July, 2011, indoors and outdoors from 17 h to 07 h, in 75 villages in Asembo, western Kenya. Collections were separated by hour of the night, and mosquitoes were identified to species and tested for sporozoite infection with Plasmodium falciparum. A subset was dissected to determine parity. Human behavior (time going to bed and rising, time spent indoors and outdoors) was quantified by cross-sectional survey. Data from past studies of a similar design and in nearby settings, but conducted before the ITN scale up commenced in the early 2000s, were compared with those from the present study.\nResults: Of 1,960 Anopheles mosquitoes collected in 2011, 1,267 (64.6%) were morphologically identified as An. funestus, 663 (33.8%) as An. gambiae sensu lato (An. gambiae s.s. and An. arabiensis combined), and 30 (1.5%) as other anophelines. Of the 663 An. gambiae s.l. collected, 385 were successfully tested by PCR among which 235 (61.0%) were identified as An. gambiae s.s. while 150 (39.0%) were identified as An. arabiensis. Compared with data collected before the scale-up of ITNs, daily entomological inoculation rates (EIRs) were consistently lower for An. gambiae s.l. (indoor EIR = 0.432 in 1985-1988, 0.458 in 1989-1990, 0.023 in 2011), and An. arabiensis specifically (indoor EIR = 0.532 in 1989-1990, 0.039 in 2009, 0.006 in 2011) but not An. funestus (indoor EIR = 0.029 in 1985-1988, 0.147 in 1989-1990, 0.010 in 2009 and 0.103 in 2011). Sporozoite rates were lowest in 2009 but rose again in 2011. Compared with data collected before the scale-up of ITNs, An. arabiensis and An. funestus were more likely to bite outdoors and/or early in the evening (p &lt; 0.001 for all comparisons). However, when estimates of human exposure that would occur indoors (πi) or while asleep (πs) in the absence of an ITN were generated based on human behavioral patterns, the changes were modest with &gt;90% of exposure of non-ITN users to mosquito bites occurring while people were indoors i…","author":[{"dropping-particle":"","family":"Bayoh","given":"M. Nabie","non-dropping-particle":"","parse-names":false,"suffix":""},{"dropping-particle":"","family":"Walker","given":"Edward D.","non-dropping-particle":"","parse-names":false,"suffix":""},{"dropping-particle":"","family":"Kosgei","given":"Jackline","non-dropping-particle":"","parse-names":false,"suffix":""},{"dropping-particle":"","family":"Ombok","given":"Maurice","non-dropping-particle":"","parse-names":false,"suffix":""},{"dropping-particle":"","family":"Olang","given":"George B.","non-dropping-particle":"","parse-names":false,"suffix":""},{"dropping-particle":"","family":"Githeko","given":"Andrew K.","non-dropping-particle":"","parse-names":false,"suffix":""},{"dropping-particle":"","family":"Killeen","given":"Gerry F.","non-dropping-particle":"","parse-names":false,"suffix":""},{"dropping-particle":"","family":"Otieno","given":"Peter","non-dropping-particle":"","parse-names":false,"suffix":""},{"dropping-particle":"","family":"Desai","given":"Meghna","non-dropping-particle":"","parse-names":false,"suffix":""},{"dropping-particle":"","family":"Lobo","given":"Neil F.","non-dropping-particle":"","parse-names":false,"suffix":""},{"dropping-particle":"","family":"Vulule","given":"John M.","non-dropping-particle":"","parse-names":false,"suffix":""},{"dropping-particle":"","family":"Hamel","given":"Mary J.","non-dropping-particle":"","parse-names":false,"suffix":""},{"dropping-particle":"","family":"Kariuki","given":"Simon","non-dropping-particle":"","parse-names":false,"suffix":""},{"dropping-particle":"","family":"Gimnig","given":"John E.","non-dropping-particle":"","parse-names":false,"suffix":""}],"container-title":"Parasites and Vectors","id":"ITEM-1","issue":"1","issued":{"date-parts":[["2014"]]},"page":"1-13","title":"Persistently high estimates of late night, indoor exposure to malaria vectors despite high coverage of insecticide treated nets","type":"article-journal","volume":"7"},"uris":["http://www.mendeley.com/documents/?uuid=9cf8b8ff-6230-4f30-a18f-4c846b9f5883"]}],"mendeley":{"formattedCitation":"[7]","plainTextFormattedCitation":"[7]","previouslyFormattedCitation":"[10]"},"properties":{"noteIndex":0},"schema":"https://github.com/citation-style-language/schema/raw/master/csl-citation.json"}</w:instrText>
            </w:r>
            <w:r>
              <w:rPr>
                <w:b/>
                <w:bCs/>
              </w:rPr>
              <w:fldChar w:fldCharType="separate"/>
            </w:r>
            <w:r w:rsidR="00037624" w:rsidRPr="00037624">
              <w:rPr>
                <w:bCs/>
                <w:noProof/>
              </w:rPr>
              <w:t>[7]</w:t>
            </w:r>
            <w:r>
              <w:rPr>
                <w:b/>
                <w:bCs/>
              </w:rPr>
              <w:fldChar w:fldCharType="end"/>
            </w:r>
          </w:p>
        </w:tc>
      </w:tr>
      <w:tr w:rsidR="007E2144" w:rsidRPr="00A801AD" w:rsidTr="008651A4">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405" w:type="dxa"/>
            <w:noWrap/>
            <w:hideMark/>
          </w:tcPr>
          <w:p w:rsidR="00A801AD" w:rsidRPr="00DD5362" w:rsidRDefault="00A801AD" w:rsidP="008A1CAE">
            <w:r w:rsidRPr="00DD5362">
              <w:t>Kenya</w:t>
            </w:r>
          </w:p>
        </w:tc>
        <w:tc>
          <w:tcPr>
            <w:tcW w:w="2134" w:type="dxa"/>
            <w:noWrap/>
            <w:hideMark/>
          </w:tcPr>
          <w:p w:rsidR="00A801AD" w:rsidRPr="00A801AD" w:rsidRDefault="00491DCF" w:rsidP="008A1CAE">
            <w:pPr>
              <w:cnfStyle w:val="000000100000" w:firstRow="0" w:lastRow="0" w:firstColumn="0" w:lastColumn="0" w:oddVBand="0" w:evenVBand="0" w:oddHBand="1" w:evenHBand="0" w:firstRowFirstColumn="0" w:firstRowLastColumn="0" w:lastRowFirstColumn="0" w:lastRowLastColumn="0"/>
            </w:pPr>
            <w:proofErr w:type="spellStart"/>
            <w:r>
              <w:t>Asembo</w:t>
            </w:r>
            <w:proofErr w:type="spellEnd"/>
            <w:r>
              <w:t>-</w:t>
            </w:r>
            <w:r w:rsidR="007E2144">
              <w:t>S</w:t>
            </w:r>
            <w:r w:rsidR="00A801AD" w:rsidRPr="00A801AD">
              <w:t xml:space="preserve">eme </w:t>
            </w:r>
          </w:p>
        </w:tc>
        <w:tc>
          <w:tcPr>
            <w:tcW w:w="1843" w:type="dxa"/>
            <w:noWrap/>
            <w:hideMark/>
          </w:tcPr>
          <w:p w:rsidR="00A801AD" w:rsidRPr="00D829E4" w:rsidRDefault="00971174" w:rsidP="008A1CAE">
            <w:pPr>
              <w:cnfStyle w:val="000000100000" w:firstRow="0" w:lastRow="0" w:firstColumn="0" w:lastColumn="0" w:oddVBand="0" w:evenVBand="0" w:oddHBand="1" w:evenHBand="0" w:firstRowFirstColumn="0" w:firstRowLastColumn="0" w:lastRowFirstColumn="0" w:lastRowLastColumn="0"/>
              <w:rPr>
                <w:i/>
              </w:rPr>
            </w:pPr>
            <w:r w:rsidRPr="00D829E4">
              <w:rPr>
                <w:i/>
              </w:rPr>
              <w:t xml:space="preserve">A. </w:t>
            </w:r>
            <w:r w:rsidR="00A801AD" w:rsidRPr="00D829E4">
              <w:rPr>
                <w:i/>
              </w:rPr>
              <w:t xml:space="preserve">gambiae </w:t>
            </w:r>
            <w:proofErr w:type="spellStart"/>
            <w:r w:rsidR="00DD5362" w:rsidRPr="00DD5362">
              <w:t>s.s.</w:t>
            </w:r>
            <w:proofErr w:type="spellEnd"/>
          </w:p>
        </w:tc>
        <w:tc>
          <w:tcPr>
            <w:tcW w:w="1984" w:type="dxa"/>
            <w:noWrap/>
            <w:hideMark/>
          </w:tcPr>
          <w:p w:rsidR="00A801AD" w:rsidRPr="00D829E4" w:rsidRDefault="00971174" w:rsidP="008A1CAE">
            <w:pPr>
              <w:cnfStyle w:val="000000100000" w:firstRow="0" w:lastRow="0" w:firstColumn="0" w:lastColumn="0" w:oddVBand="0" w:evenVBand="0" w:oddHBand="1" w:evenHBand="0" w:firstRowFirstColumn="0" w:firstRowLastColumn="0" w:lastRowFirstColumn="0" w:lastRowLastColumn="0"/>
              <w:rPr>
                <w:i/>
              </w:rPr>
            </w:pPr>
            <w:r w:rsidRPr="00D829E4">
              <w:rPr>
                <w:i/>
              </w:rPr>
              <w:t xml:space="preserve">A. </w:t>
            </w:r>
            <w:r w:rsidR="00A801AD" w:rsidRPr="00D829E4">
              <w:rPr>
                <w:i/>
              </w:rPr>
              <w:t>arabiensis</w:t>
            </w:r>
          </w:p>
        </w:tc>
        <w:tc>
          <w:tcPr>
            <w:tcW w:w="1701" w:type="dxa"/>
            <w:noWrap/>
            <w:hideMark/>
          </w:tcPr>
          <w:p w:rsidR="00A801AD" w:rsidRPr="00A801AD" w:rsidRDefault="00A801AD" w:rsidP="008A1CAE">
            <w:pPr>
              <w:jc w:val="center"/>
              <w:cnfStyle w:val="000000100000" w:firstRow="0" w:lastRow="0" w:firstColumn="0" w:lastColumn="0" w:oddVBand="0" w:evenVBand="0" w:oddHBand="1" w:evenHBand="0" w:firstRowFirstColumn="0" w:firstRowLastColumn="0" w:lastRowFirstColumn="0" w:lastRowLastColumn="0"/>
            </w:pPr>
            <w:r w:rsidRPr="00A801AD">
              <w:t>N.A.</w:t>
            </w:r>
          </w:p>
        </w:tc>
        <w:tc>
          <w:tcPr>
            <w:tcW w:w="1560" w:type="dxa"/>
            <w:noWrap/>
            <w:hideMark/>
          </w:tcPr>
          <w:p w:rsidR="00A801AD" w:rsidRPr="00A801AD" w:rsidRDefault="00A801AD" w:rsidP="008A1CAE">
            <w:pPr>
              <w:jc w:val="center"/>
              <w:cnfStyle w:val="000000100000" w:firstRow="0" w:lastRow="0" w:firstColumn="0" w:lastColumn="0" w:oddVBand="0" w:evenVBand="0" w:oddHBand="1" w:evenHBand="0" w:firstRowFirstColumn="0" w:firstRowLastColumn="0" w:lastRowFirstColumn="0" w:lastRowLastColumn="0"/>
            </w:pPr>
            <w:r w:rsidRPr="00A801AD">
              <w:t>N.A.</w:t>
            </w:r>
          </w:p>
        </w:tc>
        <w:tc>
          <w:tcPr>
            <w:tcW w:w="1111" w:type="dxa"/>
            <w:noWrap/>
            <w:hideMark/>
          </w:tcPr>
          <w:p w:rsidR="00A801AD" w:rsidRPr="00A801AD" w:rsidRDefault="00A801AD" w:rsidP="008A1CAE">
            <w:pPr>
              <w:jc w:val="center"/>
              <w:cnfStyle w:val="000000100000" w:firstRow="0" w:lastRow="0" w:firstColumn="0" w:lastColumn="0" w:oddVBand="0" w:evenVBand="0" w:oddHBand="1" w:evenHBand="0" w:firstRowFirstColumn="0" w:firstRowLastColumn="0" w:lastRowFirstColumn="0" w:lastRowLastColumn="0"/>
            </w:pPr>
            <w:r w:rsidRPr="00A801AD">
              <w:t>N.A</w:t>
            </w:r>
          </w:p>
        </w:tc>
        <w:tc>
          <w:tcPr>
            <w:tcW w:w="1446" w:type="dxa"/>
            <w:noWrap/>
            <w:hideMark/>
          </w:tcPr>
          <w:p w:rsidR="00A801AD" w:rsidRPr="00A801AD" w:rsidRDefault="00A801AD" w:rsidP="0010196D">
            <w:pPr>
              <w:jc w:val="center"/>
              <w:cnfStyle w:val="000000100000" w:firstRow="0" w:lastRow="0" w:firstColumn="0" w:lastColumn="0" w:oddVBand="0" w:evenVBand="0" w:oddHBand="1" w:evenHBand="0" w:firstRowFirstColumn="0" w:firstRowLastColumn="0" w:lastRowFirstColumn="0" w:lastRowLastColumn="0"/>
            </w:pPr>
            <w:r w:rsidRPr="00A801AD">
              <w:t>6.9%</w:t>
            </w:r>
          </w:p>
        </w:tc>
        <w:tc>
          <w:tcPr>
            <w:tcW w:w="1363" w:type="dxa"/>
            <w:noWrap/>
            <w:hideMark/>
          </w:tcPr>
          <w:p w:rsidR="00A801AD" w:rsidRPr="00A801AD" w:rsidRDefault="00A801AD" w:rsidP="0010196D">
            <w:pPr>
              <w:jc w:val="center"/>
              <w:cnfStyle w:val="000000100000" w:firstRow="0" w:lastRow="0" w:firstColumn="0" w:lastColumn="0" w:oddVBand="0" w:evenVBand="0" w:oddHBand="1" w:evenHBand="0" w:firstRowFirstColumn="0" w:firstRowLastColumn="0" w:lastRowFirstColumn="0" w:lastRowLastColumn="0"/>
            </w:pPr>
            <w:r w:rsidRPr="00A801AD">
              <w:t>1.6%</w:t>
            </w:r>
          </w:p>
        </w:tc>
        <w:tc>
          <w:tcPr>
            <w:tcW w:w="1229" w:type="dxa"/>
            <w:noWrap/>
            <w:hideMark/>
          </w:tcPr>
          <w:p w:rsidR="00A801AD" w:rsidRPr="00A801AD" w:rsidRDefault="007E2144" w:rsidP="0010196D">
            <w:pPr>
              <w:jc w:val="center"/>
              <w:cnfStyle w:val="000000100000" w:firstRow="0" w:lastRow="0" w:firstColumn="0" w:lastColumn="0" w:oddVBand="0" w:evenVBand="0" w:oddHBand="1" w:evenHBand="0" w:firstRowFirstColumn="0" w:firstRowLastColumn="0" w:lastRowFirstColumn="0" w:lastRowLastColumn="0"/>
              <w:rPr>
                <w:b/>
                <w:bCs/>
              </w:rPr>
            </w:pPr>
            <w:r>
              <w:rPr>
                <w:b/>
                <w:bCs/>
              </w:rPr>
              <w:fldChar w:fldCharType="begin" w:fldLock="1"/>
            </w:r>
            <w:r w:rsidR="00037624">
              <w:rPr>
                <w:b/>
                <w:bCs/>
              </w:rPr>
              <w:instrText>ADDIN CSL_CITATION {"citationItems":[{"id":"ITEM-1","itemData":{"DOI":"10.1093/jmedent/43.2.428","ISSN":"0022-2585","abstract":"Insecticide-treated bednets (ITNs) significantly reduce malaria vector populations. Susceptibility to ITNs differs by vector species, and culicine mosquitoes have not been shown to be significantly affected by the use of ITNs. We examined the impact of 2-4 yr of ITN use on malaria vector species distribution and culicine mosquitoes. Routine entomological surveillance was conducted in adjacent areas with and without ITNs from November 1999 to January 2002. Use of ITNs reduced the proportion of Anopheles gambiae Giles relative to Anopheles arabiensis Giles. The number of culicines per house was significantly lower in the ITN area than in the neighboring area. Changes in the An. gambiae sibling species distribution may help to explain apparent mosquito behavioral changes attributed to ITNs. Reductions in culicines by ITNs may have implications for community perceptions of ITN effectiveness and for control of other diseases such as lymphatic filariasis.","author":[{"dropping-particle":"","family":"Lindblade","given":"K. A.","non-dropping-particle":"","parse-names":false,"suffix":""},{"dropping-particle":"","family":"Gimnig","given":"J. E.","non-dropping-particle":"","parse-names":false,"suffix":""},{"dropping-particle":"","family":"Kamau","given":"L.","non-dropping-particle":"","parse-names":false,"suffix":""},{"dropping-particle":"","family":"Hawley","given":"W. A.","non-dropping-particle":"","parse-names":false,"suffix":""},{"dropping-particle":"","family":"Odhiambo","given":"F.","non-dropping-particle":"","parse-names":false,"suffix":""},{"dropping-particle":"","family":"Olang","given":"G.","non-dropping-particle":"","parse-names":false,"suffix":""},{"dropping-particle":"ter","family":"Kuile","given":"F. O.","non-dropping-particle":"","parse-names":false,"suffix":""},{"dropping-particle":"","family":"Vulule","given":"J. M.","non-dropping-particle":"","parse-names":false,"suffix":""},{"dropping-particle":"","family":"Slutsker","given":"L.","non-dropping-particle":"","parse-names":false,"suffix":""}],"container-title":"Journal of Medical Entomology","id":"ITEM-1","issue":"2","issued":{"date-parts":[["2006"]]},"page":"428-432","title":"Impact of Sustained Use of Insecticide-Treated Bednets on Malaria Vector Species Distribution and Culicine Mosquitoes","type":"article-journal","volume":"43"},"uris":["http://www.mendeley.com/documents/?uuid=0c50bdb6-ed49-49f9-bda7-195ec7cccaaa"]}],"mendeley":{"formattedCitation":"[8]","plainTextFormattedCitation":"[8]","previouslyFormattedCitation":"[11]"},"properties":{"noteIndex":0},"schema":"https://github.com/citation-style-language/schema/raw/master/csl-citation.json"}</w:instrText>
            </w:r>
            <w:r>
              <w:rPr>
                <w:b/>
                <w:bCs/>
              </w:rPr>
              <w:fldChar w:fldCharType="separate"/>
            </w:r>
            <w:r w:rsidR="00037624" w:rsidRPr="00037624">
              <w:rPr>
                <w:bCs/>
                <w:noProof/>
              </w:rPr>
              <w:t>[8]</w:t>
            </w:r>
            <w:r>
              <w:rPr>
                <w:b/>
                <w:bCs/>
              </w:rPr>
              <w:fldChar w:fldCharType="end"/>
            </w:r>
          </w:p>
        </w:tc>
      </w:tr>
      <w:tr w:rsidR="00491DCF" w:rsidRPr="00A801AD" w:rsidTr="008651A4">
        <w:trPr>
          <w:trHeight w:val="288"/>
        </w:trPr>
        <w:tc>
          <w:tcPr>
            <w:cnfStyle w:val="001000000000" w:firstRow="0" w:lastRow="0" w:firstColumn="1" w:lastColumn="0" w:oddVBand="0" w:evenVBand="0" w:oddHBand="0" w:evenHBand="0" w:firstRowFirstColumn="0" w:firstRowLastColumn="0" w:lastRowFirstColumn="0" w:lastRowLastColumn="0"/>
            <w:tcW w:w="1405" w:type="dxa"/>
            <w:noWrap/>
            <w:hideMark/>
          </w:tcPr>
          <w:p w:rsidR="00A801AD" w:rsidRPr="00DD5362" w:rsidRDefault="00A801AD" w:rsidP="008A1CAE">
            <w:r w:rsidRPr="00DD5362">
              <w:t>Kenya</w:t>
            </w:r>
          </w:p>
        </w:tc>
        <w:tc>
          <w:tcPr>
            <w:tcW w:w="2134" w:type="dxa"/>
            <w:noWrap/>
            <w:hideMark/>
          </w:tcPr>
          <w:p w:rsidR="00A801AD" w:rsidRPr="00A801AD" w:rsidRDefault="00A801AD" w:rsidP="008A1CAE">
            <w:pPr>
              <w:cnfStyle w:val="000000000000" w:firstRow="0" w:lastRow="0" w:firstColumn="0" w:lastColumn="0" w:oddVBand="0" w:evenVBand="0" w:oddHBand="0" w:evenHBand="0" w:firstRowFirstColumn="0" w:firstRowLastColumn="0" w:lastRowFirstColumn="0" w:lastRowLastColumn="0"/>
            </w:pPr>
            <w:r w:rsidRPr="00A801AD">
              <w:t>Seme</w:t>
            </w:r>
          </w:p>
        </w:tc>
        <w:tc>
          <w:tcPr>
            <w:tcW w:w="1843" w:type="dxa"/>
            <w:noWrap/>
            <w:hideMark/>
          </w:tcPr>
          <w:p w:rsidR="00A801AD" w:rsidRPr="00D829E4" w:rsidRDefault="00971174" w:rsidP="008A1CAE">
            <w:pPr>
              <w:cnfStyle w:val="000000000000" w:firstRow="0" w:lastRow="0" w:firstColumn="0" w:lastColumn="0" w:oddVBand="0" w:evenVBand="0" w:oddHBand="0" w:evenHBand="0" w:firstRowFirstColumn="0" w:firstRowLastColumn="0" w:lastRowFirstColumn="0" w:lastRowLastColumn="0"/>
              <w:rPr>
                <w:i/>
              </w:rPr>
            </w:pPr>
            <w:r w:rsidRPr="00D829E4">
              <w:rPr>
                <w:i/>
              </w:rPr>
              <w:t xml:space="preserve">A. </w:t>
            </w:r>
            <w:r w:rsidR="00A801AD" w:rsidRPr="00D829E4">
              <w:rPr>
                <w:i/>
              </w:rPr>
              <w:t xml:space="preserve">gambiae </w:t>
            </w:r>
            <w:proofErr w:type="spellStart"/>
            <w:r w:rsidR="00DD5362" w:rsidRPr="00DD5362">
              <w:t>s.s.</w:t>
            </w:r>
            <w:proofErr w:type="spellEnd"/>
          </w:p>
        </w:tc>
        <w:tc>
          <w:tcPr>
            <w:tcW w:w="1984" w:type="dxa"/>
            <w:noWrap/>
            <w:hideMark/>
          </w:tcPr>
          <w:p w:rsidR="00A801AD" w:rsidRPr="00D829E4" w:rsidRDefault="00971174" w:rsidP="008A1CAE">
            <w:pPr>
              <w:cnfStyle w:val="000000000000" w:firstRow="0" w:lastRow="0" w:firstColumn="0" w:lastColumn="0" w:oddVBand="0" w:evenVBand="0" w:oddHBand="0" w:evenHBand="0" w:firstRowFirstColumn="0" w:firstRowLastColumn="0" w:lastRowFirstColumn="0" w:lastRowLastColumn="0"/>
              <w:rPr>
                <w:i/>
              </w:rPr>
            </w:pPr>
            <w:r w:rsidRPr="00D829E4">
              <w:rPr>
                <w:i/>
              </w:rPr>
              <w:t xml:space="preserve">A. </w:t>
            </w:r>
            <w:r w:rsidR="00A801AD" w:rsidRPr="00D829E4">
              <w:rPr>
                <w:i/>
              </w:rPr>
              <w:t>arabiensis</w:t>
            </w:r>
          </w:p>
        </w:tc>
        <w:tc>
          <w:tcPr>
            <w:tcW w:w="1701" w:type="dxa"/>
            <w:noWrap/>
            <w:hideMark/>
          </w:tcPr>
          <w:p w:rsidR="00A801AD" w:rsidRPr="00A801AD" w:rsidRDefault="00A801AD" w:rsidP="008A1CAE">
            <w:pPr>
              <w:jc w:val="center"/>
              <w:cnfStyle w:val="000000000000" w:firstRow="0" w:lastRow="0" w:firstColumn="0" w:lastColumn="0" w:oddVBand="0" w:evenVBand="0" w:oddHBand="0" w:evenHBand="0" w:firstRowFirstColumn="0" w:firstRowLastColumn="0" w:lastRowFirstColumn="0" w:lastRowLastColumn="0"/>
            </w:pPr>
            <w:r w:rsidRPr="00A801AD">
              <w:t>N.A.</w:t>
            </w:r>
          </w:p>
        </w:tc>
        <w:tc>
          <w:tcPr>
            <w:tcW w:w="1560" w:type="dxa"/>
            <w:noWrap/>
            <w:hideMark/>
          </w:tcPr>
          <w:p w:rsidR="00A801AD" w:rsidRPr="00A801AD" w:rsidRDefault="00A801AD" w:rsidP="008A1CAE">
            <w:pPr>
              <w:jc w:val="center"/>
              <w:cnfStyle w:val="000000000000" w:firstRow="0" w:lastRow="0" w:firstColumn="0" w:lastColumn="0" w:oddVBand="0" w:evenVBand="0" w:oddHBand="0" w:evenHBand="0" w:firstRowFirstColumn="0" w:firstRowLastColumn="0" w:lastRowFirstColumn="0" w:lastRowLastColumn="0"/>
            </w:pPr>
            <w:r w:rsidRPr="00A801AD">
              <w:t>N.A.</w:t>
            </w:r>
          </w:p>
        </w:tc>
        <w:tc>
          <w:tcPr>
            <w:tcW w:w="1111" w:type="dxa"/>
            <w:noWrap/>
            <w:hideMark/>
          </w:tcPr>
          <w:p w:rsidR="00A801AD" w:rsidRPr="00A801AD" w:rsidRDefault="00A801AD" w:rsidP="008A1CAE">
            <w:pPr>
              <w:jc w:val="center"/>
              <w:cnfStyle w:val="000000000000" w:firstRow="0" w:lastRow="0" w:firstColumn="0" w:lastColumn="0" w:oddVBand="0" w:evenVBand="0" w:oddHBand="0" w:evenHBand="0" w:firstRowFirstColumn="0" w:firstRowLastColumn="0" w:lastRowFirstColumn="0" w:lastRowLastColumn="0"/>
            </w:pPr>
            <w:r w:rsidRPr="00A801AD">
              <w:t>+</w:t>
            </w:r>
          </w:p>
        </w:tc>
        <w:tc>
          <w:tcPr>
            <w:tcW w:w="1446" w:type="dxa"/>
            <w:noWrap/>
            <w:hideMark/>
          </w:tcPr>
          <w:p w:rsidR="00A801AD" w:rsidRPr="00A801AD" w:rsidRDefault="00A801AD" w:rsidP="0010196D">
            <w:pPr>
              <w:jc w:val="center"/>
              <w:cnfStyle w:val="000000000000" w:firstRow="0" w:lastRow="0" w:firstColumn="0" w:lastColumn="0" w:oddVBand="0" w:evenVBand="0" w:oddHBand="0" w:evenHBand="0" w:firstRowFirstColumn="0" w:firstRowLastColumn="0" w:lastRowFirstColumn="0" w:lastRowLastColumn="0"/>
            </w:pPr>
            <w:r w:rsidRPr="00A801AD">
              <w:t>6.9%</w:t>
            </w:r>
          </w:p>
        </w:tc>
        <w:tc>
          <w:tcPr>
            <w:tcW w:w="1363" w:type="dxa"/>
            <w:noWrap/>
            <w:hideMark/>
          </w:tcPr>
          <w:p w:rsidR="00A801AD" w:rsidRPr="00A801AD" w:rsidRDefault="0010196D" w:rsidP="0010196D">
            <w:pPr>
              <w:jc w:val="center"/>
              <w:cnfStyle w:val="000000000000" w:firstRow="0" w:lastRow="0" w:firstColumn="0" w:lastColumn="0" w:oddVBand="0" w:evenVBand="0" w:oddHBand="0" w:evenHBand="0" w:firstRowFirstColumn="0" w:firstRowLastColumn="0" w:lastRowFirstColumn="0" w:lastRowLastColumn="0"/>
            </w:pPr>
            <w:r>
              <w:t>2%</w:t>
            </w:r>
          </w:p>
        </w:tc>
        <w:tc>
          <w:tcPr>
            <w:tcW w:w="1229" w:type="dxa"/>
            <w:noWrap/>
            <w:hideMark/>
          </w:tcPr>
          <w:p w:rsidR="00A801AD" w:rsidRPr="00A801AD" w:rsidRDefault="007E2144" w:rsidP="0010196D">
            <w:pPr>
              <w:jc w:val="center"/>
              <w:cnfStyle w:val="000000000000" w:firstRow="0" w:lastRow="0" w:firstColumn="0" w:lastColumn="0" w:oddVBand="0" w:evenVBand="0" w:oddHBand="0" w:evenHBand="0" w:firstRowFirstColumn="0" w:firstRowLastColumn="0" w:lastRowFirstColumn="0" w:lastRowLastColumn="0"/>
              <w:rPr>
                <w:b/>
                <w:bCs/>
              </w:rPr>
            </w:pPr>
            <w:r>
              <w:rPr>
                <w:b/>
                <w:bCs/>
              </w:rPr>
              <w:fldChar w:fldCharType="begin" w:fldLock="1"/>
            </w:r>
            <w:r w:rsidR="00037624">
              <w:rPr>
                <w:b/>
                <w:bCs/>
              </w:rPr>
              <w:instrText>ADDIN CSL_CITATION {"citationItems":[{"id":"ITEM-1","itemData":{"DOI":"10.1186/1475-2875-9-62","ISSN":"14752875","abstract":"Background: High coverage of insecticide-treated bed nets in Asembo and low coverage in Seme, two adjacent communities in western Nyanza Province, Kenya; followed by expanded coverage of bed nets in Seme, as the Kenya national malaria programme rolled out; provided a natural experiment for quantification of changes in relative abundance of two primary malaria vectors in this holoendemic region. Both belong to the Anopheles gambiae sensu lato (s.l.) species complex, namely A. gambiae sensu stricto (s.s.) and Anopheles arabiensis. Historically, the former species was proportionately dominant in indoor resting collections of females. Methods. Data of the relative abundance of adult A. gambiae s.s. and A. arabiensis sampled from inside houses were obtained from the literature from 1970 to 2002 for sites west of Kisumu, Kenya, to the region of Asembo ca. 50 km from the city. A sampling transect was established from Asembo (where bed net use was high due to presence of a managed bed net distribution programme) eastward to Seme, where no bed net programme was in place. Adults of A. gambiae s.l. were sampled from inside houses along the transect from 2003 to 2009, as were larvae from nearby aquatic habitats, providing data over a nearly 40 year period of the relative abundance of the two species. Relative proportions of A. gambiae s.s. and A. arabiensis were determined for each stage by identifying species by the polymerase chain reaction method. Household bed net ownership was measured with surveys during mosquito collections. Data of blood host choice, parity rate, and infection rate for Plasmodium falciparum in A. gambiae s.s. and A. arabiensis were obtained for a sample from Asembo and Seme from 2005. Results. Anopheles gambiae s.s. adult females from indoor collections predominated from 1970 to 1998 (ca. 85%). Beginning in 1999, A. gambiae s.s decreased proportionately relative to A. arabiensis, then precipitously declined to rarity coincident with increased bed net ownership as national bed net distribution programmes commenced in 2004 and 2006. By 2009, A. gambiae s.s. comprised proportionately ca. 1% of indoor collections and A. arabiensis 99%. In Seme compared to Asembo in 2003, proportionately more larvae were A. gambiae s.s., larval density was higher, and more larval habitats were occupied. As bed net use rose in Seme, the proportion of A. gambiae larvae declined as well. These trends continued to 2009. Parity and malaria infection rates were lower …","author":[{"dropping-particle":"","family":"Bayoh","given":"M. Nabie","non-dropping-particle":"","parse-names":false,"suffix":""},{"dropping-particle":"","family":"Mathias","given":"Derrick K.","non-dropping-particle":"","parse-names":false,"suffix":""},{"dropping-particle":"","family":"Odiere","given":"Maurice R.","non-dropping-particle":"","parse-names":false,"suffix":""},{"dropping-particle":"","family":"Mutuku","given":"Francis M.","non-dropping-particle":"","parse-names":false,"suffix":""},{"dropping-particle":"","family":"Kamau","given":"Luna","non-dropping-particle":"","parse-names":false,"suffix":""},{"dropping-particle":"","family":"Gimnig","given":"John E.","non-dropping-particle":"","parse-names":false,"suffix":""},{"dropping-particle":"","family":"Vulule","given":"John M.","non-dropping-particle":"","parse-names":false,"suffix":""},{"dropping-particle":"","family":"Hawley","given":"William A.","non-dropping-particle":"","parse-names":false,"suffix":""},{"dropping-particle":"","family":"Hamel","given":"Mary J.","non-dropping-particle":"","parse-names":false,"suffix":""},{"dropping-particle":"","family":"Walker","given":"Edward D.","non-dropping-particle":"","parse-names":false,"suffix":""}],"container-title":"Malaria Journal","id":"ITEM-1","issue":"1","issued":{"date-parts":[["2010"]]},"page":"1-12","title":"Anopheles gambiae: Historical population decline associated with regional distribution of insecticide-treated bed nets in western Nyanza Province, Kenya","type":"article-journal","volume":"9"},"uris":["http://www.mendeley.com/documents/?uuid=623df1f5-e3c3-462c-8198-962c820e33ea"]},{"id":"ITEM-2","itemData":{"DOI":"10.1093/jmedent/43.2.428","ISSN":"0022-2585","abstract":"Insecticide-treated bednets (ITNs) significantly reduce malaria vector populations. Susceptibility to ITNs differs by vector species, and culicine mosquitoes have not been shown to be significantly affected by the use of ITNs. We examined the impact of 2-4 yr of ITN use on malaria vector species distribution and culicine mosquitoes. Routine entomological surveillance was conducted in adjacent areas with and without ITNs from November 1999 to January 2002. Use of ITNs reduced the proportion of Anopheles gambiae Giles relative to Anopheles arabiensis Giles. The number of culicines per house was significantly lower in the ITN area than in the neighboring area. Changes in the An. gambiae sibling species distribution may help to explain apparent mosquito behavioral changes attributed to ITNs. Reductions in culicines by ITNs may have implications for community perceptions of ITN effectiveness and for control of other diseases such as lymphatic filariasis.","author":[{"dropping-particle":"","family":"Lindblade","given":"K. A.","non-dropping-particle":"","parse-names":false,"suffix":""},{"dropping-particle":"","family":"Gimnig","given":"J. E.","non-dropping-particle":"","parse-names":false,"suffix":""},{"dropping-particle":"","family":"Kamau","given":"L.","non-dropping-particle":"","parse-names":false,"suffix":""},{"dropping-particle":"","family":"Hawley","given":"W. A.","non-dropping-particle":"","parse-names":false,"suffix":""},{"dropping-particle":"","family":"Odhiambo","given":"F.","non-dropping-particle":"","parse-names":false,"suffix":""},{"dropping-particle":"","family":"Olang","given":"G.","non-dropping-particle":"","parse-names":false,"suffix":""},{"dropping-particle":"ter","family":"Kuile","given":"F. O.","non-dropping-particle":"","parse-names":false,"suffix":""},{"dropping-particle":"","family":"Vulule","given":"J. M.","non-dropping-particle":"","parse-names":false,"suffix":""},{"dropping-particle":"","family":"Slutsker","given":"L.","non-dropping-particle":"","parse-names":false,"suffix":""}],"container-title":"Journal of Medical Entomology","id":"ITEM-2","issue":"2","issued":{"date-parts":[["2006"]]},"page":"428-432","title":"Impact of Sustained Use of Insecticide-Treated Bednets on Malaria Vector Species Distribution and Culicine Mosquitoes","type":"article-journal","volume":"43"},"uris":["http://www.mendeley.com/documents/?uuid=0c50bdb6-ed49-49f9-bda7-195ec7cccaaa"]},{"id":"ITEM-3","itemData":{"DOI":"10.1080/00034983.1975.11686988","ISSN":"13648594","author":[{"dropping-particle":"","family":"Joshi","given":"G. P.","non-dropping-particle":"","parse-names":false,"suffix":""},{"dropping-particle":"","family":"Service","given":"M. W.","non-dropping-particle":"","parse-names":false,"suffix":""},{"dropping-particle":"","family":"Pradhan","given":"G. D.","non-dropping-particle":"","parse-names":false,"suffix":""}],"container-title":"Annals of Tropical Medicine and Parasitology","id":"ITEM-3","issue":"1","issued":{"date-parts":[["1975"]]},"page":"91-104","title":"A survey of species A and B of the anopheles gambiae giles complex in the kisumu area of kenya prior to insecticidal spraying with OMS-43 (fenitrothion)","type":"article-journal","volume":"69"},"uris":["http://www.mendeley.com/documents/?uuid=6d7c16b9-2dde-4736-b7f1-b774128579af"]}],"mendeley":{"formattedCitation":"[8–10]","plainTextFormattedCitation":"[8–10]","previouslyFormattedCitation":"[11–13]"},"properties":{"noteIndex":0},"schema":"https://github.com/citation-style-language/schema/raw/master/csl-citation.json"}</w:instrText>
            </w:r>
            <w:r>
              <w:rPr>
                <w:b/>
                <w:bCs/>
              </w:rPr>
              <w:fldChar w:fldCharType="separate"/>
            </w:r>
            <w:r w:rsidR="00037624" w:rsidRPr="00037624">
              <w:rPr>
                <w:bCs/>
                <w:noProof/>
              </w:rPr>
              <w:t>[8–10]</w:t>
            </w:r>
            <w:r>
              <w:rPr>
                <w:b/>
                <w:bCs/>
              </w:rPr>
              <w:fldChar w:fldCharType="end"/>
            </w:r>
          </w:p>
        </w:tc>
      </w:tr>
      <w:tr w:rsidR="007E2144" w:rsidRPr="00A801AD" w:rsidTr="008651A4">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405" w:type="dxa"/>
            <w:noWrap/>
            <w:hideMark/>
          </w:tcPr>
          <w:p w:rsidR="00A801AD" w:rsidRPr="00DD5362" w:rsidRDefault="00A801AD" w:rsidP="008A1CAE">
            <w:r w:rsidRPr="00DD5362">
              <w:t>Kenya</w:t>
            </w:r>
          </w:p>
        </w:tc>
        <w:tc>
          <w:tcPr>
            <w:tcW w:w="2134" w:type="dxa"/>
            <w:noWrap/>
            <w:hideMark/>
          </w:tcPr>
          <w:p w:rsidR="00A801AD" w:rsidRPr="00A801AD" w:rsidRDefault="00DD5362" w:rsidP="008A1CAE">
            <w:pPr>
              <w:cnfStyle w:val="000000100000" w:firstRow="0" w:lastRow="0" w:firstColumn="0" w:lastColumn="0" w:oddVBand="0" w:evenVBand="0" w:oddHBand="1" w:evenHBand="0" w:firstRowFirstColumn="0" w:firstRowLastColumn="0" w:lastRowFirstColumn="0" w:lastRowLastColumn="0"/>
            </w:pPr>
            <w:proofErr w:type="spellStart"/>
            <w:r>
              <w:t>K</w:t>
            </w:r>
            <w:r w:rsidR="00A801AD" w:rsidRPr="00A801AD">
              <w:t>ewale</w:t>
            </w:r>
            <w:proofErr w:type="spellEnd"/>
            <w:r w:rsidR="00A801AD" w:rsidRPr="00A801AD">
              <w:t xml:space="preserve"> </w:t>
            </w:r>
            <w:proofErr w:type="spellStart"/>
            <w:r w:rsidR="00A801AD" w:rsidRPr="00A801AD">
              <w:t>district</w:t>
            </w:r>
            <w:proofErr w:type="spellEnd"/>
          </w:p>
        </w:tc>
        <w:tc>
          <w:tcPr>
            <w:tcW w:w="1843" w:type="dxa"/>
            <w:noWrap/>
            <w:hideMark/>
          </w:tcPr>
          <w:p w:rsidR="00A801AD" w:rsidRPr="00D829E4" w:rsidRDefault="00971174" w:rsidP="00491DCF">
            <w:pPr>
              <w:cnfStyle w:val="000000100000" w:firstRow="0" w:lastRow="0" w:firstColumn="0" w:lastColumn="0" w:oddVBand="0" w:evenVBand="0" w:oddHBand="1" w:evenHBand="0" w:firstRowFirstColumn="0" w:firstRowLastColumn="0" w:lastRowFirstColumn="0" w:lastRowLastColumn="0"/>
              <w:rPr>
                <w:i/>
              </w:rPr>
            </w:pPr>
            <w:r w:rsidRPr="00D829E4">
              <w:rPr>
                <w:i/>
              </w:rPr>
              <w:t xml:space="preserve">A. </w:t>
            </w:r>
            <w:r w:rsidR="00A801AD" w:rsidRPr="00D829E4">
              <w:rPr>
                <w:i/>
              </w:rPr>
              <w:t xml:space="preserve">gambiae </w:t>
            </w:r>
            <w:r w:rsidR="00DD5362" w:rsidRPr="00DD5362">
              <w:t>s.l.</w:t>
            </w:r>
            <w:r w:rsidR="00491DCF">
              <w:rPr>
                <w:i/>
              </w:rPr>
              <w:br/>
            </w:r>
            <w:r w:rsidRPr="00D829E4">
              <w:rPr>
                <w:i/>
              </w:rPr>
              <w:t>A.</w:t>
            </w:r>
            <w:r w:rsidR="00491DCF">
              <w:rPr>
                <w:i/>
              </w:rPr>
              <w:t xml:space="preserve"> </w:t>
            </w:r>
            <w:r w:rsidR="00A801AD" w:rsidRPr="00D829E4">
              <w:rPr>
                <w:i/>
              </w:rPr>
              <w:t>funestus</w:t>
            </w:r>
          </w:p>
        </w:tc>
        <w:tc>
          <w:tcPr>
            <w:tcW w:w="1984" w:type="dxa"/>
            <w:noWrap/>
            <w:hideMark/>
          </w:tcPr>
          <w:p w:rsidR="00491DCF" w:rsidRDefault="00971174" w:rsidP="008A1CAE">
            <w:pPr>
              <w:cnfStyle w:val="000000100000" w:firstRow="0" w:lastRow="0" w:firstColumn="0" w:lastColumn="0" w:oddVBand="0" w:evenVBand="0" w:oddHBand="1" w:evenHBand="0" w:firstRowFirstColumn="0" w:firstRowLastColumn="0" w:lastRowFirstColumn="0" w:lastRowLastColumn="0"/>
            </w:pPr>
            <w:r w:rsidRPr="00D829E4">
              <w:rPr>
                <w:i/>
              </w:rPr>
              <w:t xml:space="preserve">A. </w:t>
            </w:r>
            <w:r w:rsidR="00A801AD" w:rsidRPr="00D829E4">
              <w:rPr>
                <w:i/>
              </w:rPr>
              <w:t xml:space="preserve">gambiae </w:t>
            </w:r>
            <w:r w:rsidR="00DD5362" w:rsidRPr="00DD5362">
              <w:t>s.l.</w:t>
            </w:r>
          </w:p>
          <w:p w:rsidR="00A801AD" w:rsidRPr="00D829E4" w:rsidRDefault="00971174" w:rsidP="008A1CAE">
            <w:pPr>
              <w:cnfStyle w:val="000000100000" w:firstRow="0" w:lastRow="0" w:firstColumn="0" w:lastColumn="0" w:oddVBand="0" w:evenVBand="0" w:oddHBand="1" w:evenHBand="0" w:firstRowFirstColumn="0" w:firstRowLastColumn="0" w:lastRowFirstColumn="0" w:lastRowLastColumn="0"/>
              <w:rPr>
                <w:i/>
              </w:rPr>
            </w:pPr>
            <w:r w:rsidRPr="00D829E4">
              <w:rPr>
                <w:i/>
              </w:rPr>
              <w:t xml:space="preserve">A. </w:t>
            </w:r>
            <w:r w:rsidR="00A801AD" w:rsidRPr="00D829E4">
              <w:rPr>
                <w:i/>
              </w:rPr>
              <w:t>funestus</w:t>
            </w:r>
          </w:p>
        </w:tc>
        <w:tc>
          <w:tcPr>
            <w:tcW w:w="1701" w:type="dxa"/>
            <w:noWrap/>
            <w:hideMark/>
          </w:tcPr>
          <w:p w:rsidR="00A801AD" w:rsidRPr="00A801AD" w:rsidRDefault="00A801AD" w:rsidP="008A1CAE">
            <w:pPr>
              <w:jc w:val="center"/>
              <w:cnfStyle w:val="000000100000" w:firstRow="0" w:lastRow="0" w:firstColumn="0" w:lastColumn="0" w:oddVBand="0" w:evenVBand="0" w:oddHBand="1" w:evenHBand="0" w:firstRowFirstColumn="0" w:firstRowLastColumn="0" w:lastRowFirstColumn="0" w:lastRowLastColumn="0"/>
            </w:pPr>
            <w:r w:rsidRPr="00A801AD">
              <w:t>N.A.</w:t>
            </w:r>
          </w:p>
        </w:tc>
        <w:tc>
          <w:tcPr>
            <w:tcW w:w="1560" w:type="dxa"/>
            <w:noWrap/>
            <w:hideMark/>
          </w:tcPr>
          <w:p w:rsidR="00A801AD" w:rsidRPr="00A801AD" w:rsidRDefault="00A801AD" w:rsidP="008A1CAE">
            <w:pPr>
              <w:jc w:val="center"/>
              <w:cnfStyle w:val="000000100000" w:firstRow="0" w:lastRow="0" w:firstColumn="0" w:lastColumn="0" w:oddVBand="0" w:evenVBand="0" w:oddHBand="1" w:evenHBand="0" w:firstRowFirstColumn="0" w:firstRowLastColumn="0" w:lastRowFirstColumn="0" w:lastRowLastColumn="0"/>
            </w:pPr>
            <w:r w:rsidRPr="00A801AD">
              <w:t>N.A.</w:t>
            </w:r>
          </w:p>
        </w:tc>
        <w:tc>
          <w:tcPr>
            <w:tcW w:w="1111" w:type="dxa"/>
            <w:noWrap/>
            <w:hideMark/>
          </w:tcPr>
          <w:p w:rsidR="00A801AD" w:rsidRPr="00A801AD" w:rsidRDefault="00A801AD" w:rsidP="008A1CAE">
            <w:pPr>
              <w:jc w:val="center"/>
              <w:cnfStyle w:val="000000100000" w:firstRow="0" w:lastRow="0" w:firstColumn="0" w:lastColumn="0" w:oddVBand="0" w:evenVBand="0" w:oddHBand="1" w:evenHBand="0" w:firstRowFirstColumn="0" w:firstRowLastColumn="0" w:lastRowFirstColumn="0" w:lastRowLastColumn="0"/>
            </w:pPr>
            <w:r w:rsidRPr="00A801AD">
              <w:t>+</w:t>
            </w:r>
          </w:p>
        </w:tc>
        <w:tc>
          <w:tcPr>
            <w:tcW w:w="1446" w:type="dxa"/>
            <w:noWrap/>
            <w:hideMark/>
          </w:tcPr>
          <w:p w:rsidR="00A801AD" w:rsidRPr="00A801AD" w:rsidRDefault="00A801AD" w:rsidP="0010196D">
            <w:pPr>
              <w:jc w:val="center"/>
              <w:cnfStyle w:val="000000100000" w:firstRow="0" w:lastRow="0" w:firstColumn="0" w:lastColumn="0" w:oddVBand="0" w:evenVBand="0" w:oddHBand="1" w:evenHBand="0" w:firstRowFirstColumn="0" w:firstRowLastColumn="0" w:lastRowFirstColumn="0" w:lastRowLastColumn="0"/>
            </w:pPr>
            <w:r w:rsidRPr="00A801AD">
              <w:t>N.A.</w:t>
            </w:r>
          </w:p>
        </w:tc>
        <w:tc>
          <w:tcPr>
            <w:tcW w:w="1363" w:type="dxa"/>
            <w:noWrap/>
            <w:hideMark/>
          </w:tcPr>
          <w:p w:rsidR="00A801AD" w:rsidRPr="00A801AD" w:rsidRDefault="00A801AD" w:rsidP="0010196D">
            <w:pPr>
              <w:jc w:val="center"/>
              <w:cnfStyle w:val="000000100000" w:firstRow="0" w:lastRow="0" w:firstColumn="0" w:lastColumn="0" w:oddVBand="0" w:evenVBand="0" w:oddHBand="1" w:evenHBand="0" w:firstRowFirstColumn="0" w:firstRowLastColumn="0" w:lastRowFirstColumn="0" w:lastRowLastColumn="0"/>
            </w:pPr>
            <w:r w:rsidRPr="00A801AD">
              <w:t>N.A</w:t>
            </w:r>
          </w:p>
        </w:tc>
        <w:tc>
          <w:tcPr>
            <w:tcW w:w="1229" w:type="dxa"/>
            <w:noWrap/>
            <w:hideMark/>
          </w:tcPr>
          <w:p w:rsidR="00A801AD" w:rsidRPr="00A801AD" w:rsidRDefault="007E2144" w:rsidP="0010196D">
            <w:pPr>
              <w:jc w:val="center"/>
              <w:cnfStyle w:val="000000100000" w:firstRow="0" w:lastRow="0" w:firstColumn="0" w:lastColumn="0" w:oddVBand="0" w:evenVBand="0" w:oddHBand="1" w:evenHBand="0" w:firstRowFirstColumn="0" w:firstRowLastColumn="0" w:lastRowFirstColumn="0" w:lastRowLastColumn="0"/>
            </w:pPr>
            <w:r>
              <w:fldChar w:fldCharType="begin" w:fldLock="1"/>
            </w:r>
            <w:r w:rsidR="00037624">
              <w:instrText>ADDIN CSL_CITATION {"citationItems":[{"id":"ITEM-1","itemData":{"DOI":"10.1046/j.1365-2915.1998.00091.x","author":[{"dropping-particle":"","family":"Bøgh","given":"C","non-dropping-particle":"","parse-names":false,"suffix":""},{"dropping-particle":"","family":"Pedersen","given":"E M","non-dropping-particle":"","parse-names":false,"suffix":""},{"dropping-particle":"","family":"Mukoko","given":"D A","non-dropping-particle":"","parse-names":false,"suffix":""},{"dropping-particle":"","family":"Ouma","given":"J H","non-dropping-particle":"","parse-names":false,"suffix":""}],"container-title":"Med Vet Entomol","id":"ITEM-1","issued":{"date-parts":[["1998"]]},"title":"Permethrin-impregnated bednet effects on resting and feeding behaviour of lymphatic filariasis vector mosquitoes in Kenya","type":"article-journal","volume":"12"},"uris":["http://www.mendeley.com/documents/?uuid=59243a86-8d25-463b-b32b-5609eb09e812"]}],"mendeley":{"formattedCitation":"[11]","plainTextFormattedCitation":"[11]","previouslyFormattedCitation":"[14]"},"properties":{"noteIndex":0},"schema":"https://github.com/citation-style-language/schema/raw/master/csl-citation.json"}</w:instrText>
            </w:r>
            <w:r>
              <w:fldChar w:fldCharType="separate"/>
            </w:r>
            <w:r w:rsidR="00037624" w:rsidRPr="00037624">
              <w:rPr>
                <w:noProof/>
              </w:rPr>
              <w:t>[11]</w:t>
            </w:r>
            <w:r>
              <w:fldChar w:fldCharType="end"/>
            </w:r>
          </w:p>
        </w:tc>
      </w:tr>
      <w:tr w:rsidR="00491DCF" w:rsidRPr="00A801AD" w:rsidTr="008651A4">
        <w:trPr>
          <w:trHeight w:val="288"/>
        </w:trPr>
        <w:tc>
          <w:tcPr>
            <w:cnfStyle w:val="001000000000" w:firstRow="0" w:lastRow="0" w:firstColumn="1" w:lastColumn="0" w:oddVBand="0" w:evenVBand="0" w:oddHBand="0" w:evenHBand="0" w:firstRowFirstColumn="0" w:firstRowLastColumn="0" w:lastRowFirstColumn="0" w:lastRowLastColumn="0"/>
            <w:tcW w:w="1405" w:type="dxa"/>
            <w:noWrap/>
            <w:hideMark/>
          </w:tcPr>
          <w:p w:rsidR="00A801AD" w:rsidRPr="00DD5362" w:rsidRDefault="00A801AD" w:rsidP="008A1CAE">
            <w:r w:rsidRPr="00DD5362">
              <w:t xml:space="preserve">Tanzania </w:t>
            </w:r>
          </w:p>
        </w:tc>
        <w:tc>
          <w:tcPr>
            <w:tcW w:w="2134" w:type="dxa"/>
            <w:noWrap/>
            <w:hideMark/>
          </w:tcPr>
          <w:p w:rsidR="00A801AD" w:rsidRPr="00A801AD" w:rsidRDefault="00A801AD" w:rsidP="008A1CAE">
            <w:pPr>
              <w:cnfStyle w:val="000000000000" w:firstRow="0" w:lastRow="0" w:firstColumn="0" w:lastColumn="0" w:oddVBand="0" w:evenVBand="0" w:oddHBand="0" w:evenHBand="0" w:firstRowFirstColumn="0" w:firstRowLastColumn="0" w:lastRowFirstColumn="0" w:lastRowLastColumn="0"/>
            </w:pPr>
            <w:proofErr w:type="spellStart"/>
            <w:r w:rsidRPr="00A801AD">
              <w:t>Kilombero</w:t>
            </w:r>
            <w:proofErr w:type="spellEnd"/>
            <w:r w:rsidRPr="00A801AD">
              <w:t xml:space="preserve"> Valley (</w:t>
            </w:r>
            <w:proofErr w:type="spellStart"/>
            <w:r w:rsidRPr="00A801AD">
              <w:t>Niaji</w:t>
            </w:r>
            <w:proofErr w:type="spellEnd"/>
            <w:r w:rsidRPr="00A801AD">
              <w:t xml:space="preserve">, </w:t>
            </w:r>
            <w:proofErr w:type="spellStart"/>
            <w:r w:rsidRPr="00A801AD">
              <w:t>Lupiro</w:t>
            </w:r>
            <w:proofErr w:type="spellEnd"/>
            <w:r w:rsidRPr="00A801AD">
              <w:t>)</w:t>
            </w:r>
          </w:p>
        </w:tc>
        <w:tc>
          <w:tcPr>
            <w:tcW w:w="1843" w:type="dxa"/>
            <w:noWrap/>
            <w:hideMark/>
          </w:tcPr>
          <w:p w:rsidR="00A801AD" w:rsidRPr="00D829E4" w:rsidRDefault="00971174" w:rsidP="008A1CAE">
            <w:pPr>
              <w:cnfStyle w:val="000000000000" w:firstRow="0" w:lastRow="0" w:firstColumn="0" w:lastColumn="0" w:oddVBand="0" w:evenVBand="0" w:oddHBand="0" w:evenHBand="0" w:firstRowFirstColumn="0" w:firstRowLastColumn="0" w:lastRowFirstColumn="0" w:lastRowLastColumn="0"/>
              <w:rPr>
                <w:i/>
              </w:rPr>
            </w:pPr>
            <w:r w:rsidRPr="00D829E4">
              <w:rPr>
                <w:i/>
              </w:rPr>
              <w:t xml:space="preserve">A. </w:t>
            </w:r>
            <w:r w:rsidR="00A801AD" w:rsidRPr="00D829E4">
              <w:rPr>
                <w:i/>
              </w:rPr>
              <w:t xml:space="preserve">gambiae </w:t>
            </w:r>
            <w:proofErr w:type="spellStart"/>
            <w:r w:rsidR="00DD5362" w:rsidRPr="00DD5362">
              <w:t>s.s.</w:t>
            </w:r>
            <w:proofErr w:type="spellEnd"/>
          </w:p>
        </w:tc>
        <w:tc>
          <w:tcPr>
            <w:tcW w:w="1984" w:type="dxa"/>
            <w:noWrap/>
            <w:hideMark/>
          </w:tcPr>
          <w:p w:rsidR="00A801AD" w:rsidRPr="00D829E4" w:rsidRDefault="00971174" w:rsidP="008A1CAE">
            <w:pPr>
              <w:cnfStyle w:val="000000000000" w:firstRow="0" w:lastRow="0" w:firstColumn="0" w:lastColumn="0" w:oddVBand="0" w:evenVBand="0" w:oddHBand="0" w:evenHBand="0" w:firstRowFirstColumn="0" w:firstRowLastColumn="0" w:lastRowFirstColumn="0" w:lastRowLastColumn="0"/>
              <w:rPr>
                <w:i/>
              </w:rPr>
            </w:pPr>
            <w:r w:rsidRPr="00D829E4">
              <w:rPr>
                <w:i/>
              </w:rPr>
              <w:t xml:space="preserve">A. </w:t>
            </w:r>
            <w:r w:rsidR="00A801AD" w:rsidRPr="00D829E4">
              <w:rPr>
                <w:i/>
              </w:rPr>
              <w:t>arabiensis</w:t>
            </w:r>
          </w:p>
        </w:tc>
        <w:tc>
          <w:tcPr>
            <w:tcW w:w="1701" w:type="dxa"/>
            <w:noWrap/>
            <w:hideMark/>
          </w:tcPr>
          <w:p w:rsidR="00A801AD" w:rsidRPr="00A801AD" w:rsidRDefault="00A801AD" w:rsidP="008A1CAE">
            <w:pPr>
              <w:jc w:val="center"/>
              <w:cnfStyle w:val="000000000000" w:firstRow="0" w:lastRow="0" w:firstColumn="0" w:lastColumn="0" w:oddVBand="0" w:evenVBand="0" w:oddHBand="0" w:evenHBand="0" w:firstRowFirstColumn="0" w:firstRowLastColumn="0" w:lastRowFirstColumn="0" w:lastRowLastColumn="0"/>
            </w:pPr>
            <w:r w:rsidRPr="00A801AD">
              <w:t>no</w:t>
            </w:r>
          </w:p>
        </w:tc>
        <w:tc>
          <w:tcPr>
            <w:tcW w:w="1560" w:type="dxa"/>
            <w:noWrap/>
            <w:hideMark/>
          </w:tcPr>
          <w:p w:rsidR="00A801AD" w:rsidRPr="00A801AD" w:rsidRDefault="00A801AD" w:rsidP="008A1CAE">
            <w:pPr>
              <w:jc w:val="center"/>
              <w:cnfStyle w:val="000000000000" w:firstRow="0" w:lastRow="0" w:firstColumn="0" w:lastColumn="0" w:oddVBand="0" w:evenVBand="0" w:oddHBand="0" w:evenHBand="0" w:firstRowFirstColumn="0" w:firstRowLastColumn="0" w:lastRowFirstColumn="0" w:lastRowLastColumn="0"/>
            </w:pPr>
            <w:r w:rsidRPr="00A801AD">
              <w:t>+</w:t>
            </w:r>
          </w:p>
        </w:tc>
        <w:tc>
          <w:tcPr>
            <w:tcW w:w="1111" w:type="dxa"/>
            <w:noWrap/>
            <w:hideMark/>
          </w:tcPr>
          <w:p w:rsidR="00A801AD" w:rsidRPr="00A801AD" w:rsidRDefault="00A801AD" w:rsidP="008A1CAE">
            <w:pPr>
              <w:jc w:val="center"/>
              <w:cnfStyle w:val="000000000000" w:firstRow="0" w:lastRow="0" w:firstColumn="0" w:lastColumn="0" w:oddVBand="0" w:evenVBand="0" w:oddHBand="0" w:evenHBand="0" w:firstRowFirstColumn="0" w:firstRowLastColumn="0" w:lastRowFirstColumn="0" w:lastRowLastColumn="0"/>
            </w:pPr>
            <w:r w:rsidRPr="00A801AD">
              <w:t>N.A</w:t>
            </w:r>
          </w:p>
        </w:tc>
        <w:tc>
          <w:tcPr>
            <w:tcW w:w="1446" w:type="dxa"/>
            <w:noWrap/>
            <w:hideMark/>
          </w:tcPr>
          <w:p w:rsidR="00A801AD" w:rsidRPr="00A801AD" w:rsidRDefault="00A801AD" w:rsidP="0010196D">
            <w:pPr>
              <w:jc w:val="center"/>
              <w:cnfStyle w:val="000000000000" w:firstRow="0" w:lastRow="0" w:firstColumn="0" w:lastColumn="0" w:oddVBand="0" w:evenVBand="0" w:oddHBand="0" w:evenHBand="0" w:firstRowFirstColumn="0" w:firstRowLastColumn="0" w:lastRowFirstColumn="0" w:lastRowLastColumn="0"/>
            </w:pPr>
            <w:r w:rsidRPr="00A801AD">
              <w:t>N.A.</w:t>
            </w:r>
          </w:p>
        </w:tc>
        <w:tc>
          <w:tcPr>
            <w:tcW w:w="1363" w:type="dxa"/>
            <w:noWrap/>
            <w:hideMark/>
          </w:tcPr>
          <w:p w:rsidR="00A801AD" w:rsidRPr="00A801AD" w:rsidRDefault="00A801AD" w:rsidP="0010196D">
            <w:pPr>
              <w:jc w:val="center"/>
              <w:cnfStyle w:val="000000000000" w:firstRow="0" w:lastRow="0" w:firstColumn="0" w:lastColumn="0" w:oddVBand="0" w:evenVBand="0" w:oddHBand="0" w:evenHBand="0" w:firstRowFirstColumn="0" w:firstRowLastColumn="0" w:lastRowFirstColumn="0" w:lastRowLastColumn="0"/>
            </w:pPr>
            <w:r w:rsidRPr="00A801AD">
              <w:t>N.A</w:t>
            </w:r>
          </w:p>
        </w:tc>
        <w:tc>
          <w:tcPr>
            <w:tcW w:w="1229" w:type="dxa"/>
            <w:noWrap/>
            <w:hideMark/>
          </w:tcPr>
          <w:p w:rsidR="00A801AD" w:rsidRPr="00A801AD" w:rsidRDefault="007E2144" w:rsidP="0010196D">
            <w:pPr>
              <w:jc w:val="center"/>
              <w:cnfStyle w:val="000000000000" w:firstRow="0" w:lastRow="0" w:firstColumn="0" w:lastColumn="0" w:oddVBand="0" w:evenVBand="0" w:oddHBand="0" w:evenHBand="0" w:firstRowFirstColumn="0" w:firstRowLastColumn="0" w:lastRowFirstColumn="0" w:lastRowLastColumn="0"/>
              <w:rPr>
                <w:b/>
                <w:bCs/>
              </w:rPr>
            </w:pPr>
            <w:r>
              <w:rPr>
                <w:b/>
                <w:bCs/>
              </w:rPr>
              <w:fldChar w:fldCharType="begin" w:fldLock="1"/>
            </w:r>
            <w:r w:rsidR="00037624">
              <w:rPr>
                <w:b/>
                <w:bCs/>
              </w:rPr>
              <w:instrText>ADDIN CSL_CITATION {"citationItems":[{"id":"ITEM-1","itemData":{"DOI":"10.1186/1475-2875-10-80","ISSN":"14752875","abstract":"Background: Insecticide-treated nets (ITNs) and indoor residual spraying (IRS) represent the front-line tools for malaria vector control globally, but are optimally effective where the majority of baseline transmission occurs indoors. In the surveyed area of rural southern Tanzania, bed net use steadily increased over the last decade, reducing malaria transmission intensity by 94%. Methods. Starting before bed nets were introduced (1997), and then after two milestones of net use had been reached-75% community-wide use of untreated nets (2004) and then 47% use of ITNs (2009)-hourly biting rates of malaria vectors from the Anopheles gambiae complex and Anopheles funestus group were surveyed. Results: In 1997, An. gambiae s.l. and An. funestus mosquitoes exhibited a tendency to bite humans inside houses late at night. For An. gambiae s.l., by 2009, nocturnal activity was less (p = 0.0018). At this time, the sibling species composition of the complex had shifted from predominantly An. gambiae s.s. to predominantly An. arabiensis. For An. funestus, by 2009, nocturnal activity was less (p = 0.0054) as well as the proportion biting indoors (p &lt; 0.0001). At this time, An. funestus s.s. remained the predominant species within this group. As a consequence of these altered feeding patterns, the proportion (mean ± standard error) of human contact with mosquitoes (bites per person per night) occurring indoors dropped from 0.99 ± 0.002 in 1997 to 0.82 ± 0.008 in 2009 for the An. gambiae complex (p = 0.0143) and from 1.00 ± &lt;0.001 to only 0.50 ± 0.048 for the An. funestus complex (p = 0.0004) over the same time period. Conclusions: High usage of ITNs can dramatically alter African vector populations so that intense, predominantly indoor transmission is replaced by greatly lowered residual transmission, a greater proportion of which occurs outdoors. Regardless of the underlying mechanism, the residual, self-sustaining transmission will respond poorly to further insecticidal measures within houses. Additional vector control tools which target outdoor biting mosquitoes at the adult or immature stages are required to complement ITNs and IRS. © 2011 Russell et al; licensee BioMed Central Ltd.","author":[{"dropping-particle":"","family":"Russell","given":"Tanya L.","non-dropping-particle":"","parse-names":false,"suffix":""},{"dropping-particle":"","family":"Govella","given":"Nicodem J.","non-dropping-particle":"","parse-names":false,"suffix":""},{"dropping-particle":"","family":"Azizi","given":"Salum","non-dropping-particle":"","parse-names":false,"suffix":""},{"dropping-particle":"","family":"Drakeley","given":"Christopher J.","non-dropping-particle":"","parse-names":false,"suffix":""},{"dropping-particle":"","family":"Kachur","given":"S. Patrick","non-dropping-particle":"","parse-names":false,"suffix":""},{"dropping-particle":"","family":"Killeen","given":"Gerry F.","non-dropping-particle":"","parse-names":false,"suffix":""}],"container-title":"Malaria Journal","id":"ITEM-1","issued":{"date-parts":[["2011"]]},"page":"1-10","title":"Increased proportions of outdoor feeding among residual malaria vector populations following increased use of insecticide-treated nets in rural Tanzania","type":"article-journal","volume":"10"},"uris":["http://www.mendeley.com/documents/?uuid=4289949f-63ae-43bf-bcd5-b8ae8f6230df"]}],"mendeley":{"formattedCitation":"[12]","plainTextFormattedCitation":"[12]","previouslyFormattedCitation":"[15]"},"properties":{"noteIndex":0},"schema":"https://github.com/citation-style-language/schema/raw/master/csl-citation.json"}</w:instrText>
            </w:r>
            <w:r>
              <w:rPr>
                <w:b/>
                <w:bCs/>
              </w:rPr>
              <w:fldChar w:fldCharType="separate"/>
            </w:r>
            <w:r w:rsidR="00037624" w:rsidRPr="00037624">
              <w:rPr>
                <w:bCs/>
                <w:noProof/>
              </w:rPr>
              <w:t>[12]</w:t>
            </w:r>
            <w:r>
              <w:rPr>
                <w:b/>
                <w:bCs/>
              </w:rPr>
              <w:fldChar w:fldCharType="end"/>
            </w:r>
          </w:p>
        </w:tc>
      </w:tr>
      <w:tr w:rsidR="007E2144" w:rsidRPr="00A801AD" w:rsidTr="008651A4">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405" w:type="dxa"/>
            <w:noWrap/>
            <w:hideMark/>
          </w:tcPr>
          <w:p w:rsidR="00A801AD" w:rsidRPr="00DD5362" w:rsidRDefault="00A801AD" w:rsidP="008A1CAE">
            <w:r w:rsidRPr="00DD5362">
              <w:t xml:space="preserve">Tanzania </w:t>
            </w:r>
          </w:p>
        </w:tc>
        <w:tc>
          <w:tcPr>
            <w:tcW w:w="2134" w:type="dxa"/>
            <w:noWrap/>
            <w:hideMark/>
          </w:tcPr>
          <w:p w:rsidR="00A801AD" w:rsidRPr="00A801AD" w:rsidRDefault="00A801AD" w:rsidP="008A1CAE">
            <w:pPr>
              <w:cnfStyle w:val="000000100000" w:firstRow="0" w:lastRow="0" w:firstColumn="0" w:lastColumn="0" w:oddVBand="0" w:evenVBand="0" w:oddHBand="1" w:evenHBand="0" w:firstRowFirstColumn="0" w:firstRowLastColumn="0" w:lastRowFirstColumn="0" w:lastRowLastColumn="0"/>
            </w:pPr>
            <w:proofErr w:type="spellStart"/>
            <w:r w:rsidRPr="00A801AD">
              <w:t>Kilombero</w:t>
            </w:r>
            <w:proofErr w:type="spellEnd"/>
            <w:r w:rsidRPr="00A801AD">
              <w:t xml:space="preserve"> Valley (</w:t>
            </w:r>
            <w:proofErr w:type="spellStart"/>
            <w:r w:rsidRPr="00A801AD">
              <w:t>Idete</w:t>
            </w:r>
            <w:proofErr w:type="spellEnd"/>
            <w:r w:rsidRPr="00A801AD">
              <w:t xml:space="preserve">, </w:t>
            </w:r>
            <w:proofErr w:type="spellStart"/>
            <w:r w:rsidRPr="00A801AD">
              <w:t>Namawala</w:t>
            </w:r>
            <w:proofErr w:type="spellEnd"/>
            <w:r w:rsidRPr="00A801AD">
              <w:t>)</w:t>
            </w:r>
          </w:p>
        </w:tc>
        <w:tc>
          <w:tcPr>
            <w:tcW w:w="1843" w:type="dxa"/>
            <w:noWrap/>
            <w:hideMark/>
          </w:tcPr>
          <w:p w:rsidR="00A801AD" w:rsidRPr="00D829E4" w:rsidRDefault="00971174" w:rsidP="008A1CAE">
            <w:pPr>
              <w:cnfStyle w:val="000000100000" w:firstRow="0" w:lastRow="0" w:firstColumn="0" w:lastColumn="0" w:oddVBand="0" w:evenVBand="0" w:oddHBand="1" w:evenHBand="0" w:firstRowFirstColumn="0" w:firstRowLastColumn="0" w:lastRowFirstColumn="0" w:lastRowLastColumn="0"/>
              <w:rPr>
                <w:i/>
              </w:rPr>
            </w:pPr>
            <w:r w:rsidRPr="00D829E4">
              <w:rPr>
                <w:i/>
              </w:rPr>
              <w:t xml:space="preserve">A. </w:t>
            </w:r>
            <w:r w:rsidR="00A801AD" w:rsidRPr="00D829E4">
              <w:rPr>
                <w:i/>
              </w:rPr>
              <w:t xml:space="preserve">gambiae </w:t>
            </w:r>
            <w:proofErr w:type="spellStart"/>
            <w:r w:rsidR="00DD5362" w:rsidRPr="00DD5362">
              <w:t>s.s.</w:t>
            </w:r>
            <w:proofErr w:type="spellEnd"/>
          </w:p>
        </w:tc>
        <w:tc>
          <w:tcPr>
            <w:tcW w:w="1984" w:type="dxa"/>
            <w:noWrap/>
            <w:hideMark/>
          </w:tcPr>
          <w:p w:rsidR="00A801AD" w:rsidRPr="00D829E4" w:rsidRDefault="00971174" w:rsidP="008A1CAE">
            <w:pPr>
              <w:cnfStyle w:val="000000100000" w:firstRow="0" w:lastRow="0" w:firstColumn="0" w:lastColumn="0" w:oddVBand="0" w:evenVBand="0" w:oddHBand="1" w:evenHBand="0" w:firstRowFirstColumn="0" w:firstRowLastColumn="0" w:lastRowFirstColumn="0" w:lastRowLastColumn="0"/>
              <w:rPr>
                <w:i/>
              </w:rPr>
            </w:pPr>
            <w:r w:rsidRPr="00D829E4">
              <w:rPr>
                <w:i/>
              </w:rPr>
              <w:t xml:space="preserve">A. </w:t>
            </w:r>
            <w:r w:rsidR="00A801AD" w:rsidRPr="00D829E4">
              <w:rPr>
                <w:i/>
              </w:rPr>
              <w:t>arabiensis</w:t>
            </w:r>
          </w:p>
        </w:tc>
        <w:tc>
          <w:tcPr>
            <w:tcW w:w="1701" w:type="dxa"/>
            <w:noWrap/>
            <w:hideMark/>
          </w:tcPr>
          <w:p w:rsidR="00A801AD" w:rsidRPr="00A801AD" w:rsidRDefault="00A801AD" w:rsidP="008A1CAE">
            <w:pPr>
              <w:jc w:val="center"/>
              <w:cnfStyle w:val="000000100000" w:firstRow="0" w:lastRow="0" w:firstColumn="0" w:lastColumn="0" w:oddVBand="0" w:evenVBand="0" w:oddHBand="1" w:evenHBand="0" w:firstRowFirstColumn="0" w:firstRowLastColumn="0" w:lastRowFirstColumn="0" w:lastRowLastColumn="0"/>
            </w:pPr>
            <w:r w:rsidRPr="00A801AD">
              <w:t>N.A.</w:t>
            </w:r>
          </w:p>
        </w:tc>
        <w:tc>
          <w:tcPr>
            <w:tcW w:w="1560" w:type="dxa"/>
            <w:noWrap/>
            <w:hideMark/>
          </w:tcPr>
          <w:p w:rsidR="00A801AD" w:rsidRPr="00A801AD" w:rsidRDefault="00A801AD" w:rsidP="008A1CAE">
            <w:pPr>
              <w:jc w:val="center"/>
              <w:cnfStyle w:val="000000100000" w:firstRow="0" w:lastRow="0" w:firstColumn="0" w:lastColumn="0" w:oddVBand="0" w:evenVBand="0" w:oddHBand="1" w:evenHBand="0" w:firstRowFirstColumn="0" w:firstRowLastColumn="0" w:lastRowFirstColumn="0" w:lastRowLastColumn="0"/>
            </w:pPr>
            <w:r w:rsidRPr="00A801AD">
              <w:t>N.A.</w:t>
            </w:r>
          </w:p>
        </w:tc>
        <w:tc>
          <w:tcPr>
            <w:tcW w:w="1111" w:type="dxa"/>
            <w:noWrap/>
            <w:hideMark/>
          </w:tcPr>
          <w:p w:rsidR="00A801AD" w:rsidRPr="00A801AD" w:rsidRDefault="00A801AD" w:rsidP="008A1CAE">
            <w:pPr>
              <w:jc w:val="center"/>
              <w:cnfStyle w:val="000000100000" w:firstRow="0" w:lastRow="0" w:firstColumn="0" w:lastColumn="0" w:oddVBand="0" w:evenVBand="0" w:oddHBand="1" w:evenHBand="0" w:firstRowFirstColumn="0" w:firstRowLastColumn="0" w:lastRowFirstColumn="0" w:lastRowLastColumn="0"/>
            </w:pPr>
            <w:r w:rsidRPr="00A801AD">
              <w:t>N.A.</w:t>
            </w:r>
          </w:p>
        </w:tc>
        <w:tc>
          <w:tcPr>
            <w:tcW w:w="1446" w:type="dxa"/>
            <w:noWrap/>
            <w:hideMark/>
          </w:tcPr>
          <w:p w:rsidR="00A801AD" w:rsidRPr="00A801AD" w:rsidRDefault="00A801AD" w:rsidP="0010196D">
            <w:pPr>
              <w:jc w:val="center"/>
              <w:cnfStyle w:val="000000100000" w:firstRow="0" w:lastRow="0" w:firstColumn="0" w:lastColumn="0" w:oddVBand="0" w:evenVBand="0" w:oddHBand="1" w:evenHBand="0" w:firstRowFirstColumn="0" w:firstRowLastColumn="0" w:lastRowFirstColumn="0" w:lastRowLastColumn="0"/>
            </w:pPr>
            <w:r w:rsidRPr="00A801AD">
              <w:t>2.5%</w:t>
            </w:r>
          </w:p>
        </w:tc>
        <w:tc>
          <w:tcPr>
            <w:tcW w:w="1363" w:type="dxa"/>
            <w:noWrap/>
            <w:hideMark/>
          </w:tcPr>
          <w:p w:rsidR="00A801AD" w:rsidRPr="00A801AD" w:rsidRDefault="00A801AD" w:rsidP="0010196D">
            <w:pPr>
              <w:jc w:val="center"/>
              <w:cnfStyle w:val="000000100000" w:firstRow="0" w:lastRow="0" w:firstColumn="0" w:lastColumn="0" w:oddVBand="0" w:evenVBand="0" w:oddHBand="1" w:evenHBand="0" w:firstRowFirstColumn="0" w:firstRowLastColumn="0" w:lastRowFirstColumn="0" w:lastRowLastColumn="0"/>
            </w:pPr>
            <w:r w:rsidRPr="00A801AD">
              <w:t>0.3%</w:t>
            </w:r>
          </w:p>
        </w:tc>
        <w:tc>
          <w:tcPr>
            <w:tcW w:w="1229" w:type="dxa"/>
            <w:noWrap/>
            <w:hideMark/>
          </w:tcPr>
          <w:p w:rsidR="00A801AD" w:rsidRPr="00A801AD" w:rsidRDefault="007E2144" w:rsidP="0010196D">
            <w:pPr>
              <w:jc w:val="center"/>
              <w:cnfStyle w:val="000000100000" w:firstRow="0" w:lastRow="0" w:firstColumn="0" w:lastColumn="0" w:oddVBand="0" w:evenVBand="0" w:oddHBand="1" w:evenHBand="0" w:firstRowFirstColumn="0" w:firstRowLastColumn="0" w:lastRowFirstColumn="0" w:lastRowLastColumn="0"/>
              <w:rPr>
                <w:b/>
                <w:bCs/>
              </w:rPr>
            </w:pPr>
            <w:r>
              <w:rPr>
                <w:b/>
                <w:bCs/>
              </w:rPr>
              <w:fldChar w:fldCharType="begin" w:fldLock="1"/>
            </w:r>
            <w:r w:rsidR="00037624">
              <w:rPr>
                <w:b/>
                <w:bCs/>
              </w:rPr>
              <w:instrText xml:space="preserve">ADDIN CSL_CITATION {"citationItems":[{"id":"ITEM-1","itemData":{"DOI":"10.1186/1475-2875-9-187","ISSN":"14752875","PMID":"20579399","abstract":"Background. The communities of Namawala and Idete villages in southern Tanzania experienced extremely high malaria transmission in the 1990s. By 2001-03, following high usage rates (75% of all age groups) of untreated bed nets, a 4.2-fold reduction in malaria transmission intensity was achieved. Since 2006, a national-scale programme has promoted the use of longer-lasting insecticide treatment kits (consisting of an insecticide plus binder) co-packaged with all bed nets manufactured in the country. Methods. The entomological inoculation rate (EIR) was estimated through monthly surveys in 72 houses randomly selected in each of the two villages. Mosquitoes were caught using CDC light traps placed beside occupied bed nets between January and December 2008 (n = 1,648 trap nights). Sub-samples of mosquitoes were taken from each trap to determine parity status, sporozoite infection and Anopheles gambiae complex sibling species identity. Results. Compared with a historical mean EIR of </w:instrText>
            </w:r>
            <w:r w:rsidR="00037624">
              <w:rPr>
                <w:rFonts w:ascii="Cambria Math" w:hAnsi="Cambria Math" w:cs="Cambria Math"/>
                <w:b/>
                <w:bCs/>
              </w:rPr>
              <w:instrText>∼</w:instrText>
            </w:r>
            <w:r w:rsidR="00037624">
              <w:rPr>
                <w:b/>
                <w:bCs/>
              </w:rPr>
              <w:instrText>1400 infectious bites/person/year (ib/p/y) in 1990-94; the 2008 estimate of 81 ib/p/y represents an 18-fold reduction for an unprotected person without a net. The combined impact of longer-lasting insecticide treatments as well as high bed net coverage was associated with a 4.6-fold reduction in EIR, on top of the impact from the use of untreated nets alone. The scale-up of bed nets and subsequent insecticidal treatment has reduced the density of the anthropophagic, endophagic primary vector species, Anopheles gambiae sensu stricto, by 79%. In contrast, the reduction in density of the zoophagic, exophagic sibling species Anopheles arabiensis was only 38%. Conclusion. Insecticide treatment of nets reduced the intensity of malaria transmission in addition to that achieved by the untreated nets alone. Impacts were most pronounced against the highly anthropophagic, endophagic primary vector, leading to a shift in the sibling species composition of the A. gambiae complex. © 2010 Russell et al; licensee BioMed Central Ltd.","author":[{"dropping-particle":"","family":"Russell","given":"Tanya L.","non-dropping-particle":"","parse-names":false,"suffix":""},{"dropping-particle":"","family":"Lwetoijera","given":"Dickson W.","non-dropping-particle":"","parse-names":false,"suffix":""},{"dropping-particle":"","family":"Maliti","given":"Deodatus","non-dropping-particle":"","parse-names":false,"suffix":""},{"dropping-particle":"","family":"Chipwaza","given":"Beatrice","non-dropping-particle":"","parse-names":false,"suffix":""},{"dropping-particle":"","family":"Kihonda","given":"Japhet","non-dropping-particle":"","parse-names":false,"suffix":""},{"dropping-particle":"","family":"Charlwood","given":"J. Derek","non-dropping-particle":"","parse-names":false,"suffix":""},{"dropping-particle":"","family":"Smith","given":"Thomas A.","non-dropping-particle":"","parse-names":false,"suffix":""},{"dropping-particle":"","family":"Lengeler","given":"Christian","non-dropping-particle":"","parse-names":false,"suffix":""},{"dropping-particle":"","family":"Mwanyangala","given":"Mathew A.","non-dropping-particle":"","parse-names":false,"suffix":""},{"dropping-particle":"","family":"Nathan","given":"Rose","non-dropping-particle":"","parse-names":false,"suffix":""},{"dropping-particle":"","family":"Knols","given":"Bart Gj","non-dropping-particle":"","parse-names":false,"suffix":""},{"dropping-particle":"","family":"Takken","given":"Willem","non-dropping-particle":"","parse-names":false,"suffix":""},{"dropping-particle":"","family":"Killeen","given":"Gerry F.","non-dropping-particle":"","parse-names":false,"suffix":""}],"container-title":"Malaria Journal","id":"ITEM-1","issue":"1","issued":{"date-parts":[["2010"]]},"page":"1-14","title":"Impact of promoting longer-lasting insecticide treatment of bed nets upon malaria transmission in a rural Tanzanian setting with pre-existing high coverage of untreated nets","type":"article-journal","volume":"9"},"uris":["http://www.mendeley.com/documents/?uuid=6d9094da-9ece-442a-80fe-9ab818b3f831"]}],"mendeley":{"formattedCitation":"[13]","plainTextFormattedCitation":"[13]","previouslyFormattedCitation":"[16]"},"properties":{"noteIndex":0},"schema":"https://github.com/citation-style-language/schema/raw/master/csl-citation.json"}</w:instrText>
            </w:r>
            <w:r>
              <w:rPr>
                <w:b/>
                <w:bCs/>
              </w:rPr>
              <w:fldChar w:fldCharType="separate"/>
            </w:r>
            <w:r w:rsidR="00037624" w:rsidRPr="00037624">
              <w:rPr>
                <w:bCs/>
                <w:noProof/>
              </w:rPr>
              <w:t>[13]</w:t>
            </w:r>
            <w:r>
              <w:rPr>
                <w:b/>
                <w:bCs/>
              </w:rPr>
              <w:fldChar w:fldCharType="end"/>
            </w:r>
          </w:p>
        </w:tc>
      </w:tr>
      <w:tr w:rsidR="00491DCF" w:rsidRPr="00A801AD" w:rsidTr="008651A4">
        <w:trPr>
          <w:trHeight w:val="288"/>
        </w:trPr>
        <w:tc>
          <w:tcPr>
            <w:cnfStyle w:val="001000000000" w:firstRow="0" w:lastRow="0" w:firstColumn="1" w:lastColumn="0" w:oddVBand="0" w:evenVBand="0" w:oddHBand="0" w:evenHBand="0" w:firstRowFirstColumn="0" w:firstRowLastColumn="0" w:lastRowFirstColumn="0" w:lastRowLastColumn="0"/>
            <w:tcW w:w="1405" w:type="dxa"/>
            <w:noWrap/>
            <w:hideMark/>
          </w:tcPr>
          <w:p w:rsidR="00A801AD" w:rsidRPr="00DD5362" w:rsidRDefault="00A801AD" w:rsidP="008A1CAE">
            <w:r w:rsidRPr="00DD5362">
              <w:t xml:space="preserve">Tanzania </w:t>
            </w:r>
          </w:p>
        </w:tc>
        <w:tc>
          <w:tcPr>
            <w:tcW w:w="2134" w:type="dxa"/>
            <w:noWrap/>
            <w:hideMark/>
          </w:tcPr>
          <w:p w:rsidR="00A801AD" w:rsidRPr="00A801AD" w:rsidRDefault="00A801AD" w:rsidP="008A1CAE">
            <w:pPr>
              <w:cnfStyle w:val="000000000000" w:firstRow="0" w:lastRow="0" w:firstColumn="0" w:lastColumn="0" w:oddVBand="0" w:evenVBand="0" w:oddHBand="0" w:evenHBand="0" w:firstRowFirstColumn="0" w:firstRowLastColumn="0" w:lastRowFirstColumn="0" w:lastRowLastColumn="0"/>
            </w:pPr>
            <w:r w:rsidRPr="00A801AD">
              <w:t>Usa River</w:t>
            </w:r>
          </w:p>
        </w:tc>
        <w:tc>
          <w:tcPr>
            <w:tcW w:w="1843" w:type="dxa"/>
            <w:noWrap/>
            <w:hideMark/>
          </w:tcPr>
          <w:p w:rsidR="00A801AD" w:rsidRPr="00A801AD" w:rsidRDefault="00A801AD" w:rsidP="008A1CAE">
            <w:pPr>
              <w:cnfStyle w:val="000000000000" w:firstRow="0" w:lastRow="0" w:firstColumn="0" w:lastColumn="0" w:oddVBand="0" w:evenVBand="0" w:oddHBand="0" w:evenHBand="0" w:firstRowFirstColumn="0" w:firstRowLastColumn="0" w:lastRowFirstColumn="0" w:lastRowLastColumn="0"/>
            </w:pPr>
            <w:r w:rsidRPr="00A801AD">
              <w:t>N.A</w:t>
            </w:r>
          </w:p>
        </w:tc>
        <w:tc>
          <w:tcPr>
            <w:tcW w:w="1984" w:type="dxa"/>
            <w:noWrap/>
            <w:hideMark/>
          </w:tcPr>
          <w:p w:rsidR="00A801AD" w:rsidRPr="00A801AD" w:rsidRDefault="00A801AD" w:rsidP="008A1CAE">
            <w:pPr>
              <w:cnfStyle w:val="000000000000" w:firstRow="0" w:lastRow="0" w:firstColumn="0" w:lastColumn="0" w:oddVBand="0" w:evenVBand="0" w:oddHBand="0" w:evenHBand="0" w:firstRowFirstColumn="0" w:firstRowLastColumn="0" w:lastRowFirstColumn="0" w:lastRowLastColumn="0"/>
            </w:pPr>
            <w:r w:rsidRPr="00A801AD">
              <w:t>N.A</w:t>
            </w:r>
          </w:p>
        </w:tc>
        <w:tc>
          <w:tcPr>
            <w:tcW w:w="1701" w:type="dxa"/>
            <w:noWrap/>
            <w:hideMark/>
          </w:tcPr>
          <w:p w:rsidR="00A801AD" w:rsidRPr="00A801AD" w:rsidRDefault="00A801AD" w:rsidP="008A1CAE">
            <w:pPr>
              <w:jc w:val="center"/>
              <w:cnfStyle w:val="000000000000" w:firstRow="0" w:lastRow="0" w:firstColumn="0" w:lastColumn="0" w:oddVBand="0" w:evenVBand="0" w:oddHBand="0" w:evenHBand="0" w:firstRowFirstColumn="0" w:firstRowLastColumn="0" w:lastRowFirstColumn="0" w:lastRowLastColumn="0"/>
            </w:pPr>
            <w:r w:rsidRPr="00A801AD">
              <w:t>N.A.</w:t>
            </w:r>
          </w:p>
        </w:tc>
        <w:tc>
          <w:tcPr>
            <w:tcW w:w="1560" w:type="dxa"/>
            <w:noWrap/>
            <w:hideMark/>
          </w:tcPr>
          <w:p w:rsidR="00A801AD" w:rsidRPr="00A801AD" w:rsidRDefault="00A801AD" w:rsidP="008A1CAE">
            <w:pPr>
              <w:jc w:val="center"/>
              <w:cnfStyle w:val="000000000000" w:firstRow="0" w:lastRow="0" w:firstColumn="0" w:lastColumn="0" w:oddVBand="0" w:evenVBand="0" w:oddHBand="0" w:evenHBand="0" w:firstRowFirstColumn="0" w:firstRowLastColumn="0" w:lastRowFirstColumn="0" w:lastRowLastColumn="0"/>
            </w:pPr>
            <w:r w:rsidRPr="00A801AD">
              <w:t>+</w:t>
            </w:r>
          </w:p>
        </w:tc>
        <w:tc>
          <w:tcPr>
            <w:tcW w:w="1111" w:type="dxa"/>
            <w:noWrap/>
            <w:hideMark/>
          </w:tcPr>
          <w:p w:rsidR="00A801AD" w:rsidRPr="00A801AD" w:rsidRDefault="00A801AD" w:rsidP="008A1CAE">
            <w:pPr>
              <w:jc w:val="center"/>
              <w:cnfStyle w:val="000000000000" w:firstRow="0" w:lastRow="0" w:firstColumn="0" w:lastColumn="0" w:oddVBand="0" w:evenVBand="0" w:oddHBand="0" w:evenHBand="0" w:firstRowFirstColumn="0" w:firstRowLastColumn="0" w:lastRowFirstColumn="0" w:lastRowLastColumn="0"/>
            </w:pPr>
            <w:r w:rsidRPr="00A801AD">
              <w:t>N.A</w:t>
            </w:r>
          </w:p>
        </w:tc>
        <w:tc>
          <w:tcPr>
            <w:tcW w:w="1446" w:type="dxa"/>
            <w:noWrap/>
            <w:hideMark/>
          </w:tcPr>
          <w:p w:rsidR="00A801AD" w:rsidRPr="00A801AD" w:rsidRDefault="00A801AD" w:rsidP="0010196D">
            <w:pPr>
              <w:jc w:val="center"/>
              <w:cnfStyle w:val="000000000000" w:firstRow="0" w:lastRow="0" w:firstColumn="0" w:lastColumn="0" w:oddVBand="0" w:evenVBand="0" w:oddHBand="0" w:evenHBand="0" w:firstRowFirstColumn="0" w:firstRowLastColumn="0" w:lastRowFirstColumn="0" w:lastRowLastColumn="0"/>
            </w:pPr>
            <w:r w:rsidRPr="00A801AD">
              <w:t>N.A.</w:t>
            </w:r>
          </w:p>
        </w:tc>
        <w:tc>
          <w:tcPr>
            <w:tcW w:w="1363" w:type="dxa"/>
            <w:noWrap/>
            <w:hideMark/>
          </w:tcPr>
          <w:p w:rsidR="00A801AD" w:rsidRPr="00A801AD" w:rsidRDefault="00A801AD" w:rsidP="0010196D">
            <w:pPr>
              <w:jc w:val="center"/>
              <w:cnfStyle w:val="000000000000" w:firstRow="0" w:lastRow="0" w:firstColumn="0" w:lastColumn="0" w:oddVBand="0" w:evenVBand="0" w:oddHBand="0" w:evenHBand="0" w:firstRowFirstColumn="0" w:firstRowLastColumn="0" w:lastRowFirstColumn="0" w:lastRowLastColumn="0"/>
            </w:pPr>
            <w:r w:rsidRPr="00A801AD">
              <w:t>N.A</w:t>
            </w:r>
          </w:p>
        </w:tc>
        <w:tc>
          <w:tcPr>
            <w:tcW w:w="1229" w:type="dxa"/>
            <w:noWrap/>
            <w:hideMark/>
          </w:tcPr>
          <w:p w:rsidR="00A801AD" w:rsidRPr="00A801AD" w:rsidRDefault="007E2144" w:rsidP="0010196D">
            <w:pPr>
              <w:jc w:val="center"/>
              <w:cnfStyle w:val="000000000000" w:firstRow="0" w:lastRow="0" w:firstColumn="0" w:lastColumn="0" w:oddVBand="0" w:evenVBand="0" w:oddHBand="0" w:evenHBand="0" w:firstRowFirstColumn="0" w:firstRowLastColumn="0" w:lastRowFirstColumn="0" w:lastRowLastColumn="0"/>
            </w:pPr>
            <w:r>
              <w:fldChar w:fldCharType="begin" w:fldLock="1"/>
            </w:r>
            <w:r w:rsidR="00037624">
              <w:instrText>ADDIN CSL_CITATION {"citationItems":[{"id":"ITEM-1","itemData":{"DOI":"10.1017/s1742758400017951","ISSN":"1742-7584","abstract":"Studies involved the evaluation of 2 types of pyrethroids and 2 controls in a single study village. 1277 bednets were distributed to 75% of 420 houses in the village, in July 1989, 378 were treated with lambda-cyhalothrin (Icon), 411 with deltamethrin and 331 were untreated. 336 people were not given any nets. Entomological evaluation showed that both pyrethroids have an excito-repellent and lethal effect on mosquito vector species (&lt;i&gt;Anopheles gambiae&lt;/i&gt; and &lt;i&gt;A. arabiensis&lt;/i&gt;). In an assessment of malaria reduction with children as the target group, those sleeping in deltamethrin treated houses showed a greater reduction in parasite rate (&lt;i&gt;Plasmodium falciparum&lt;/i&gt;) than those sleeping in lambda-cyhalothrin nets. The overall reduction of malaria parasite rate in school children examined was 68%. Biological efficacy in both pyrethroid treated nets persisted over a period of 6 months. Another added advantage was that the individual using the net was protected against mosquitoes and other pests such as cockroaches, fleas, lice and bedbugs.","author":[{"dropping-particle":"","family":"Njau","given":"R. J. A.","non-dropping-particle":"","parse-names":false,"suffix":""},{"dropping-particle":"","family":"Mosha","given":"F. W.","non-dropping-particle":"","parse-names":false,"suffix":""},{"dropping-particle":"","family":"Nguma","given":"J. F. M.","non-dropping-particle":"","parse-names":false,"suffix":""}],"container-title":"International Journal of Tropical Insect Science","id":"ITEM-1","issue":"5-6","issued":{"date-parts":[["1993"]]},"page":"575-584","title":"Field trials of pyrethroid impregnated bednets in northern Tanzania—1. Effect on malaria transmission","type":"article-journal","volume":"14"},"uris":["http://www.mendeley.com/documents/?uuid=4c46bd89-91f7-427d-9ed4-023ee2a1cca7"]}],"mendeley":{"formattedCitation":"[14]","plainTextFormattedCitation":"[14]","previouslyFormattedCitation":"[17]"},"properties":{"noteIndex":0},"schema":"https://github.com/citation-style-language/schema/raw/master/csl-citation.json"}</w:instrText>
            </w:r>
            <w:r>
              <w:fldChar w:fldCharType="separate"/>
            </w:r>
            <w:r w:rsidR="00037624" w:rsidRPr="00037624">
              <w:rPr>
                <w:noProof/>
              </w:rPr>
              <w:t>[14]</w:t>
            </w:r>
            <w:r>
              <w:fldChar w:fldCharType="end"/>
            </w:r>
          </w:p>
        </w:tc>
      </w:tr>
      <w:tr w:rsidR="007E2144" w:rsidRPr="00A801AD" w:rsidTr="008651A4">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405" w:type="dxa"/>
            <w:noWrap/>
            <w:hideMark/>
          </w:tcPr>
          <w:p w:rsidR="00A801AD" w:rsidRPr="00DD5362" w:rsidRDefault="00A801AD" w:rsidP="008A1CAE">
            <w:pPr>
              <w:spacing w:before="240"/>
            </w:pPr>
            <w:r w:rsidRPr="00DD5362">
              <w:t xml:space="preserve">Tanzania </w:t>
            </w:r>
          </w:p>
        </w:tc>
        <w:tc>
          <w:tcPr>
            <w:tcW w:w="2134" w:type="dxa"/>
            <w:noWrap/>
            <w:hideMark/>
          </w:tcPr>
          <w:p w:rsidR="00A801AD" w:rsidRPr="00A801AD" w:rsidRDefault="00A801AD" w:rsidP="008A1CAE">
            <w:pPr>
              <w:spacing w:before="240"/>
              <w:cnfStyle w:val="000000100000" w:firstRow="0" w:lastRow="0" w:firstColumn="0" w:lastColumn="0" w:oddVBand="0" w:evenVBand="0" w:oddHBand="1" w:evenHBand="0" w:firstRowFirstColumn="0" w:firstRowLastColumn="0" w:lastRowFirstColumn="0" w:lastRowLastColumn="0"/>
            </w:pPr>
            <w:proofErr w:type="spellStart"/>
            <w:r w:rsidRPr="00A801AD">
              <w:t>Muheza</w:t>
            </w:r>
            <w:proofErr w:type="spellEnd"/>
            <w:r w:rsidRPr="00A801AD">
              <w:t xml:space="preserve"> area (</w:t>
            </w:r>
            <w:proofErr w:type="spellStart"/>
            <w:r w:rsidRPr="00A801AD">
              <w:t>Mng'aza</w:t>
            </w:r>
            <w:proofErr w:type="spellEnd"/>
            <w:r w:rsidRPr="00A801AD">
              <w:t xml:space="preserve">, </w:t>
            </w:r>
            <w:proofErr w:type="spellStart"/>
            <w:r w:rsidRPr="00A801AD">
              <w:t>Milingano</w:t>
            </w:r>
            <w:proofErr w:type="spellEnd"/>
            <w:r w:rsidRPr="00A801AD">
              <w:t xml:space="preserve">, </w:t>
            </w:r>
            <w:proofErr w:type="spellStart"/>
            <w:r w:rsidRPr="00A801AD">
              <w:t>Umba</w:t>
            </w:r>
            <w:proofErr w:type="spellEnd"/>
            <w:r w:rsidRPr="00A801AD">
              <w:t xml:space="preserve"> </w:t>
            </w:r>
            <w:proofErr w:type="spellStart"/>
            <w:r w:rsidRPr="00A801AD">
              <w:t>villages</w:t>
            </w:r>
            <w:proofErr w:type="spellEnd"/>
            <w:r w:rsidRPr="00A801AD">
              <w:t>)</w:t>
            </w:r>
          </w:p>
        </w:tc>
        <w:tc>
          <w:tcPr>
            <w:tcW w:w="1843" w:type="dxa"/>
            <w:noWrap/>
            <w:hideMark/>
          </w:tcPr>
          <w:p w:rsidR="00A801AD" w:rsidRPr="00D829E4" w:rsidRDefault="00971174" w:rsidP="008A1CAE">
            <w:pPr>
              <w:spacing w:before="240"/>
              <w:cnfStyle w:val="000000100000" w:firstRow="0" w:lastRow="0" w:firstColumn="0" w:lastColumn="0" w:oddVBand="0" w:evenVBand="0" w:oddHBand="1" w:evenHBand="0" w:firstRowFirstColumn="0" w:firstRowLastColumn="0" w:lastRowFirstColumn="0" w:lastRowLastColumn="0"/>
              <w:rPr>
                <w:i/>
              </w:rPr>
            </w:pPr>
            <w:r w:rsidRPr="00D829E4">
              <w:rPr>
                <w:i/>
              </w:rPr>
              <w:t xml:space="preserve">A. </w:t>
            </w:r>
            <w:r w:rsidR="00A801AD" w:rsidRPr="00D829E4">
              <w:rPr>
                <w:i/>
              </w:rPr>
              <w:t xml:space="preserve">gambiae </w:t>
            </w:r>
            <w:proofErr w:type="spellStart"/>
            <w:r w:rsidR="00DD5362" w:rsidRPr="00DD5362">
              <w:t>s.s.</w:t>
            </w:r>
            <w:proofErr w:type="spellEnd"/>
          </w:p>
        </w:tc>
        <w:tc>
          <w:tcPr>
            <w:tcW w:w="1984" w:type="dxa"/>
            <w:noWrap/>
            <w:hideMark/>
          </w:tcPr>
          <w:p w:rsidR="00A801AD" w:rsidRPr="00D829E4" w:rsidRDefault="00971174" w:rsidP="00491DCF">
            <w:pPr>
              <w:spacing w:before="240"/>
              <w:cnfStyle w:val="000000100000" w:firstRow="0" w:lastRow="0" w:firstColumn="0" w:lastColumn="0" w:oddVBand="0" w:evenVBand="0" w:oddHBand="1" w:evenHBand="0" w:firstRowFirstColumn="0" w:firstRowLastColumn="0" w:lastRowFirstColumn="0" w:lastRowLastColumn="0"/>
              <w:rPr>
                <w:i/>
                <w:lang w:val="en-US"/>
              </w:rPr>
            </w:pPr>
            <w:r w:rsidRPr="00D829E4">
              <w:rPr>
                <w:i/>
                <w:lang w:val="en-US"/>
              </w:rPr>
              <w:t xml:space="preserve">A. </w:t>
            </w:r>
            <w:r w:rsidR="00A801AD" w:rsidRPr="00D829E4">
              <w:rPr>
                <w:i/>
                <w:lang w:val="en-US"/>
              </w:rPr>
              <w:t xml:space="preserve">gambiae </w:t>
            </w:r>
            <w:proofErr w:type="spellStart"/>
            <w:r w:rsidR="00A801AD" w:rsidRPr="00D829E4">
              <w:rPr>
                <w:i/>
                <w:lang w:val="en-US"/>
              </w:rPr>
              <w:t>s.s</w:t>
            </w:r>
            <w:r w:rsidR="00491DCF">
              <w:rPr>
                <w:i/>
                <w:lang w:val="en-US"/>
              </w:rPr>
              <w:t>.</w:t>
            </w:r>
            <w:proofErr w:type="spellEnd"/>
            <w:r w:rsidR="00A801AD" w:rsidRPr="00D829E4">
              <w:rPr>
                <w:i/>
                <w:lang w:val="en-US"/>
              </w:rPr>
              <w:t xml:space="preserve"> (reduced density)</w:t>
            </w:r>
          </w:p>
        </w:tc>
        <w:tc>
          <w:tcPr>
            <w:tcW w:w="1701" w:type="dxa"/>
            <w:noWrap/>
            <w:hideMark/>
          </w:tcPr>
          <w:p w:rsidR="00A801AD" w:rsidRPr="00971174" w:rsidRDefault="00491DCF" w:rsidP="00491DCF">
            <w:pPr>
              <w:spacing w:before="240"/>
              <w:jc w:val="center"/>
              <w:cnfStyle w:val="000000100000" w:firstRow="0" w:lastRow="0" w:firstColumn="0" w:lastColumn="0" w:oddVBand="0" w:evenVBand="0" w:oddHBand="1" w:evenHBand="0" w:firstRowFirstColumn="0" w:firstRowLastColumn="0" w:lastRowFirstColumn="0" w:lastRowLastColumn="0"/>
              <w:rPr>
                <w:lang w:val="en-US"/>
              </w:rPr>
            </w:pPr>
            <w:r>
              <w:rPr>
                <w:lang w:val="en-US"/>
              </w:rPr>
              <w:t>+</w:t>
            </w:r>
            <w:r>
              <w:rPr>
                <w:lang w:val="en-US"/>
              </w:rPr>
              <w:br/>
            </w:r>
            <w:r w:rsidR="00A801AD" w:rsidRPr="00971174">
              <w:rPr>
                <w:lang w:val="en-US"/>
              </w:rPr>
              <w:t>(</w:t>
            </w:r>
            <w:proofErr w:type="spellStart"/>
            <w:r w:rsidRPr="00971174">
              <w:rPr>
                <w:lang w:val="en-US"/>
              </w:rPr>
              <w:t>Milingano</w:t>
            </w:r>
            <w:proofErr w:type="spellEnd"/>
            <w:r w:rsidRPr="00971174">
              <w:rPr>
                <w:lang w:val="en-US"/>
              </w:rPr>
              <w:t xml:space="preserve"> </w:t>
            </w:r>
            <w:r>
              <w:rPr>
                <w:lang w:val="en-US"/>
              </w:rPr>
              <w:t>only</w:t>
            </w:r>
            <w:r w:rsidR="00A801AD" w:rsidRPr="00971174">
              <w:rPr>
                <w:lang w:val="en-US"/>
              </w:rPr>
              <w:t>)</w:t>
            </w:r>
          </w:p>
        </w:tc>
        <w:tc>
          <w:tcPr>
            <w:tcW w:w="1560" w:type="dxa"/>
            <w:noWrap/>
            <w:hideMark/>
          </w:tcPr>
          <w:p w:rsidR="00A801AD" w:rsidRPr="00971174" w:rsidRDefault="00491DCF" w:rsidP="00491DCF">
            <w:pPr>
              <w:spacing w:before="240"/>
              <w:jc w:val="center"/>
              <w:cnfStyle w:val="000000100000" w:firstRow="0" w:lastRow="0" w:firstColumn="0" w:lastColumn="0" w:oddVBand="0" w:evenVBand="0" w:oddHBand="1" w:evenHBand="0" w:firstRowFirstColumn="0" w:firstRowLastColumn="0" w:lastRowFirstColumn="0" w:lastRowLastColumn="0"/>
              <w:rPr>
                <w:lang w:val="en-US"/>
              </w:rPr>
            </w:pPr>
            <w:r>
              <w:rPr>
                <w:lang w:val="en-US"/>
              </w:rPr>
              <w:t>+</w:t>
            </w:r>
            <w:r>
              <w:rPr>
                <w:lang w:val="en-US"/>
              </w:rPr>
              <w:br/>
              <w:t>(</w:t>
            </w:r>
            <w:proofErr w:type="spellStart"/>
            <w:r w:rsidR="00A801AD" w:rsidRPr="00971174">
              <w:rPr>
                <w:lang w:val="en-US"/>
              </w:rPr>
              <w:t>Mng'aza</w:t>
            </w:r>
            <w:proofErr w:type="spellEnd"/>
            <w:r>
              <w:rPr>
                <w:lang w:val="en-US"/>
              </w:rPr>
              <w:t xml:space="preserve"> only</w:t>
            </w:r>
            <w:r w:rsidR="00A801AD" w:rsidRPr="00971174">
              <w:rPr>
                <w:lang w:val="en-US"/>
              </w:rPr>
              <w:t>)</w:t>
            </w:r>
          </w:p>
        </w:tc>
        <w:tc>
          <w:tcPr>
            <w:tcW w:w="1111" w:type="dxa"/>
            <w:noWrap/>
            <w:hideMark/>
          </w:tcPr>
          <w:p w:rsidR="00A801AD" w:rsidRPr="00971174" w:rsidRDefault="00A801AD" w:rsidP="008A1CAE">
            <w:pPr>
              <w:spacing w:before="240"/>
              <w:jc w:val="center"/>
              <w:cnfStyle w:val="000000100000" w:firstRow="0" w:lastRow="0" w:firstColumn="0" w:lastColumn="0" w:oddVBand="0" w:evenVBand="0" w:oddHBand="1" w:evenHBand="0" w:firstRowFirstColumn="0" w:firstRowLastColumn="0" w:lastRowFirstColumn="0" w:lastRowLastColumn="0"/>
              <w:rPr>
                <w:lang w:val="en-US"/>
              </w:rPr>
            </w:pPr>
            <w:r w:rsidRPr="00971174">
              <w:rPr>
                <w:lang w:val="en-US"/>
              </w:rPr>
              <w:t>no</w:t>
            </w:r>
          </w:p>
        </w:tc>
        <w:tc>
          <w:tcPr>
            <w:tcW w:w="1446" w:type="dxa"/>
            <w:noWrap/>
            <w:hideMark/>
          </w:tcPr>
          <w:p w:rsidR="00A801AD" w:rsidRPr="00971174" w:rsidRDefault="00A801AD" w:rsidP="0010196D">
            <w:pPr>
              <w:spacing w:before="240"/>
              <w:jc w:val="center"/>
              <w:cnfStyle w:val="000000100000" w:firstRow="0" w:lastRow="0" w:firstColumn="0" w:lastColumn="0" w:oddVBand="0" w:evenVBand="0" w:oddHBand="1" w:evenHBand="0" w:firstRowFirstColumn="0" w:firstRowLastColumn="0" w:lastRowFirstColumn="0" w:lastRowLastColumn="0"/>
              <w:rPr>
                <w:lang w:val="en-US"/>
              </w:rPr>
            </w:pPr>
            <w:r w:rsidRPr="00971174">
              <w:rPr>
                <w:lang w:val="en-US"/>
              </w:rPr>
              <w:t>5.3-5.1%</w:t>
            </w:r>
          </w:p>
        </w:tc>
        <w:tc>
          <w:tcPr>
            <w:tcW w:w="1363" w:type="dxa"/>
            <w:noWrap/>
            <w:hideMark/>
          </w:tcPr>
          <w:p w:rsidR="00A801AD" w:rsidRPr="00971174" w:rsidRDefault="00A801AD" w:rsidP="0010196D">
            <w:pPr>
              <w:spacing w:before="240"/>
              <w:jc w:val="center"/>
              <w:cnfStyle w:val="000000100000" w:firstRow="0" w:lastRow="0" w:firstColumn="0" w:lastColumn="0" w:oddVBand="0" w:evenVBand="0" w:oddHBand="1" w:evenHBand="0" w:firstRowFirstColumn="0" w:firstRowLastColumn="0" w:lastRowFirstColumn="0" w:lastRowLastColumn="0"/>
              <w:rPr>
                <w:lang w:val="en-US"/>
              </w:rPr>
            </w:pPr>
            <w:r w:rsidRPr="00971174">
              <w:rPr>
                <w:lang w:val="en-US"/>
              </w:rPr>
              <w:t>1</w:t>
            </w:r>
            <w:r w:rsidR="0010196D">
              <w:rPr>
                <w:lang w:val="en-US"/>
              </w:rPr>
              <w:t>.3</w:t>
            </w:r>
            <w:r w:rsidRPr="00971174">
              <w:rPr>
                <w:lang w:val="en-US"/>
              </w:rPr>
              <w:t>-2.3%</w:t>
            </w:r>
          </w:p>
        </w:tc>
        <w:tc>
          <w:tcPr>
            <w:tcW w:w="1229" w:type="dxa"/>
            <w:noWrap/>
            <w:hideMark/>
          </w:tcPr>
          <w:p w:rsidR="00A801AD" w:rsidRPr="00A801AD" w:rsidRDefault="007E2144" w:rsidP="0010196D">
            <w:pPr>
              <w:spacing w:before="240"/>
              <w:jc w:val="center"/>
              <w:cnfStyle w:val="000000100000" w:firstRow="0" w:lastRow="0" w:firstColumn="0" w:lastColumn="0" w:oddVBand="0" w:evenVBand="0" w:oddHBand="1" w:evenHBand="0" w:firstRowFirstColumn="0" w:firstRowLastColumn="0" w:lastRowFirstColumn="0" w:lastRowLastColumn="0"/>
            </w:pPr>
            <w:r>
              <w:fldChar w:fldCharType="begin" w:fldLock="1"/>
            </w:r>
            <w:r w:rsidR="00037624">
              <w:rPr>
                <w:lang w:val="en-US"/>
              </w:rPr>
              <w:instrText>ADDIN CSL_CITATION {"citationItems":[{"id":"ITEM-1","itemData":{"DOI":"10.1016/0001-706X(91)90057-Q","author":[{"dropping-particle":"","family":"Magesa","given":"S M","non-dropping-particle":"","parse-names":false,"suffix":""},{"dropping-particle":"","family":"Wilkes","given":"T J","non-dropping-particle":"","parse-names":false,"suffix":""},{"dropping-particle":"","family":"Mnzava","given":"A E P","non-dropping-particle":"","parse-names":false,"suffix":""},{"dropping-particle":"","family":"Njunwa","given":"K J","non-dropping-particle":"","parse-names":false,"suffix":""},{"dropping-particle":"","family":"Myamba","given":"J","non-dropping-particle":"","parse-names":false,"suffix":""},{"dropping-particle":"","family":"Kivuyo","given":"M D P","non-dropping-particle":"","parse-names":false,"suffix":""},{"dropping-particle":"","family":"Hill","given":"N","non-dropping-particle":"","parse-names":false,"suffix":""},{"dropping-particle":"","family":"Lines","given":"J D","non-dropping-particle":"","parse-names":false,"suffix":""},{"dropping-particle":"","family":"Curtis","given":"C F","non-dropping-particle":"","parse-names":false,"suffix":""}],"container-title":"Acta Trop","id":"ITEM-1","issued":{"date-parts":[["1991"]]},"title":"Trial of pyrethroid impregnated bednets in an area of Tanzania holoendemic for malaria. Part 2. Effects on the malaria vector population","type":"article-journal","volume":"49"},"uris":["http://www.mendeley.com/documents/?uuid=6719bb72-4b69-4d48-b0c9-317d754db58a"]}],"mendeley":{"formattedCitation":"[15]","plainTextFormattedCitation":"[15]","previouslyFormattedCitation":"[18]"},"properties":{"noteIndex":0},"schema":"https://github.com/citation-style-language/schema/raw/master/csl-citation.json"}</w:instrText>
            </w:r>
            <w:r>
              <w:fldChar w:fldCharType="separate"/>
            </w:r>
            <w:r w:rsidR="00037624" w:rsidRPr="00037624">
              <w:rPr>
                <w:noProof/>
              </w:rPr>
              <w:t>[15]</w:t>
            </w:r>
            <w:r>
              <w:fldChar w:fldCharType="end"/>
            </w:r>
          </w:p>
        </w:tc>
      </w:tr>
    </w:tbl>
    <w:p w:rsidR="008A1CAE" w:rsidRDefault="008A1CAE" w:rsidP="008A1CAE">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mirrorIndents/>
        <w:jc w:val="both"/>
        <w:rPr>
          <w:rFonts w:eastAsia="Times New Roman" w:cstheme="minorHAnsi"/>
          <w:b/>
          <w:sz w:val="28"/>
          <w:szCs w:val="28"/>
          <w:lang w:val="en-GB" w:eastAsia="it-IT"/>
        </w:rPr>
      </w:pPr>
      <w:r>
        <w:rPr>
          <w:rFonts w:eastAsia="Times New Roman" w:cstheme="minorHAnsi"/>
          <w:b/>
          <w:sz w:val="28"/>
          <w:szCs w:val="28"/>
          <w:lang w:val="en-GB" w:eastAsia="it-IT"/>
        </w:rPr>
        <w:t>Additional</w:t>
      </w:r>
      <w:r w:rsidR="00A5098F">
        <w:rPr>
          <w:rFonts w:eastAsia="Times New Roman" w:cstheme="minorHAnsi"/>
          <w:b/>
          <w:sz w:val="28"/>
          <w:szCs w:val="28"/>
          <w:lang w:val="en-GB" w:eastAsia="it-IT"/>
        </w:rPr>
        <w:t xml:space="preserve"> file 2</w:t>
      </w:r>
    </w:p>
    <w:p w:rsidR="00491DCF" w:rsidRDefault="00491DCF" w:rsidP="008A1CAE">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mirrorIndents/>
        <w:jc w:val="both"/>
        <w:rPr>
          <w:rFonts w:eastAsia="Times New Roman" w:cstheme="minorHAnsi"/>
          <w:b/>
          <w:sz w:val="24"/>
          <w:szCs w:val="28"/>
          <w:lang w:val="en-GB" w:eastAsia="it-IT"/>
        </w:rPr>
      </w:pPr>
    </w:p>
    <w:p w:rsidR="008A1CAE" w:rsidRPr="00491DCF" w:rsidRDefault="00491DCF" w:rsidP="008A1CAE">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mirrorIndents/>
        <w:jc w:val="both"/>
        <w:rPr>
          <w:rFonts w:eastAsia="Times New Roman" w:cstheme="minorHAnsi"/>
          <w:b/>
          <w:sz w:val="24"/>
          <w:szCs w:val="28"/>
          <w:lang w:val="en-GB" w:eastAsia="it-IT"/>
        </w:rPr>
      </w:pPr>
      <w:r w:rsidRPr="00491DCF">
        <w:rPr>
          <w:rFonts w:eastAsia="Times New Roman" w:cstheme="minorHAnsi"/>
          <w:b/>
          <w:sz w:val="24"/>
          <w:szCs w:val="28"/>
          <w:lang w:val="en-GB" w:eastAsia="it-IT"/>
        </w:rPr>
        <w:t>Table S3.</w:t>
      </w:r>
      <w:r w:rsidR="008A1CAE" w:rsidRPr="00491DCF">
        <w:rPr>
          <w:rFonts w:eastAsia="Times New Roman" w:cstheme="minorHAnsi"/>
          <w:b/>
          <w:sz w:val="24"/>
          <w:szCs w:val="28"/>
          <w:lang w:val="en-GB" w:eastAsia="it-IT"/>
        </w:rPr>
        <w:t xml:space="preserve"> </w:t>
      </w:r>
      <w:r w:rsidR="008A1CAE" w:rsidRPr="00491DCF">
        <w:rPr>
          <w:rFonts w:eastAsia="Times New Roman" w:cstheme="minorHAnsi"/>
          <w:sz w:val="24"/>
          <w:szCs w:val="28"/>
          <w:lang w:val="en-GB" w:eastAsia="it-IT"/>
        </w:rPr>
        <w:t xml:space="preserve">Changing in biting behaviour (time, </w:t>
      </w:r>
      <w:proofErr w:type="spellStart"/>
      <w:r w:rsidR="008A1CAE" w:rsidRPr="00491DCF">
        <w:rPr>
          <w:rFonts w:eastAsia="Times New Roman" w:cstheme="minorHAnsi"/>
          <w:sz w:val="24"/>
          <w:szCs w:val="28"/>
          <w:lang w:val="en-GB" w:eastAsia="it-IT"/>
        </w:rPr>
        <w:t>exophagy</w:t>
      </w:r>
      <w:proofErr w:type="spellEnd"/>
      <w:r w:rsidR="008A1CAE" w:rsidRPr="00491DCF">
        <w:rPr>
          <w:rFonts w:eastAsia="Times New Roman" w:cstheme="minorHAnsi"/>
          <w:sz w:val="24"/>
          <w:szCs w:val="28"/>
          <w:lang w:val="en-GB" w:eastAsia="it-IT"/>
        </w:rPr>
        <w:t xml:space="preserve"> and </w:t>
      </w:r>
      <w:proofErr w:type="spellStart"/>
      <w:r w:rsidR="008A1CAE" w:rsidRPr="00491DCF">
        <w:rPr>
          <w:rFonts w:eastAsia="Times New Roman" w:cstheme="minorHAnsi"/>
          <w:sz w:val="24"/>
          <w:szCs w:val="28"/>
          <w:lang w:val="en-GB" w:eastAsia="it-IT"/>
        </w:rPr>
        <w:t>zoophagy</w:t>
      </w:r>
      <w:proofErr w:type="spellEnd"/>
      <w:r w:rsidR="008A1CAE" w:rsidRPr="00491DCF">
        <w:rPr>
          <w:rFonts w:eastAsia="Times New Roman" w:cstheme="minorHAnsi"/>
          <w:sz w:val="24"/>
          <w:szCs w:val="28"/>
          <w:lang w:val="en-GB" w:eastAsia="it-IT"/>
        </w:rPr>
        <w:t xml:space="preserve">), species dominance and sporozoite rate of </w:t>
      </w:r>
      <w:r w:rsidR="008A1CAE" w:rsidRPr="00491DCF">
        <w:rPr>
          <w:rFonts w:eastAsia="Times New Roman" w:cstheme="minorHAnsi"/>
          <w:i/>
          <w:sz w:val="24"/>
          <w:szCs w:val="28"/>
          <w:lang w:val="en-GB" w:eastAsia="it-IT"/>
        </w:rPr>
        <w:t>A. gambiae</w:t>
      </w:r>
      <w:r w:rsidR="008A1CAE" w:rsidRPr="00491DCF">
        <w:rPr>
          <w:rFonts w:eastAsia="Times New Roman" w:cstheme="minorHAnsi"/>
          <w:sz w:val="24"/>
          <w:szCs w:val="28"/>
          <w:lang w:val="en-GB" w:eastAsia="it-IT"/>
        </w:rPr>
        <w:t xml:space="preserve"> </w:t>
      </w:r>
      <w:r w:rsidRPr="00491DCF">
        <w:rPr>
          <w:rFonts w:eastAsia="Times New Roman" w:cstheme="minorHAnsi"/>
          <w:sz w:val="24"/>
          <w:szCs w:val="28"/>
          <w:lang w:val="en-GB" w:eastAsia="it-IT"/>
        </w:rPr>
        <w:t>complex species</w:t>
      </w:r>
      <w:r w:rsidR="008A1CAE" w:rsidRPr="00491DCF">
        <w:rPr>
          <w:rFonts w:eastAsia="Times New Roman" w:cstheme="minorHAnsi"/>
          <w:sz w:val="24"/>
          <w:szCs w:val="28"/>
          <w:lang w:val="en-GB" w:eastAsia="it-IT"/>
        </w:rPr>
        <w:t xml:space="preserve"> after LLIN/ITN introduction in </w:t>
      </w:r>
      <w:r w:rsidR="00B47985" w:rsidRPr="00491DCF">
        <w:rPr>
          <w:rFonts w:eastAsia="Times New Roman" w:cstheme="minorHAnsi"/>
          <w:sz w:val="24"/>
          <w:szCs w:val="28"/>
          <w:lang w:val="en-GB" w:eastAsia="it-IT"/>
        </w:rPr>
        <w:t>sub-Saharan</w:t>
      </w:r>
      <w:r w:rsidR="008A1CAE" w:rsidRPr="00491DCF">
        <w:rPr>
          <w:rFonts w:eastAsia="Times New Roman" w:cstheme="minorHAnsi"/>
          <w:sz w:val="24"/>
          <w:szCs w:val="28"/>
          <w:lang w:val="en-GB" w:eastAsia="it-IT"/>
        </w:rPr>
        <w:t xml:space="preserve"> countries</w:t>
      </w:r>
      <w:r w:rsidR="00B47985" w:rsidRPr="00491DCF">
        <w:rPr>
          <w:rFonts w:eastAsia="Times New Roman" w:cstheme="minorHAnsi"/>
          <w:sz w:val="24"/>
          <w:szCs w:val="28"/>
          <w:lang w:val="en-GB" w:eastAsia="it-IT"/>
        </w:rPr>
        <w:t>.</w:t>
      </w:r>
      <w:r>
        <w:rPr>
          <w:rFonts w:eastAsia="Times New Roman" w:cstheme="minorHAnsi"/>
          <w:sz w:val="24"/>
          <w:szCs w:val="28"/>
          <w:lang w:val="en-GB" w:eastAsia="it-IT"/>
        </w:rPr>
        <w:t xml:space="preserve"> N.A.: information not available; SR: sporozoite rate; </w:t>
      </w:r>
    </w:p>
    <w:p w:rsidR="0010196D" w:rsidRDefault="0010196D">
      <w:pPr>
        <w:rPr>
          <w:rFonts w:cstheme="minorHAnsi"/>
          <w:b/>
          <w:sz w:val="24"/>
          <w:szCs w:val="24"/>
          <w:shd w:val="clear" w:color="auto" w:fill="FFFFFF"/>
          <w:lang w:val="en-GB"/>
        </w:rPr>
      </w:pPr>
    </w:p>
    <w:p w:rsidR="007E2144" w:rsidRPr="00F14654" w:rsidRDefault="007E2144">
      <w:pPr>
        <w:rPr>
          <w:rFonts w:cstheme="minorHAnsi"/>
          <w:b/>
          <w:sz w:val="24"/>
          <w:szCs w:val="24"/>
          <w:shd w:val="clear" w:color="auto" w:fill="FFFFFF"/>
          <w:lang w:val="en-GB"/>
        </w:rPr>
      </w:pPr>
      <w:r w:rsidRPr="00F14654">
        <w:rPr>
          <w:rFonts w:cstheme="minorHAnsi"/>
          <w:b/>
          <w:sz w:val="24"/>
          <w:szCs w:val="24"/>
          <w:shd w:val="clear" w:color="auto" w:fill="FFFFFF"/>
          <w:lang w:val="en-GB"/>
        </w:rPr>
        <w:t>References</w:t>
      </w:r>
    </w:p>
    <w:p w:rsidR="00037624" w:rsidRPr="000866C8" w:rsidRDefault="00A801AD" w:rsidP="00037624">
      <w:pPr>
        <w:widowControl w:val="0"/>
        <w:autoSpaceDE w:val="0"/>
        <w:autoSpaceDN w:val="0"/>
        <w:adjustRightInd w:val="0"/>
        <w:spacing w:line="240" w:lineRule="auto"/>
        <w:rPr>
          <w:rFonts w:ascii="Calibri" w:hAnsi="Calibri" w:cs="Calibri"/>
          <w:noProof/>
          <w:sz w:val="24"/>
          <w:szCs w:val="24"/>
          <w:lang w:val="en-GB"/>
        </w:rPr>
      </w:pPr>
      <w:r w:rsidRPr="00B27294">
        <w:rPr>
          <w:rFonts w:cstheme="minorHAnsi"/>
          <w:sz w:val="24"/>
          <w:szCs w:val="24"/>
          <w:shd w:val="clear" w:color="auto" w:fill="FFFFFF"/>
          <w:lang w:val="en-GB"/>
        </w:rPr>
        <w:fldChar w:fldCharType="begin" w:fldLock="1"/>
      </w:r>
      <w:r w:rsidRPr="00B27294">
        <w:rPr>
          <w:rFonts w:cstheme="minorHAnsi"/>
          <w:sz w:val="24"/>
          <w:szCs w:val="24"/>
          <w:shd w:val="clear" w:color="auto" w:fill="FFFFFF"/>
          <w:lang w:val="en-GB"/>
        </w:rPr>
        <w:instrText xml:space="preserve">ADDIN Mendeley Bibliography CSL_BIBLIOGRAPHY </w:instrText>
      </w:r>
      <w:r w:rsidRPr="00B27294">
        <w:rPr>
          <w:rFonts w:cstheme="minorHAnsi"/>
          <w:sz w:val="24"/>
          <w:szCs w:val="24"/>
          <w:shd w:val="clear" w:color="auto" w:fill="FFFFFF"/>
          <w:lang w:val="en-GB"/>
        </w:rPr>
        <w:fldChar w:fldCharType="separate"/>
      </w:r>
      <w:r w:rsidR="00037624" w:rsidRPr="000866C8">
        <w:rPr>
          <w:rFonts w:ascii="Calibri" w:hAnsi="Calibri" w:cs="Calibri"/>
          <w:noProof/>
          <w:sz w:val="24"/>
          <w:szCs w:val="24"/>
          <w:lang w:val="en-GB"/>
        </w:rPr>
        <w:t xml:space="preserve">1. Reddy MR, Overgaard HJ, Abaga S, Reddy VP, Caccone A, Kiszewski AE, et al. Outdoor host seeking behaviour of Anopheles gambiae mosquitoes following initiation of malaria vector control on Bioko Island, Equatorial Guinea. Malar J. BioMed Central Ltd; 2011;10:184. </w:t>
      </w:r>
    </w:p>
    <w:p w:rsidR="00037624" w:rsidRPr="000866C8" w:rsidRDefault="00037624" w:rsidP="00037624">
      <w:pPr>
        <w:widowControl w:val="0"/>
        <w:autoSpaceDE w:val="0"/>
        <w:autoSpaceDN w:val="0"/>
        <w:adjustRightInd w:val="0"/>
        <w:spacing w:line="240" w:lineRule="auto"/>
        <w:rPr>
          <w:rFonts w:ascii="Calibri" w:hAnsi="Calibri" w:cs="Calibri"/>
          <w:noProof/>
          <w:sz w:val="24"/>
          <w:szCs w:val="24"/>
          <w:lang w:val="en-GB"/>
        </w:rPr>
      </w:pPr>
      <w:r w:rsidRPr="000866C8">
        <w:rPr>
          <w:rFonts w:ascii="Calibri" w:hAnsi="Calibri" w:cs="Calibri"/>
          <w:noProof/>
          <w:sz w:val="24"/>
          <w:szCs w:val="24"/>
          <w:lang w:val="en-GB"/>
        </w:rPr>
        <w:t xml:space="preserve">2. Sougoufara S, Thiaw O, Cailleau A, Diagne N, Harry M, Bouganali C, et al. The impact of periodic distribution campaigns of long-lasting insecticidal-treated bed nets on malaria vector dynamics and human exposure in Dielmo, Senegal. Am J Trop Med Hyg. 2018;98:1343–52. </w:t>
      </w:r>
    </w:p>
    <w:p w:rsidR="00037624" w:rsidRPr="000866C8" w:rsidRDefault="00037624" w:rsidP="00037624">
      <w:pPr>
        <w:widowControl w:val="0"/>
        <w:autoSpaceDE w:val="0"/>
        <w:autoSpaceDN w:val="0"/>
        <w:adjustRightInd w:val="0"/>
        <w:spacing w:line="240" w:lineRule="auto"/>
        <w:rPr>
          <w:rFonts w:ascii="Calibri" w:hAnsi="Calibri" w:cs="Calibri"/>
          <w:noProof/>
          <w:sz w:val="24"/>
          <w:szCs w:val="24"/>
          <w:lang w:val="en-GB"/>
        </w:rPr>
      </w:pPr>
      <w:r w:rsidRPr="000866C8">
        <w:rPr>
          <w:rFonts w:ascii="Calibri" w:hAnsi="Calibri" w:cs="Calibri"/>
          <w:noProof/>
          <w:sz w:val="24"/>
          <w:szCs w:val="24"/>
          <w:lang w:val="en-GB"/>
        </w:rPr>
        <w:lastRenderedPageBreak/>
        <w:t xml:space="preserve">3. Mbogo CNM, Baya NM, Ofulla AVO, Githure JI, Snow RW. The impact of permethrin-impregnated bednets on malaria vectors of the Kenyan coast. Med Vet Entomol. 1996;10:251–9. </w:t>
      </w:r>
    </w:p>
    <w:p w:rsidR="00037624" w:rsidRPr="000866C8" w:rsidRDefault="00037624" w:rsidP="00037624">
      <w:pPr>
        <w:widowControl w:val="0"/>
        <w:autoSpaceDE w:val="0"/>
        <w:autoSpaceDN w:val="0"/>
        <w:adjustRightInd w:val="0"/>
        <w:spacing w:line="240" w:lineRule="auto"/>
        <w:rPr>
          <w:rFonts w:ascii="Calibri" w:hAnsi="Calibri" w:cs="Calibri"/>
          <w:noProof/>
          <w:sz w:val="24"/>
          <w:szCs w:val="24"/>
          <w:lang w:val="en-GB"/>
        </w:rPr>
      </w:pPr>
      <w:r w:rsidRPr="000866C8">
        <w:rPr>
          <w:rFonts w:ascii="Calibri" w:hAnsi="Calibri" w:cs="Calibri"/>
          <w:noProof/>
          <w:sz w:val="24"/>
          <w:szCs w:val="24"/>
          <w:lang w:val="en-GB"/>
        </w:rPr>
        <w:t xml:space="preserve">4. Mwangangi JM, Mbogo CM, Orindi BO, Muturi EJ, Midega JT, Nzovu J, et al. Shifts in malaria vector species composition and transmission dynamics along the Kenyan coast over the past 20 years. Malar J. 2013;12:1–9. </w:t>
      </w:r>
    </w:p>
    <w:p w:rsidR="00037624" w:rsidRPr="000866C8" w:rsidRDefault="00037624" w:rsidP="00037624">
      <w:pPr>
        <w:widowControl w:val="0"/>
        <w:autoSpaceDE w:val="0"/>
        <w:autoSpaceDN w:val="0"/>
        <w:adjustRightInd w:val="0"/>
        <w:spacing w:line="240" w:lineRule="auto"/>
        <w:rPr>
          <w:rFonts w:ascii="Calibri" w:hAnsi="Calibri" w:cs="Calibri"/>
          <w:noProof/>
          <w:sz w:val="24"/>
          <w:szCs w:val="24"/>
          <w:lang w:val="en-GB"/>
        </w:rPr>
      </w:pPr>
      <w:r w:rsidRPr="000866C8">
        <w:rPr>
          <w:rFonts w:ascii="Calibri" w:hAnsi="Calibri" w:cs="Calibri"/>
          <w:noProof/>
          <w:sz w:val="24"/>
          <w:szCs w:val="24"/>
          <w:lang w:val="en-GB"/>
        </w:rPr>
        <w:t xml:space="preserve">5. Mutuku FM, King CH, Mungai P, Mbogo C, Mwangangi J, Muchiri EM, et al. Impact of insecticide-treated bed nets on malaria transmission indices on the south coast of Kenya. Malar J. BioMed Central Ltd; 2011;10:356. </w:t>
      </w:r>
    </w:p>
    <w:p w:rsidR="00037624" w:rsidRPr="000866C8" w:rsidRDefault="00037624" w:rsidP="00037624">
      <w:pPr>
        <w:widowControl w:val="0"/>
        <w:autoSpaceDE w:val="0"/>
        <w:autoSpaceDN w:val="0"/>
        <w:adjustRightInd w:val="0"/>
        <w:spacing w:line="240" w:lineRule="auto"/>
        <w:rPr>
          <w:rFonts w:ascii="Calibri" w:hAnsi="Calibri" w:cs="Calibri"/>
          <w:noProof/>
          <w:sz w:val="24"/>
          <w:szCs w:val="24"/>
          <w:lang w:val="en-GB"/>
        </w:rPr>
      </w:pPr>
      <w:r w:rsidRPr="000866C8">
        <w:rPr>
          <w:rFonts w:ascii="Calibri" w:hAnsi="Calibri" w:cs="Calibri"/>
          <w:noProof/>
          <w:sz w:val="24"/>
          <w:szCs w:val="24"/>
          <w:lang w:val="en-GB"/>
        </w:rPr>
        <w:t xml:space="preserve">6. Mbogo CM, Mwangangi JM, Nzovu JG, Gu W, Yan G, Gunter JT, et al. Spatial and temporal heterogeneity of Anopheles mosquitoes and Plasmodium falciparum transmission along the Kenyan coast. Am J Trop Med Hyg. 2003;68:734–42. </w:t>
      </w:r>
    </w:p>
    <w:p w:rsidR="00037624" w:rsidRPr="000866C8" w:rsidRDefault="00037624" w:rsidP="00037624">
      <w:pPr>
        <w:widowControl w:val="0"/>
        <w:autoSpaceDE w:val="0"/>
        <w:autoSpaceDN w:val="0"/>
        <w:adjustRightInd w:val="0"/>
        <w:spacing w:line="240" w:lineRule="auto"/>
        <w:rPr>
          <w:rFonts w:ascii="Calibri" w:hAnsi="Calibri" w:cs="Calibri"/>
          <w:noProof/>
          <w:sz w:val="24"/>
          <w:szCs w:val="24"/>
          <w:lang w:val="en-GB"/>
        </w:rPr>
      </w:pPr>
      <w:r w:rsidRPr="000866C8">
        <w:rPr>
          <w:rFonts w:ascii="Calibri" w:hAnsi="Calibri" w:cs="Calibri"/>
          <w:noProof/>
          <w:sz w:val="24"/>
          <w:szCs w:val="24"/>
          <w:lang w:val="en-GB"/>
        </w:rPr>
        <w:t xml:space="preserve">7. Bayoh MN, Walker ED, Kosgei J, Ombok M, Olang GB, Githeko AK, et al. Persistently high estimates of late night, indoor exposure to malaria vectors despite high coverage of insecticide treated nets. Parasites and Vectors. 2014;7:1–13. </w:t>
      </w:r>
    </w:p>
    <w:p w:rsidR="00037624" w:rsidRPr="000866C8" w:rsidRDefault="00037624" w:rsidP="00037624">
      <w:pPr>
        <w:widowControl w:val="0"/>
        <w:autoSpaceDE w:val="0"/>
        <w:autoSpaceDN w:val="0"/>
        <w:adjustRightInd w:val="0"/>
        <w:spacing w:line="240" w:lineRule="auto"/>
        <w:rPr>
          <w:rFonts w:ascii="Calibri" w:hAnsi="Calibri" w:cs="Calibri"/>
          <w:noProof/>
          <w:sz w:val="24"/>
          <w:szCs w:val="24"/>
          <w:lang w:val="en-GB"/>
        </w:rPr>
      </w:pPr>
      <w:r w:rsidRPr="000866C8">
        <w:rPr>
          <w:rFonts w:ascii="Calibri" w:hAnsi="Calibri" w:cs="Calibri"/>
          <w:noProof/>
          <w:sz w:val="24"/>
          <w:szCs w:val="24"/>
          <w:lang w:val="en-GB"/>
        </w:rPr>
        <w:t xml:space="preserve">8. Lindblade KA, Gimnig JE, Kamau L, Hawley WA, Odhiambo F, Olang G, et al. Impact of Sustained Use of Insecticide-Treated Bednets on Malaria Vector Species Distribution and Culicine Mosquitoes. J Med Entomol. 2006;43:428–32. </w:t>
      </w:r>
    </w:p>
    <w:p w:rsidR="00037624" w:rsidRPr="000866C8" w:rsidRDefault="00037624" w:rsidP="00037624">
      <w:pPr>
        <w:widowControl w:val="0"/>
        <w:autoSpaceDE w:val="0"/>
        <w:autoSpaceDN w:val="0"/>
        <w:adjustRightInd w:val="0"/>
        <w:spacing w:line="240" w:lineRule="auto"/>
        <w:rPr>
          <w:rFonts w:ascii="Calibri" w:hAnsi="Calibri" w:cs="Calibri"/>
          <w:noProof/>
          <w:sz w:val="24"/>
          <w:szCs w:val="24"/>
          <w:lang w:val="en-GB"/>
        </w:rPr>
      </w:pPr>
      <w:r w:rsidRPr="000866C8">
        <w:rPr>
          <w:rFonts w:ascii="Calibri" w:hAnsi="Calibri" w:cs="Calibri"/>
          <w:noProof/>
          <w:sz w:val="24"/>
          <w:szCs w:val="24"/>
          <w:lang w:val="en-GB"/>
        </w:rPr>
        <w:t xml:space="preserve">9. Bayoh MN, Mathias DK, Odiere MR, Mutuku FM, Kamau L, Gimnig JE, et al. Anopheles gambiae: Historical population decline associated with regional distribution of insecticide-treated bed nets in western Nyanza Province, Kenya. Malar J. 2010;9:1–12. </w:t>
      </w:r>
    </w:p>
    <w:p w:rsidR="00037624" w:rsidRPr="000866C8" w:rsidRDefault="00037624" w:rsidP="00037624">
      <w:pPr>
        <w:widowControl w:val="0"/>
        <w:autoSpaceDE w:val="0"/>
        <w:autoSpaceDN w:val="0"/>
        <w:adjustRightInd w:val="0"/>
        <w:spacing w:line="240" w:lineRule="auto"/>
        <w:rPr>
          <w:rFonts w:ascii="Calibri" w:hAnsi="Calibri" w:cs="Calibri"/>
          <w:noProof/>
          <w:sz w:val="24"/>
          <w:szCs w:val="24"/>
          <w:lang w:val="en-GB"/>
        </w:rPr>
      </w:pPr>
      <w:r w:rsidRPr="000866C8">
        <w:rPr>
          <w:rFonts w:ascii="Calibri" w:hAnsi="Calibri" w:cs="Calibri"/>
          <w:noProof/>
          <w:sz w:val="24"/>
          <w:szCs w:val="24"/>
          <w:lang w:val="en-GB"/>
        </w:rPr>
        <w:t xml:space="preserve">10. Joshi GP, Service MW, Pradhan GD. A survey of species A and B of the anopheles gambiae giles complex in the kisumu area of kenya prior to insecticidal spraying with OMS-43 (fenitrothion). Ann Trop Med Parasitol. 1975;69:91–104. </w:t>
      </w:r>
    </w:p>
    <w:p w:rsidR="00037624" w:rsidRPr="000866C8" w:rsidRDefault="00037624" w:rsidP="00037624">
      <w:pPr>
        <w:widowControl w:val="0"/>
        <w:autoSpaceDE w:val="0"/>
        <w:autoSpaceDN w:val="0"/>
        <w:adjustRightInd w:val="0"/>
        <w:spacing w:line="240" w:lineRule="auto"/>
        <w:rPr>
          <w:rFonts w:ascii="Calibri" w:hAnsi="Calibri" w:cs="Calibri"/>
          <w:noProof/>
          <w:sz w:val="24"/>
          <w:szCs w:val="24"/>
          <w:lang w:val="en-GB"/>
        </w:rPr>
      </w:pPr>
      <w:r w:rsidRPr="000866C8">
        <w:rPr>
          <w:rFonts w:ascii="Calibri" w:hAnsi="Calibri" w:cs="Calibri"/>
          <w:noProof/>
          <w:sz w:val="24"/>
          <w:szCs w:val="24"/>
          <w:lang w:val="en-GB"/>
        </w:rPr>
        <w:t xml:space="preserve">11. Bøgh C, Pedersen EM, Mukoko DA, Ouma JH. Permethrin-impregnated bednet effects on resting and feeding behaviour of lymphatic filariasis vector mosquitoes in Kenya. Med Vet Entomol. 1998;12. </w:t>
      </w:r>
    </w:p>
    <w:p w:rsidR="00037624" w:rsidRPr="000866C8" w:rsidRDefault="00037624" w:rsidP="00037624">
      <w:pPr>
        <w:widowControl w:val="0"/>
        <w:autoSpaceDE w:val="0"/>
        <w:autoSpaceDN w:val="0"/>
        <w:adjustRightInd w:val="0"/>
        <w:spacing w:line="240" w:lineRule="auto"/>
        <w:rPr>
          <w:rFonts w:ascii="Calibri" w:hAnsi="Calibri" w:cs="Calibri"/>
          <w:noProof/>
          <w:sz w:val="24"/>
          <w:szCs w:val="24"/>
          <w:lang w:val="en-GB"/>
        </w:rPr>
      </w:pPr>
      <w:r w:rsidRPr="000866C8">
        <w:rPr>
          <w:rFonts w:ascii="Calibri" w:hAnsi="Calibri" w:cs="Calibri"/>
          <w:noProof/>
          <w:sz w:val="24"/>
          <w:szCs w:val="24"/>
          <w:lang w:val="en-GB"/>
        </w:rPr>
        <w:t xml:space="preserve">12. Russell TL, Govella NJ, Azizi S, Drakeley CJ, Kachur SP, Killeen GF. Increased proportions of outdoor feeding among residual malaria vector populations following increased use of insecticide-treated nets in rural Tanzania. Malar J. 2011;10:1–10. </w:t>
      </w:r>
    </w:p>
    <w:p w:rsidR="00037624" w:rsidRPr="000866C8" w:rsidRDefault="00037624" w:rsidP="00037624">
      <w:pPr>
        <w:widowControl w:val="0"/>
        <w:autoSpaceDE w:val="0"/>
        <w:autoSpaceDN w:val="0"/>
        <w:adjustRightInd w:val="0"/>
        <w:spacing w:line="240" w:lineRule="auto"/>
        <w:rPr>
          <w:rFonts w:ascii="Calibri" w:hAnsi="Calibri" w:cs="Calibri"/>
          <w:noProof/>
          <w:sz w:val="24"/>
          <w:szCs w:val="24"/>
          <w:lang w:val="en-GB"/>
        </w:rPr>
      </w:pPr>
      <w:r w:rsidRPr="000866C8">
        <w:rPr>
          <w:rFonts w:ascii="Calibri" w:hAnsi="Calibri" w:cs="Calibri"/>
          <w:noProof/>
          <w:sz w:val="24"/>
          <w:szCs w:val="24"/>
          <w:lang w:val="en-GB"/>
        </w:rPr>
        <w:t xml:space="preserve">13. Russell TL, Lwetoijera DW, Maliti D, Chipwaza B, Kihonda J, Charlwood JD, et al. Impact of promoting longer-lasting insecticide treatment of bed nets upon malaria transmission in a rural Tanzanian setting with pre-existing high coverage of untreated nets. Malar J. 2010;9:1–14. </w:t>
      </w:r>
    </w:p>
    <w:p w:rsidR="00037624" w:rsidRPr="000866C8" w:rsidRDefault="00037624" w:rsidP="00037624">
      <w:pPr>
        <w:widowControl w:val="0"/>
        <w:autoSpaceDE w:val="0"/>
        <w:autoSpaceDN w:val="0"/>
        <w:adjustRightInd w:val="0"/>
        <w:spacing w:line="240" w:lineRule="auto"/>
        <w:rPr>
          <w:rFonts w:ascii="Calibri" w:hAnsi="Calibri" w:cs="Calibri"/>
          <w:noProof/>
          <w:sz w:val="24"/>
          <w:szCs w:val="24"/>
          <w:lang w:val="en-GB"/>
        </w:rPr>
      </w:pPr>
      <w:r w:rsidRPr="000866C8">
        <w:rPr>
          <w:rFonts w:ascii="Calibri" w:hAnsi="Calibri" w:cs="Calibri"/>
          <w:noProof/>
          <w:sz w:val="24"/>
          <w:szCs w:val="24"/>
          <w:lang w:val="en-GB"/>
        </w:rPr>
        <w:t xml:space="preserve">14. Njau RJA, Mosha FW, Nguma JFM. Field trials of pyrethroid impregnated bednets in northern Tanzania—1. Effect on malaria transmission. Int J Trop Insect Sci. 1993;14:575–84. </w:t>
      </w:r>
    </w:p>
    <w:p w:rsidR="00A801AD" w:rsidRDefault="00037624" w:rsidP="000866C8">
      <w:pPr>
        <w:widowControl w:val="0"/>
        <w:autoSpaceDE w:val="0"/>
        <w:autoSpaceDN w:val="0"/>
        <w:adjustRightInd w:val="0"/>
        <w:spacing w:line="240" w:lineRule="auto"/>
      </w:pPr>
      <w:r w:rsidRPr="000866C8">
        <w:rPr>
          <w:rFonts w:ascii="Calibri" w:hAnsi="Calibri" w:cs="Calibri"/>
          <w:noProof/>
          <w:sz w:val="24"/>
          <w:szCs w:val="24"/>
          <w:lang w:val="en-GB"/>
        </w:rPr>
        <w:t xml:space="preserve">15. Magesa SM, Wilkes TJ, Mnzava AEP, Njunwa KJ, Myamba J, Kivuyo MDP, et al. Trial of pyrethroid impregnated bednets in an area of Tanzania holoendemic for malaria. </w:t>
      </w:r>
      <w:r w:rsidRPr="00037624">
        <w:rPr>
          <w:rFonts w:ascii="Calibri" w:hAnsi="Calibri" w:cs="Calibri"/>
          <w:noProof/>
          <w:sz w:val="24"/>
          <w:szCs w:val="24"/>
        </w:rPr>
        <w:t xml:space="preserve">Part 2. Effects on the malaria vector population. Acta Trop. 1991;49. </w:t>
      </w:r>
      <w:r w:rsidR="00A801AD" w:rsidRPr="00B27294">
        <w:rPr>
          <w:rFonts w:cstheme="minorHAnsi"/>
          <w:sz w:val="24"/>
          <w:szCs w:val="24"/>
          <w:shd w:val="clear" w:color="auto" w:fill="FFFFFF"/>
          <w:lang w:val="en-GB"/>
        </w:rPr>
        <w:fldChar w:fldCharType="end"/>
      </w:r>
      <w:bookmarkStart w:id="0" w:name="_GoBack"/>
      <w:bookmarkEnd w:id="0"/>
    </w:p>
    <w:sectPr w:rsidR="00A801AD" w:rsidSect="00A801AD">
      <w:pgSz w:w="16838" w:h="11906" w:orient="landscape"/>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A0002AEF" w:usb1="4000207B" w:usb2="00000000"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801AD"/>
    <w:rsid w:val="00037624"/>
    <w:rsid w:val="000866C8"/>
    <w:rsid w:val="0010196D"/>
    <w:rsid w:val="001D752A"/>
    <w:rsid w:val="002934CF"/>
    <w:rsid w:val="003B75E9"/>
    <w:rsid w:val="00491DCF"/>
    <w:rsid w:val="00674121"/>
    <w:rsid w:val="007E2144"/>
    <w:rsid w:val="008651A4"/>
    <w:rsid w:val="008A1CAE"/>
    <w:rsid w:val="00971174"/>
    <w:rsid w:val="00A5098F"/>
    <w:rsid w:val="00A801AD"/>
    <w:rsid w:val="00AC756D"/>
    <w:rsid w:val="00B27294"/>
    <w:rsid w:val="00B47985"/>
    <w:rsid w:val="00B91A6A"/>
    <w:rsid w:val="00C0479B"/>
    <w:rsid w:val="00CE73BD"/>
    <w:rsid w:val="00D829E4"/>
    <w:rsid w:val="00DD5362"/>
    <w:rsid w:val="00F14654"/>
    <w:rsid w:val="00FA4A62"/>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F62089D-8D60-40B5-95E0-3776389C16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styleId="Grigliatabella">
    <w:name w:val="Table Grid"/>
    <w:basedOn w:val="Tabellanormale"/>
    <w:uiPriority w:val="39"/>
    <w:rsid w:val="00A801A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ellasemplice-1">
    <w:name w:val="Plain Table 1"/>
    <w:basedOn w:val="Tabellanormale"/>
    <w:uiPriority w:val="41"/>
    <w:rsid w:val="00CE73BD"/>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24081318">
      <w:bodyDiv w:val="1"/>
      <w:marLeft w:val="0"/>
      <w:marRight w:val="0"/>
      <w:marTop w:val="0"/>
      <w:marBottom w:val="0"/>
      <w:divBdr>
        <w:top w:val="none" w:sz="0" w:space="0" w:color="auto"/>
        <w:left w:val="none" w:sz="0" w:space="0" w:color="auto"/>
        <w:bottom w:val="none" w:sz="0" w:space="0" w:color="auto"/>
        <w:right w:val="none" w:sz="0" w:space="0" w:color="auto"/>
      </w:divBdr>
    </w:div>
    <w:div w:id="13408151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C522718-25CC-4501-90C1-5073D3579E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8490</Words>
  <Characters>48394</Characters>
  <Application>Microsoft Office Word</Application>
  <DocSecurity>0</DocSecurity>
  <Lines>403</Lines>
  <Paragraphs>113</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56771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Eleonora Perugini</dc:creator>
  <cp:keywords/>
  <dc:description/>
  <cp:lastModifiedBy>Marco Pombi</cp:lastModifiedBy>
  <cp:revision>4</cp:revision>
  <dcterms:created xsi:type="dcterms:W3CDTF">2020-03-27T18:00:00Z</dcterms:created>
  <dcterms:modified xsi:type="dcterms:W3CDTF">2020-03-28T07:36:00Z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Unique User Id_1">
    <vt:lpwstr>3e8f7420-ea67-38d0-9ecf-6c03a16611aa</vt:lpwstr>
  </property>
  <property fmtid="{D5CDD505-2E9C-101B-9397-08002B2CF9AE}" pid="4" name="Mendeley Citation Style_1">
    <vt:lpwstr>http://www.zotero.org/styles/parasites-and-vectors</vt:lpwstr>
  </property>
</Properties>
</file>