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1C7" w:rsidRPr="00CA0543" w:rsidRDefault="007C31C7" w:rsidP="007C31C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A054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A0543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CA0543">
        <w:rPr>
          <w:rFonts w:ascii="Times New Roman" w:hAnsi="Times New Roman" w:cs="Times New Roman"/>
          <w:b/>
          <w:bCs/>
          <w:sz w:val="20"/>
          <w:szCs w:val="20"/>
        </w:rPr>
        <w:t>tudy characteristics</w:t>
      </w:r>
    </w:p>
    <w:tbl>
      <w:tblPr>
        <w:tblStyle w:val="TableGrid"/>
        <w:tblW w:w="14596" w:type="dxa"/>
        <w:tblLayout w:type="fixed"/>
        <w:tblLook w:val="04A0" w:firstRow="1" w:lastRow="0" w:firstColumn="1" w:lastColumn="0" w:noHBand="0" w:noVBand="1"/>
      </w:tblPr>
      <w:tblGrid>
        <w:gridCol w:w="929"/>
        <w:gridCol w:w="847"/>
        <w:gridCol w:w="1196"/>
        <w:gridCol w:w="914"/>
        <w:gridCol w:w="1071"/>
        <w:gridCol w:w="1367"/>
        <w:gridCol w:w="1326"/>
        <w:gridCol w:w="850"/>
        <w:gridCol w:w="895"/>
        <w:gridCol w:w="948"/>
        <w:gridCol w:w="1276"/>
        <w:gridCol w:w="2126"/>
        <w:gridCol w:w="851"/>
      </w:tblGrid>
      <w:tr w:rsidR="007C31C7" w:rsidRPr="00871682" w:rsidTr="00FB37AA">
        <w:trPr>
          <w:trHeight w:val="1550"/>
        </w:trPr>
        <w:tc>
          <w:tcPr>
            <w:tcW w:w="929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Intervention </w:t>
            </w: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Authors and year of publication </w:t>
            </w:r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Study design 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Setting and country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 of Participants (age and gender)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Description of the intervention 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medication commonly stopped or reduced 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Comparator (if any) 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Study Follow up 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Frailty tool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Deprescribing tool</w:t>
            </w:r>
          </w:p>
        </w:tc>
        <w:tc>
          <w:tcPr>
            <w:tcW w:w="21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Outcome measures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Quality scoring</w:t>
            </w:r>
          </w:p>
        </w:tc>
      </w:tr>
      <w:tr w:rsidR="007C31C7" w:rsidRPr="00871682" w:rsidTr="00FB37AA">
        <w:trPr>
          <w:trHeight w:val="699"/>
        </w:trPr>
        <w:tc>
          <w:tcPr>
            <w:tcW w:w="929" w:type="dxa"/>
            <w:vMerge w:val="restart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Pharmacists-led medication review</w:t>
            </w: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Khera S 2019 </w:t>
            </w:r>
            <w:bookmarkStart w:id="0" w:name="_Hlk55556738"/>
            <w:r w:rsidRPr="0087168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instrText xml:space="preserve"> ADDIN EN.CITE &lt;EndNote&gt;&lt;Cite&gt;&lt;Author&gt;Khera&lt;/Author&gt;&lt;Year&gt;2019&lt;/Year&gt;&lt;RecNum&gt;2579&lt;/RecNum&gt;&lt;DisplayText&gt;[37]&lt;/DisplayText&gt;&lt;record&gt;&lt;rec-number&gt;2579&lt;/rec-number&gt;&lt;foreign-keys&gt;&lt;key app="EN" db-id="v59wfswpwse0r8e2ds8vvedhz0xvwtese9dv" timestamp="1579006238"&gt;2579&lt;/key&gt;&lt;/foreign-keys&gt;&lt;ref-type name="Journal Article"&gt;17&lt;/ref-type&gt;&lt;contributors&gt;&lt;authors&gt;&lt;author&gt;Khera, S.&lt;/author&gt;&lt;author&gt;Abbasi, M.&lt;/author&gt;&lt;author&gt;Dabravolskaj, J.&lt;/author&gt;&lt;author&gt;Sadowski, C. A.&lt;/author&gt;&lt;author&gt;Yua, H.&lt;/author&gt;&lt;author&gt;Chevalier, B.&lt;/author&gt;&lt;/authors&gt;&lt;/contributors&gt;&lt;auth-address&gt;University of Alberta, Edmonton, Alberta, Canada.&amp;#xD;Edmonton Oliver Primary Care Network, Edmonton, Alberta, Canada.&amp;#xD;University of Queensland, Brisbane, Queensland, Australia.&lt;/auth-address&gt;&lt;titles&gt;&lt;title&gt;Appropriateness of Medications in Older Adults Living With Frailty: Impact of a Pharmacist-Led Structured Medication Review Process in Primary Care&lt;/title&gt;&lt;secondary-title&gt;J Prim Care Community Health&lt;/secondary-title&gt;&lt;/titles&gt;&lt;periodical&gt;&lt;full-title&gt;J Prim Care Community Health&lt;/full-title&gt;&lt;/periodical&gt;&lt;pages&gt;2150132719890227&lt;/pages&gt;&lt;volume&gt;10&lt;/volume&gt;&lt;edition&gt;2019/12/07&lt;/edition&gt;&lt;keywords&gt;&lt;keyword&gt;*geriatrics&lt;/keyword&gt;&lt;keyword&gt;*medications&lt;/keyword&gt;&lt;keyword&gt;*patient-centeredness&lt;/keyword&gt;&lt;keyword&gt;*pharmacy&lt;/keyword&gt;&lt;keyword&gt;*primary care&lt;/keyword&gt;&lt;/keywords&gt;&lt;dates&gt;&lt;year&gt;2019&lt;/year&gt;&lt;pub-dates&gt;&lt;date&gt;Jan-Dec&lt;/date&gt;&lt;/pub-dates&gt;&lt;/dates&gt;&lt;isbn&gt;2150-1319&lt;/isbn&gt;&lt;accession-num&gt;31808725&lt;/accession-num&gt;&lt;urls&gt;&lt;/urls&gt;&lt;custom2&gt;PMC6900606&lt;/custom2&gt;&lt;electronic-resource-num&gt;10.1177/2150132719890227&lt;/electronic-resource-num&gt;&lt;remote-database-provider&gt;NLM&lt;/remote-database-provider&gt;&lt;language&gt;eng&lt;/language&gt;&lt;/record&gt;&lt;/Cite&gt;&lt;/EndNote&gt;</w:instrText>
            </w:r>
            <w:r w:rsidRPr="0087168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[37]</w:t>
            </w:r>
            <w:r w:rsidRPr="0087168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Quasi-experiment (pre- post- comparison)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Primary care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N=54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Age: 81±6.74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Gender: F 61%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Structured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medication review in a primary care team-based seniors’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program. Medication review that included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(1) preparing draft medication plan;(2) meet with patient and caregiver; (3) finalise medication plan/report; (4) following up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Pre- and post- intervention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12 months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Electronic Frailty Index (e-FI)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STOPP/START and Beers criteria in addition to pharmacist’s expertise</w:t>
            </w:r>
          </w:p>
        </w:tc>
        <w:tc>
          <w:tcPr>
            <w:tcW w:w="2126" w:type="dxa"/>
          </w:tcPr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564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NA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35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5B51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Medication-related outcomes: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No significant changes in total number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12.1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meds pre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to 11.7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meds  post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716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=.254).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ignificant decrease in number of PIMs (1.15 meds pre to 0.9 meds post; </w:t>
            </w:r>
            <w:r w:rsidRPr="008716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= .006).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statistically significant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correlation between number of PIMs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and frailty (r = 0.280, P = .040).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E93E61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E93E61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Feasibility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72% of the deprescribing recommendations were implemented 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7/9</w:t>
            </w:r>
          </w:p>
        </w:tc>
      </w:tr>
      <w:tr w:rsidR="007C31C7" w:rsidRPr="00871682" w:rsidTr="00FB37AA">
        <w:trPr>
          <w:trHeight w:val="486"/>
        </w:trPr>
        <w:tc>
          <w:tcPr>
            <w:tcW w:w="929" w:type="dxa"/>
            <w:vMerge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Ailabouni N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2019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&lt;EndNote&gt;&lt;Cite&gt;&lt;Author&gt;Ailabouni&lt;/Author&gt;&lt;Year&gt;2019&lt;/Year&gt;&lt;RecNum&gt;39&lt;/RecNum&gt;&lt;DisplayText&gt;[35]&lt;/DisplayText&gt;&lt;record&gt;&lt;rec-number&gt;39&lt;/rec-number&gt;&lt;foreign-keys&gt;&lt;key app="EN" db-id="v59wfswpwse0r8e2ds8vvedhz0xvwtese9dv" timestamp="1557230273"&gt;39&lt;/key&gt;&lt;/foreign-keys&gt;&lt;ref-type name="Journal Article"&gt;17&lt;/ref-type&gt;&lt;contributors&gt;&lt;authors&gt;&lt;author&gt;Ailabouni, Nagham&lt;/author&gt;&lt;author&gt;Mangin, Dee&lt;/author&gt;&lt;author&gt;Nishtala, Prasad S.&lt;/author&gt;&lt;/authors&gt;&lt;/contributors&gt;&lt;titles&gt;&lt;title&gt;DEFEAT-polypharmacy: deprescribing anticholinergic and sedative medicines feasibility trial in residential aged care facilities&lt;/title&gt;&lt;secondary-title&gt;International journal of clinical pharmacy&lt;/secondary-title&gt;&lt;/titles&gt;&lt;periodical&gt;&lt;full-title&gt;International Journal of Clinical Pharmacy&lt;/full-title&gt;&lt;/periodical&gt;&lt;pages&gt;167-178&lt;/pages&gt;&lt;volume&gt;41&lt;/volume&gt;&lt;number&gt;1&lt;/number&gt;&lt;section&gt;Ailabouni, Nagham. School of Pharmacy, University of Washington, Seattle, WA, USA. naghamja@uw.edu.&amp;#xD;Mangin, Dee. University of Otago, Christchurch, New Zealand.&amp;#xD;Mangin, Dee. David Braley Nancy Gordon, Chair in Family Medicine, McMaster University, Hamilton, ON, Canada.&amp;#xD;Nishtala, Prasad S. University of Bath, Bath, Somerset, UK.&lt;/section&gt;&lt;dates&gt;&lt;year&gt;2019&lt;/year&gt;&lt;/dates&gt;&lt;pub-location&gt;Netherlands&lt;/pub-location&gt;&lt;isbn&gt;2210-7711&lt;/isbn&gt;&lt;urls&gt;&lt;related-urls&gt;&lt;url&gt;http://ovidsp.ovid.com/ovidweb.cgi?T=JS&amp;amp;PAGE=reference&amp;amp;D=prem&amp;amp;NEWS=N&amp;amp;AN=30659492&lt;/url&gt;&lt;/related-urls&gt;&lt;/urls&gt;&lt;electronic-resource-num&gt;https://dx.doi.org/10.1007/s11096-019-00784-9&lt;/electronic-resource-num&gt;&lt;/record&gt;&lt;/Cite&gt;&lt;/EndNote&gt;</w:instrTex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[35]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Quasi-experiment 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(pre- and post- comparison)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Three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Residential Care Facilities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N=46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not specified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(inclusion ≥65 years old)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Gender: F 74% (n=34)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Patient-centred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collaborative pharmacist-led medication review with GPs including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(Medical history, initial consultation, deprescribing medication review, development of medication management plan, monitoring and follow up 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anticholinergic and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sedative medicines (tramadol, codeine, citalopram, Escitalopram, amitriptyline)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Same particip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ants before the intervention (pre-post design)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 months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 Edmont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on Frailty Scale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peer-reviewed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deprescribing guidelines of sedatives and anticholinergic medicines developed by the research team</w:t>
            </w:r>
          </w:p>
        </w:tc>
        <w:tc>
          <w:tcPr>
            <w:tcW w:w="2126" w:type="dxa"/>
          </w:tcPr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Primary outcomes: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C57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Significant decrease 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adverse drug reactions by a mean difference of 2.8 (95% CI; </w:t>
            </w:r>
            <w:r w:rsidRPr="009F0D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&lt; 0.05) and 4.2 (95% CI; </w:t>
            </w:r>
            <w:r w:rsidRPr="009F0D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&lt; 0.05)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three and 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>six months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after deprescribing</w:t>
            </w:r>
          </w:p>
          <w:p w:rsidR="007C31C7" w:rsidRPr="009F0D37" w:rsidRDefault="007C31C7" w:rsidP="00FB3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>Psychiatric adverse effects decreased by a mean difference of 1.8</w:t>
            </w:r>
          </w:p>
          <w:p w:rsidR="007C31C7" w:rsidRPr="009F0D3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(p &lt; 0.05; 95%, CI 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 2.24 (p &lt; 0.05; 95%, CI) after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and</w:t>
            </w:r>
            <w:r w:rsidRPr="009F0D37">
              <w:rPr>
                <w:rFonts w:ascii="Times New Roman" w:hAnsi="Times New Roman" w:cs="Times New Roman"/>
                <w:sz w:val="20"/>
                <w:szCs w:val="20"/>
              </w:rPr>
              <w:t xml:space="preserve"> 6 months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7C31C7" w:rsidRPr="005C572E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57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outcomes</w:t>
            </w:r>
          </w:p>
          <w:p w:rsidR="007C31C7" w:rsidRPr="005C572E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5C572E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Clinical outcomes: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No significant changes in cognition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QoL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six months after deprescribing. 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5C572E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Significant decrease in -</w:t>
            </w:r>
            <w:r w:rsidRPr="005C572E">
              <w:rPr>
                <w:rFonts w:ascii="Times New Roman" w:hAnsi="Times New Roman" w:cs="Times New Roman"/>
                <w:sz w:val="20"/>
                <w:szCs w:val="20"/>
              </w:rPr>
              <w:t>number of falls 6 months post deprescribing.</w:t>
            </w:r>
          </w:p>
          <w:p w:rsidR="007C31C7" w:rsidRPr="005C572E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C572E">
              <w:rPr>
                <w:rFonts w:ascii="Times New Roman" w:hAnsi="Times New Roman" w:cs="Times New Roman"/>
                <w:sz w:val="20"/>
                <w:szCs w:val="20"/>
              </w:rPr>
              <w:t>-depression scores (Median difference: − 2;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C572E">
              <w:rPr>
                <w:rFonts w:ascii="Times New Roman" w:hAnsi="Times New Roman" w:cs="Times New Roman"/>
                <w:sz w:val="20"/>
                <w:szCs w:val="20"/>
              </w:rPr>
              <w:t>p &lt; 0.05).</w:t>
            </w:r>
          </w:p>
          <w:p w:rsidR="007C31C7" w:rsidRPr="005C572E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C572E">
              <w:rPr>
                <w:rFonts w:ascii="Times New Roman" w:hAnsi="Times New Roman" w:cs="Times New Roman"/>
                <w:sz w:val="20"/>
                <w:szCs w:val="20"/>
              </w:rPr>
              <w:t>-frailty scores 6 months after deprescribing (mean difference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5C572E">
              <w:rPr>
                <w:rFonts w:ascii="Times New Roman" w:hAnsi="Times New Roman" w:cs="Times New Roman"/>
                <w:sz w:val="20"/>
                <w:szCs w:val="20"/>
              </w:rPr>
              <w:t xml:space="preserve"> 1.35 (p &lt; 0.05,95%, CI).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C572E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Medication-related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Significant reduction in: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-total N of med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(2.13 medicines per patient)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-Drug burden index scores by 0.34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six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months after deprescribing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2E5104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2E510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Feasibility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35615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the recommendations agreed and implemented </w:t>
            </w:r>
            <w:r w:rsidRPr="00D356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6/9</w:t>
            </w:r>
          </w:p>
        </w:tc>
      </w:tr>
      <w:tr w:rsidR="007C31C7" w:rsidRPr="00871682" w:rsidTr="00FB37AA">
        <w:trPr>
          <w:trHeight w:val="486"/>
        </w:trPr>
        <w:tc>
          <w:tcPr>
            <w:tcW w:w="929" w:type="dxa"/>
            <w:vMerge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Whitty R 2018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&lt;EndNote&gt;&lt;Cite&gt;&lt;Author&gt;Whitty&lt;/Author&gt;&lt;Year&gt;2018&lt;/Year&gt;&lt;RecNum&gt;1859&lt;/RecNum&gt;&lt;DisplayText&gt;[33]&lt;/DisplayText&gt;&lt;record&gt;&lt;rec-number&gt;1859&lt;/rec-number&gt;&lt;foreign-keys&gt;&lt;key app="EN" db-id="v59wfswpwse0r8e2ds8vvedhz0xvwtese9dv" timestamp="1563437390"&gt;1859&lt;/key&gt;&lt;/foreign-keys&gt;&lt;ref-type name="Journal Article"&gt;17&lt;/ref-type&gt;&lt;contributors&gt;&lt;authors&gt;&lt;author&gt;Whitty, Rachel&lt;/author&gt;&lt;author&gt;Porter, S.&lt;/author&gt;&lt;author&gt;ra,&lt;/author&gt;&lt;author&gt;Battu, Kiran&lt;/author&gt;&lt;author&gt;Bhatt, Pranjal&lt;/author&gt;&lt;author&gt;Koo, Ellen&lt;/author&gt;&lt;author&gt;Kalocsai, Csilla&lt;/author&gt;&lt;author&gt;Wu, Peter&lt;/author&gt;&lt;author&gt;Delicaet, Kendra&lt;/author&gt;&lt;author&gt;Bogoch, Isaac I.&lt;/author&gt;&lt;author&gt;Wu, Robert&lt;/author&gt;&lt;author&gt;Downar, James&lt;/author&gt;&lt;/authors&gt;&lt;/contributors&gt;&lt;titles&gt;&lt;title&gt;A pilot study of a Medication Rationalization (MERA) intervention&lt;/title&gt;&lt;secondary-title&gt;CMAJ open&lt;/secondary-title&gt;&lt;/titles&gt;&lt;periodical&gt;&lt;full-title&gt;CMAJ open&lt;/full-title&gt;&lt;/periodical&gt;&lt;pages&gt;E87-E94&lt;/pages&gt;&lt;volume&gt;6&lt;/volume&gt;&lt;number&gt;1&lt;/number&gt;&lt;keywords&gt;&lt;keyword&gt;Pilot Projects&lt;/keyword&gt;&lt;/keywords&gt;&lt;dates&gt;&lt;year&gt;2018&lt;/year&gt;&lt;/dates&gt;&lt;isbn&gt;2291-0026&lt;/isbn&gt;&lt;accession-num&gt;rayyan-11619348&lt;/accession-num&gt;&lt;urls&gt;&lt;related-urls&gt;&lt;url&gt;http://ovidsp.ovid.com/ovidweb.cgi?T=JS&amp;amp;PAGE=reference&amp;amp;D=prem2&amp;amp;NEWS=N&amp;amp;AN=29467186&lt;/url&gt;&lt;/related-urls&gt;&lt;/urls&gt;&lt;/record&gt;&lt;/Cite&gt;&lt;/EndNote&gt;</w:instrTex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[33]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Prospective interventional cohort study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Hospital (General internal medicine ward)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104 (Intervention=53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Control=51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Age: intervention 79.6 ± 11.7years control 79.2 ±13.4 years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Gender: intervention F 43%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Control F 63%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1.Medication review by the Medication Rationalization team MERA (pharmacists and physicians) using guideline-based algorithm.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2.Their recommendations to stop, or change dose of medicines then reviewed by the ward pharmacist and physician. 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vitamins/minerals,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lipid-lowering agents, herbal supplements,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proton pump inhibitors, docusate,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Antiplatelets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Benzodiazepines,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Bisphosphonates,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Dihydropyridine,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Opioids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eligible patients admitted concurrently to general internal medicine wards where the intervention was not delivered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Follow up: 3months after discharge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Clinical Frailty Score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Score ≥4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 guideline-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based algorithm based on STOPP guidelines,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Beers criteria,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Choosing Wisely, and choosing wisely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2126" w:type="dxa"/>
          </w:tcPr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F3F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NA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9F3F46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3F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Secondary outcomes </w:t>
            </w:r>
          </w:p>
          <w:p w:rsidR="007C31C7" w:rsidRPr="009F3F46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9F3F46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Medication-related outcomes: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Reduction in number of medications by a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mean of 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per patient,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Significant decrease in number PIMs (3.1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intervention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v. 0.9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control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per patient, p &lt; 0.01).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Feasibility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81% of total recommendations were accepted by the admitting physician</w:t>
            </w:r>
          </w:p>
          <w:p w:rsidR="007C31C7" w:rsidRPr="00E93E61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2E5104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2E5104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Acceptability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87% participants felt comfortable stopping medications as recommended by the team and only a very small number found the experience stressful or confusing (5% and 11% respectively)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F3F46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Cost-related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The total direct cost  saved of stopped medications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was $1508.47, or $94.28 per 100 patient-days.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6/9</w:t>
            </w:r>
          </w:p>
        </w:tc>
      </w:tr>
      <w:tr w:rsidR="007C31C7" w:rsidRPr="00871682" w:rsidTr="00FB37AA">
        <w:trPr>
          <w:trHeight w:val="486"/>
        </w:trPr>
        <w:tc>
          <w:tcPr>
            <w:tcW w:w="929" w:type="dxa"/>
            <w:vMerge w:val="restart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Multidisciplinary team (MDT)-led medication review intervention</w:t>
            </w: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Curtin  D 2019 </w:t>
            </w:r>
            <w:bookmarkStart w:id="1" w:name="_Hlk40438223"/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&lt;EndNote&gt;&lt;Cite&gt;&lt;Author&gt;Curtin&lt;/Author&gt;&lt;RecNum&gt;2580&lt;/RecNum&gt;&lt;DisplayText&gt;[34]&lt;/DisplayText&gt;&lt;record&gt;&lt;rec-number&gt;2580&lt;/rec-number&gt;&lt;foreign-keys&gt;&lt;key app="EN" db-id="v59wfswpwse0r8e2ds8vvedhz0xvwtese9dv" timestamp="1579010371"&gt;2580&lt;/key&gt;&lt;/foreign-keys&gt;&lt;ref-type name="Journal Article"&gt;17&lt;/ref-type&gt;&lt;contributors&gt;&lt;authors&gt;&lt;author&gt;Curtin, Denis&lt;/author&gt;&lt;author&gt;Jennings, Emma&lt;/author&gt;&lt;author&gt;Daunt, Ruth&lt;/author&gt;&lt;author&gt;Curtin, Sara&lt;/author&gt;&lt;author&gt;Randles, Mary&lt;/author&gt;&lt;author&gt;Gallagher, Paul&lt;/author&gt;&lt;author&gt;O&amp;apos;Mahony, Denis&lt;/author&gt;&lt;/authors&gt;&lt;/contributors&gt;&lt;titles&gt;&lt;title&gt;Deprescribing in Older People Approaching End of Life: A Randomized Controlled Trial Using STOPPFrail Criteria&lt;/title&gt;&lt;secondary-title&gt;Journal of the American Geriatrics Society&lt;/secondary-title&gt;&lt;/titles&gt;&lt;periodical&gt;&lt;full-title&gt;Journal of the American Geriatrics Society&lt;/full-title&gt;&lt;/periodical&gt;&lt;volume&gt;n/a&lt;/volume&gt;&lt;number&gt;n/a&lt;/number&gt;&lt;dates&gt;&lt;/dates&gt;&lt;isbn&gt;0002-8614&lt;/isbn&gt;&lt;urls&gt;&lt;related-urls&gt;&lt;url&gt;https://onlinelibrary.wiley.com/doi/abs/10.1111/jgs.16278&lt;/url&gt;&lt;/related-urls&gt;&lt;/urls&gt;&lt;electronic-resource-num&gt;10.1111/jgs.16278&lt;/electronic-resource-num&gt;&lt;/record&gt;&lt;/Cite&gt;&lt;/EndNote&gt;</w:instrTex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[34]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t xml:space="preserve">Randomized controlled trial 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Hospital (in transition to care homes)</w:t>
            </w:r>
          </w:p>
          <w:p w:rsidR="007C31C7" w:rsidRPr="00871682" w:rsidRDefault="007C31C7" w:rsidP="00FB37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N=130 (65 in the intervention group, 65 in the control group)</w:t>
            </w:r>
          </w:p>
          <w:p w:rsidR="007C31C7" w:rsidRPr="00871682" w:rsidRDefault="007C31C7" w:rsidP="00FB37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Age=85.1 (±5.7) Gender= 61% F.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t>Single pre-discharge STOPPFrail-guided deprescribing. The research Physician recommended a medication withdrawal plan to one of the participant's attending physicians and also documented in the patient's medical record.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t xml:space="preserve">The attending </w:t>
            </w: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lastRenderedPageBreak/>
              <w:t>physician judged whether or not to accept the drug withdrawal plan and implement the recommended changes.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lastRenderedPageBreak/>
              <w:t>Lipid lowering therapies, neuroleptic antipsychotics, proton pump inhibitors, antiresorptive/bone anabolic drugs, calcium supplementation, and multivitamin combination supplements.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Usual pharmaceutical care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3 months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  <w:lang w:val="en"/>
              </w:rPr>
              <w:t>Clinical Frailty Index (CFS score≥ 7)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STOPPFrail</w:t>
            </w:r>
          </w:p>
        </w:tc>
        <w:tc>
          <w:tcPr>
            <w:tcW w:w="2126" w:type="dxa"/>
          </w:tcPr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outcomes: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significant difference between groups for hospitalisation, mortality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Secondary outcomes: </w:t>
            </w:r>
          </w:p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B42AD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Clinical outcomes: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significant differences between the groups in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incident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falls or fractures.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QoL deteriorated significantly in both the intervention and control groups from baseline to 3‐month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, but no statistically significant differences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were found between the groups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Medication-related outcomes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Reduction in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the number of med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2.6 in the intervention group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0.36 in the control group (p&lt;0.001).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B42AD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Cost-related outcomes</w:t>
            </w:r>
          </w:p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mean difference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the monthly medications cost of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$61.74 ± $26.60; 95% CI; P =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.02)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between the intervention and the control groups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10/13</w:t>
            </w:r>
          </w:p>
        </w:tc>
      </w:tr>
      <w:tr w:rsidR="007C31C7" w:rsidRPr="00871682" w:rsidTr="00FB37AA">
        <w:trPr>
          <w:trHeight w:val="486"/>
        </w:trPr>
        <w:tc>
          <w:tcPr>
            <w:tcW w:w="929" w:type="dxa"/>
            <w:vMerge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Garfinkel D 2017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&lt;EndNote&gt;&lt;Cite&gt;&lt;Author&gt;Garfinkel&lt;/Author&gt;&lt;Year&gt;2018&lt;/Year&gt;&lt;RecNum&gt;487&lt;/RecNum&gt;&lt;DisplayText&gt;[38]&lt;/DisplayText&gt;&lt;record&gt;&lt;rec-number&gt;487&lt;/rec-number&gt;&lt;foreign-keys&gt;&lt;key app="EN" db-id="v59wfswpwse0r8e2ds8vvedhz0xvwtese9dv" timestamp="1557230277"&gt;487&lt;/key&gt;&lt;/foreign-keys&gt;&lt;ref-type name="Journal Article"&gt;17&lt;/ref-type&gt;&lt;contributors&gt;&lt;authors&gt;&lt;author&gt;Garfinkel, Doron&lt;/author&gt;&lt;/authors&gt;&lt;/contributors&gt;&lt;titles&gt;&lt;title&gt;Poly-de-prescribing to treat polypharmacy: efficacy and safety&lt;/title&gt;&lt;secondary-title&gt;Therapeutic advances in drug safety&lt;/secondary-title&gt;&lt;/titles&gt;&lt;periodical&gt;&lt;full-title&gt;Therapeutic Advances in Drug Safety&lt;/full-title&gt;&lt;/periodical&gt;&lt;pages&gt;25-43&lt;/pages&gt;&lt;volume&gt;9&lt;/volume&gt;&lt;number&gt;1&lt;/number&gt;&lt;section&gt;Garfinkel, Doron. Geriatric Palliative service, E. Wolfson Medical Center, Holon 58100 &amp;amp; Homecare hospice, Israel Cancer Association, Israel.&lt;/section&gt;&lt;dates&gt;&lt;year&gt;2018&lt;/year&gt;&lt;/dates&gt;&lt;pub-location&gt;England&lt;/pub-location&gt;&lt;isbn&gt;2042-0986&lt;/isbn&gt;&lt;urls&gt;&lt;related-urls&gt;&lt;url&gt;http://ovidsp.ovid.com/ovidweb.cgi?T=JS&amp;amp;PAGE=reference&amp;amp;D=prem2&amp;amp;NEWS=N&amp;amp;AN=29318004&lt;/url&gt;&lt;/related-urls&gt;&lt;/urls&gt;&lt;electronic-resource-num&gt;https://dx.doi.org/10.1177/2042098617736192&lt;/electronic-resource-num&gt;&lt;/record&gt;&lt;/Cite&gt;&lt;/EndNote&gt;</w:instrTex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[38]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 longitudinal, prospective, nonrandomized study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Community dwelling people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Israel 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177 (122 in the intervention group and 55 in the comparator group)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64% female)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Age: 83.4 ± 5.3 in the PDP group, and 80.8 ± 6.3 in the NR group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Gender: F 64%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Medication review  performed at home by a geriatrician to implement poly-deprescribing (PDP) of 3 or more drugs in collaboration with GPs. it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combines ethics, EBM and clinical judgement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while giving the highest priority to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patient/ family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preferences.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Statins, aspirin, benzodiazepines, proton pump inhibitor, antihypertension drugs,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SSRI/SNRIs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The non-response group ( NR) including participants who agreed to stop only 2 medication or less 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follow up: 3 years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Fried frailty phenotype  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concurrent de-prescribing of multiple medications based on the Garfinkel algorithm</w:t>
            </w:r>
          </w:p>
        </w:tc>
        <w:tc>
          <w:tcPr>
            <w:tcW w:w="2126" w:type="dxa"/>
          </w:tcPr>
          <w:p w:rsidR="007C31C7" w:rsidRPr="00B42AD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Outcomes: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The number of major complications was significantly reduced (p &lt; 0.002 in all). 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he rate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of hospitalizations (RR = 0.86, 95% CI: 0.58–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1.29) and survival (66.7% } 6.4% for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  <w:r w:rsidRPr="008716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versus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77%} 3.8% for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group)</w:t>
            </w:r>
          </w:p>
          <w:p w:rsidR="007C31C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were comparable</w:t>
            </w:r>
          </w:p>
          <w:p w:rsidR="007C31C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B42AD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outcomes</w:t>
            </w:r>
          </w:p>
          <w:p w:rsidR="007C31C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Clinical outcomes </w:t>
            </w:r>
          </w:p>
          <w:p w:rsidR="007C31C7" w:rsidRPr="00B42AD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PDP</w:t>
            </w:r>
            <w:r w:rsidRPr="00B42AD7">
              <w:rPr>
                <w:rFonts w:ascii="Times New Roman" w:hAnsi="Times New Roman" w:cs="Times New Roman"/>
                <w:sz w:val="20"/>
                <w:szCs w:val="20"/>
              </w:rPr>
              <w:t xml:space="preserve"> group showed significantly less deterioration (sometimes improvement) in health parameter: functional (OR =4.63, 95% CI: 2–10.72), mental (OR = 60.41,95% CI: 16.38–222.82) and cognitive status(OR = 4.394, 95% CI: 1.93–9.98) night sleep quality (OR = 10.65, 95% CI: 4.06–27.96),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2AD7">
              <w:rPr>
                <w:rFonts w:ascii="Times New Roman" w:hAnsi="Times New Roman" w:cs="Times New Roman"/>
                <w:sz w:val="20"/>
                <w:szCs w:val="20"/>
              </w:rPr>
              <w:t>daily alertness (OR = 5.38, 95% CI: 1.95–14.84), appetite (OR = 15.89, 95% CI: 4.91–51.45), and sphincter control (OR = 6.77, 95% CI: 2.54–18.03).</w:t>
            </w:r>
          </w:p>
          <w:p w:rsidR="007C31C7" w:rsidRPr="00B42AD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:rsidR="007C31C7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:rsidR="007C31C7" w:rsidRPr="00871682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2AD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Medication-related outcomes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the median number of drugs reduced from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 to 4 in</w:t>
            </w:r>
          </w:p>
          <w:p w:rsidR="007C31C7" w:rsidRPr="00871682" w:rsidRDefault="007C31C7" w:rsidP="00FB37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PDP group (p &lt;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0.0001).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95B13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895B13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Feasibility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91% of the recommendations made by a geriatrician were accepted by G</w:t>
            </w:r>
            <w:r w:rsidRPr="00D35615">
              <w:rPr>
                <w:rFonts w:ascii="Times New Roman" w:hAnsi="Times New Roman" w:cs="Times New Roman"/>
                <w:sz w:val="20"/>
                <w:szCs w:val="20"/>
              </w:rPr>
              <w:t>Ps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B42AD7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B42AD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Acceptability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>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>overall satisfaction of patient/family from the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changes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 xml:space="preserve"> was defined as high/very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>high in 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>% (</w:t>
            </w:r>
            <w:r w:rsidRPr="00E42CF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 </w:t>
            </w:r>
            <w:r w:rsidRPr="00E42CFD">
              <w:rPr>
                <w:rFonts w:ascii="Times New Roman" w:hAnsi="Times New Roman" w:cs="Times New Roman"/>
                <w:sz w:val="20"/>
                <w:szCs w:val="20"/>
              </w:rPr>
              <w:t>= 109)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6/9</w:t>
            </w:r>
          </w:p>
        </w:tc>
      </w:tr>
      <w:tr w:rsidR="007C31C7" w:rsidRPr="00871682" w:rsidTr="00FB37AA">
        <w:trPr>
          <w:trHeight w:val="486"/>
        </w:trPr>
        <w:tc>
          <w:tcPr>
            <w:tcW w:w="929" w:type="dxa"/>
            <w:vMerge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O. Dalleur 2014 </w:t>
            </w:r>
            <w:bookmarkStart w:id="2" w:name="_Hlk26521544"/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PEVuZE5vdGU+PENpdGU+PEF1dGhvcj5EYWxsZXVyPC9BdXRob3I+PFllYXI+MjAxNDwvWWVhcj48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PEVuZE5vdGU+PENpdGU+PEF1dGhvcj5EYWxsZXVyPC9BdXRob3I+PFllYXI+MjAxNDwvWWVhcj48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[36]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19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Randomised controlled trial </w:t>
            </w:r>
          </w:p>
        </w:tc>
        <w:tc>
          <w:tcPr>
            <w:tcW w:w="914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Hospital, Belgium </w:t>
            </w:r>
          </w:p>
        </w:tc>
        <w:tc>
          <w:tcPr>
            <w:tcW w:w="107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146 (intervention=74, control group=72)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Median age=85 (IQR 81-88)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Gender: F 63%</w:t>
            </w:r>
          </w:p>
        </w:tc>
        <w:tc>
          <w:tcPr>
            <w:tcW w:w="1367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Medication review on admission using STOPP criteria by inpatient geriatric consultation team (consisting of nurses, geriatricians, a dietician, an occupational therapist, a physiotherapist, a speech therapist, and a psychologist) who makes recommendation to the hospital physician for the discontinuation of PIMs.</w:t>
            </w:r>
          </w:p>
        </w:tc>
        <w:tc>
          <w:tcPr>
            <w:tcW w:w="132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Benzodiazepines, antiplatelet, b-blockers, tricyclic antidepressants, and neuroleptics </w:t>
            </w:r>
          </w:p>
        </w:tc>
        <w:tc>
          <w:tcPr>
            <w:tcW w:w="850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Non-matched randomised control group (usual care without using STOPP tool)</w:t>
            </w:r>
          </w:p>
        </w:tc>
        <w:tc>
          <w:tcPr>
            <w:tcW w:w="895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Follow up: 12 months (only for those with PIMs identified, 50 patients; 26 in intervention group and 24 in the control group)</w:t>
            </w:r>
          </w:p>
        </w:tc>
        <w:tc>
          <w:tcPr>
            <w:tcW w:w="948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Identiﬁcation of Seniors At Risk (ISAR) score of ≥2/6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Median score=3</w:t>
            </w:r>
          </w:p>
        </w:tc>
        <w:tc>
          <w:tcPr>
            <w:tcW w:w="1276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STOPP criteria</w:t>
            </w:r>
          </w:p>
        </w:tc>
        <w:tc>
          <w:tcPr>
            <w:tcW w:w="2126" w:type="dxa"/>
          </w:tcPr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F2B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outcomes: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</w:t>
            </w:r>
          </w:p>
          <w:p w:rsidR="007C31C7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5F2BEE" w:rsidRDefault="007C31C7" w:rsidP="00FB37AA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2B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outcomes</w:t>
            </w:r>
          </w:p>
          <w:p w:rsidR="007C31C7" w:rsidRPr="005F2BEE" w:rsidRDefault="007C31C7" w:rsidP="00FB37AA">
            <w:pPr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5F2BEE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Medication-related outcomes 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54348531"/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At discharge, the reduction in PIMs was twice as high for the intervention group as for the control group </w:t>
            </w:r>
            <w:bookmarkEnd w:id="3"/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(39.7 and 19.3 %, respectively; [OR] 2.75 [95 % CI= 1.22–6.24]; p = 0.013).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PIM discontinuation rate of benzodiazepines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tended to be higher in the intervention than in the control group (34.6 vs. 6.7 %; p = 0.063)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At the patient level, the reduction in the prevalence of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PIMs (i.e. patients having one or more PIM) did not differ between the intervention group and the control group (23.1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 xml:space="preserve">vs. 16.1 %; OR 1.5 [95 % CI 0.49–4.89]; p = </w:t>
            </w: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0.454). However, the proportion of patients with at least one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improvement to their drug treatment was higher for the</w:t>
            </w:r>
          </w:p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t>intervention group than for the control group (25.7 vs. 13.9 %; p = 0.034).</w:t>
            </w:r>
          </w:p>
        </w:tc>
        <w:tc>
          <w:tcPr>
            <w:tcW w:w="851" w:type="dxa"/>
          </w:tcPr>
          <w:p w:rsidR="007C31C7" w:rsidRPr="00871682" w:rsidRDefault="007C31C7" w:rsidP="00FB37A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1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10/13</w:t>
            </w:r>
          </w:p>
        </w:tc>
      </w:tr>
    </w:tbl>
    <w:p w:rsidR="007C31C7" w:rsidRPr="00871682" w:rsidRDefault="007C31C7" w:rsidP="007C31C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71682">
        <w:rPr>
          <w:rFonts w:ascii="Times New Roman" w:hAnsi="Times New Roman" w:cs="Times New Roman"/>
          <w:sz w:val="20"/>
          <w:szCs w:val="20"/>
        </w:rPr>
        <w:t>N= Number; SD=Standard Deviation; F=Female; NR= Not Relevant; PIMs= Potentially Inappropriate Medications; GP= General Practitioner; QoL=Quality of Life</w:t>
      </w:r>
    </w:p>
    <w:p w:rsidR="007C31C7" w:rsidRPr="00871682" w:rsidRDefault="007C31C7" w:rsidP="007C31C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47CD6" w:rsidRDefault="00E47CD6">
      <w:bookmarkStart w:id="4" w:name="_GoBack"/>
      <w:bookmarkEnd w:id="4"/>
    </w:p>
    <w:sectPr w:rsidR="00E47CD6" w:rsidSect="0078086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C7"/>
    <w:rsid w:val="007C31C7"/>
    <w:rsid w:val="00E4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3472A6-A1E7-408D-B299-8BE9B2746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1C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31C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2507</Words>
  <Characters>14291</Characters>
  <Application>Microsoft Office Word</Application>
  <DocSecurity>0</DocSecurity>
  <Lines>119</Lines>
  <Paragraphs>33</Paragraphs>
  <ScaleCrop>false</ScaleCrop>
  <Company>Springer Nature IT</Company>
  <LinksUpToDate>false</LinksUpToDate>
  <CharactersWithSpaces>16765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2020-11-24T13:21:00Z</dcterms:created>
  <dcterms:modified xsi:type="dcterms:W3CDTF">2020-11-24T13:21:00Z</dcterms:modified>
</cp:coreProperties>
</file>