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2"/>
        </w:rPr>
        <w:t>Supplementary Table S2. Sensitivity analyses for the association between prior COVID-19 infection and treatment success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960"/>
        <w:gridCol w:w="1656"/>
        <w:gridCol w:w="2088"/>
        <w:gridCol w:w="1080"/>
      </w:tblGrid>
      <w:tr>
        <w:tc>
          <w:tcPr>
            <w:tcW w:type="dxa" w:w="207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Model</w:t>
            </w:r>
          </w:p>
        </w:tc>
        <w:tc>
          <w:tcPr>
            <w:tcW w:type="dxa" w:w="207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Adjustment variables</w:t>
            </w:r>
          </w:p>
        </w:tc>
        <w:tc>
          <w:tcPr>
            <w:tcW w:type="dxa" w:w="207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Adjusted OR</w:t>
            </w:r>
          </w:p>
        </w:tc>
        <w:tc>
          <w:tcPr>
            <w:tcW w:type="dxa" w:w="207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95% CI</w:t>
            </w:r>
          </w:p>
        </w:tc>
        <w:tc>
          <w:tcPr>
            <w:tcW w:type="dxa" w:w="207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P value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Primary model</w:t>
            </w:r>
          </w:p>
        </w:tc>
        <w:tc>
          <w:tcPr>
            <w:tcW w:type="dxa" w:w="396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HbA1c at diagnosis, diabetes duration, pharmacological adherence, treatment modality</w:t>
            </w:r>
          </w:p>
        </w:tc>
        <w:tc>
          <w:tcPr>
            <w:tcW w:type="dxa" w:w="1656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2.88</w:t>
            </w:r>
          </w:p>
        </w:tc>
        <w:tc>
          <w:tcPr>
            <w:tcW w:type="dxa" w:w="2088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1.15–8.04</w:t>
            </w:r>
          </w:p>
        </w:tc>
        <w:tc>
          <w:tcPr>
            <w:tcW w:type="dxa" w:w="108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0.023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Comorbidity-adjusted sensitivity model</w:t>
            </w:r>
          </w:p>
        </w:tc>
        <w:tc>
          <w:tcPr>
            <w:tcW w:type="dxa" w:w="396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Primary model + hypertension, cardiovascular disease, chronic kidney disease, cerebrovascular disease</w:t>
            </w:r>
          </w:p>
        </w:tc>
        <w:tc>
          <w:tcPr>
            <w:tcW w:type="dxa" w:w="1656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3.34</w:t>
            </w:r>
          </w:p>
        </w:tc>
        <w:tc>
          <w:tcPr>
            <w:tcW w:type="dxa" w:w="2088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1.19–10.84</w:t>
            </w:r>
          </w:p>
        </w:tc>
        <w:tc>
          <w:tcPr>
            <w:tcW w:type="dxa" w:w="108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0.020</w:t>
            </w:r>
          </w:p>
        </w:tc>
      </w:tr>
      <w:tr>
        <w:tc>
          <w:tcPr>
            <w:tcW w:type="dxa" w:w="288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Concomitant-medication sensitivity model</w:t>
            </w:r>
          </w:p>
        </w:tc>
        <w:tc>
          <w:tcPr>
            <w:tcW w:type="dxa" w:w="3960"/>
            <w:vAlign w:val="center"/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Primary model + anticoagulant use and antihypertensive use</w:t>
            </w:r>
          </w:p>
        </w:tc>
        <w:tc>
          <w:tcPr>
            <w:tcW w:type="dxa" w:w="1656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2.60</w:t>
            </w:r>
          </w:p>
        </w:tc>
        <w:tc>
          <w:tcPr>
            <w:tcW w:type="dxa" w:w="2088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0.97–7.74</w:t>
            </w:r>
          </w:p>
        </w:tc>
        <w:tc>
          <w:tcPr>
            <w:tcW w:type="dxa" w:w="1080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0.059</w:t>
            </w:r>
          </w:p>
        </w:tc>
      </w:tr>
    </w:tbl>
    <w:p>
      <w:pPr>
        <w:spacing w:before="120" w:after="0"/>
      </w:pPr>
      <w:r>
        <w:rPr>
          <w:rFonts w:ascii="Arial" w:hAnsi="Arial"/>
          <w:sz w:val="18"/>
        </w:rPr>
        <w:t>Note: Adjusted odds ratios (ORs) and 95% confidence intervals (CIs) were estimated using multivariable Firth penalized logistic regression in the treatment-success analysis population (n=191). Treatment success was defined as achievement of the individualized HbA1c target. An OR &gt;1 indicates higher odds of treatment success. The sensitivity models were used to assess the robustness of the association between prior COVID-19 infection and treatment success to additional adjustment for recorded comorbidities or concomitant medication use.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