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2"/>
        </w:rPr>
        <w:t>Supplementary Table S1. Additional demographic and clinical characteristics of the overall study population (n=211)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2304"/>
      </w:tblGrid>
      <w:tr>
        <w:tc>
          <w:tcPr>
            <w:tcW w:type="dxa" w:w="5040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Characteristic</w:t>
            </w:r>
          </w:p>
        </w:tc>
        <w:tc>
          <w:tcPr>
            <w:tcW w:type="dxa" w:w="5040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Total (n=211)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</w:rPr>
              <w:t>Education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 xml:space="preserve">  Primary school or below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117 (55.5)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 xml:space="preserve">  Secondary school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34 (16.1)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 xml:space="preserve">  High school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36 (17.1)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 xml:space="preserve">  University or higher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24 (11.4)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Employed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126 (59.7)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</w:rPr>
              <w:t>Smoking status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 xml:space="preserve">  Current smoker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89 (42.2)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 xml:space="preserve">  Former smoker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31 (14.7)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 xml:space="preserve">  Never smoker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91 (43.1)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Alcohol use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27 (12.8)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Family history of diabetes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163 (77.3)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Cardiovascular disease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21 (10.0)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Chronic kidney disease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8 (3.8)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Cerebrovascular disease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8 (3.8)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Metabolic syndrome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143 (67.8)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Hypothyroidism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7 (3.3)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Psychiatric disorder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12 (5.7)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Antihypertensive use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72 (34.1)</w:t>
            </w:r>
          </w:p>
        </w:tc>
      </w:tr>
      <w:tr>
        <w:tc>
          <w:tcPr>
            <w:tcW w:type="dxa" w:w="6912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Anticoagulant use</w:t>
            </w:r>
          </w:p>
        </w:tc>
        <w:tc>
          <w:tcPr>
            <w:tcW w:type="dxa" w:w="2304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42 (19.9)</w:t>
            </w:r>
          </w:p>
        </w:tc>
      </w:tr>
    </w:tbl>
    <w:p>
      <w:pPr>
        <w:spacing w:before="120" w:after="0"/>
      </w:pPr>
      <w:r>
        <w:rPr>
          <w:rFonts w:ascii="Arial" w:hAnsi="Arial"/>
          <w:sz w:val="18"/>
        </w:rPr>
        <w:t>Note: Data are presented as n (%). These variables provide additional characterization of the overall study population and complement the principal demographic and clinical characteristics reported in Table 1.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