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C4D" w:rsidRPr="007F7E8F" w:rsidRDefault="00401C4D" w:rsidP="00401C4D">
      <w:pPr>
        <w:rPr>
          <w:rFonts w:ascii="Times New Roman" w:hAnsi="Times New Roman"/>
          <w:b/>
          <w:bCs/>
        </w:rPr>
      </w:pPr>
      <w:r>
        <w:rPr>
          <w:rFonts w:ascii="Tahoma" w:hAnsi="Tahoma" w:cs="Tahoma"/>
          <w:b/>
          <w:bCs/>
        </w:rPr>
        <w:t>﻿</w:t>
      </w:r>
      <w:r w:rsidRPr="004C4583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Supplementary Table 2. Multivariable </w:t>
      </w:r>
      <w:r>
        <w:rPr>
          <w:rFonts w:ascii="Times New Roman" w:hAnsi="Times New Roman" w:hint="eastAsia"/>
          <w:b/>
          <w:bCs/>
        </w:rPr>
        <w:t>l</w:t>
      </w:r>
      <w:r>
        <w:rPr>
          <w:rFonts w:ascii="Times New Roman" w:hAnsi="Times New Roman"/>
          <w:b/>
          <w:bCs/>
        </w:rPr>
        <w:t xml:space="preserve">ogistic regression analysis </w:t>
      </w:r>
      <w:r>
        <w:rPr>
          <w:rFonts w:ascii="Tahoma" w:hAnsi="Tahoma" w:cs="Tahoma"/>
          <w:b/>
          <w:bCs/>
        </w:rPr>
        <w:t>﻿</w:t>
      </w:r>
      <w:r>
        <w:rPr>
          <w:rFonts w:ascii="Times New Roman" w:hAnsi="Times New Roman"/>
          <w:b/>
          <w:bCs/>
        </w:rPr>
        <w:t>of clinically significant prostate cancer in the PZ-target group.</w:t>
      </w:r>
    </w:p>
    <w:tbl>
      <w:tblPr>
        <w:tblW w:w="129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23"/>
        <w:gridCol w:w="4317"/>
        <w:gridCol w:w="4328"/>
      </w:tblGrid>
      <w:tr w:rsidR="00401C4D" w:rsidTr="000B6885">
        <w:trPr>
          <w:trHeight w:val="397"/>
        </w:trPr>
        <w:tc>
          <w:tcPr>
            <w:tcW w:w="4323" w:type="dxa"/>
            <w:tcBorders>
              <w:top w:val="single" w:sz="4" w:space="0" w:color="7F7F7F"/>
              <w:bottom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spacing w:after="0"/>
              <w:rPr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Variable</w:t>
            </w:r>
          </w:p>
        </w:tc>
        <w:tc>
          <w:tcPr>
            <w:tcW w:w="4317" w:type="dxa"/>
            <w:tcBorders>
              <w:top w:val="single" w:sz="4" w:space="0" w:color="7F7F7F"/>
              <w:bottom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spacing w:after="0"/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Cs w:val="22"/>
              </w:rPr>
              <w:t>OR (95% CI)</w:t>
            </w:r>
          </w:p>
        </w:tc>
        <w:tc>
          <w:tcPr>
            <w:tcW w:w="4328" w:type="dxa"/>
            <w:tcBorders>
              <w:top w:val="single" w:sz="4" w:space="0" w:color="7F7F7F"/>
              <w:bottom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spacing w:after="0"/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Cs w:val="22"/>
              </w:rPr>
              <w:t>p-value</w:t>
            </w:r>
          </w:p>
        </w:tc>
      </w:tr>
      <w:tr w:rsidR="00401C4D" w:rsidTr="000B6885">
        <w:trPr>
          <w:trHeight w:val="397"/>
        </w:trPr>
        <w:tc>
          <w:tcPr>
            <w:tcW w:w="4323" w:type="dxa"/>
            <w:tcBorders>
              <w:top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Age (year)</w:t>
            </w:r>
          </w:p>
        </w:tc>
        <w:tc>
          <w:tcPr>
            <w:tcW w:w="4317" w:type="dxa"/>
            <w:tcBorders>
              <w:top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1.07 (1.02–1.12)</w:t>
            </w:r>
          </w:p>
        </w:tc>
        <w:tc>
          <w:tcPr>
            <w:tcW w:w="4328" w:type="dxa"/>
            <w:tcBorders>
              <w:top w:val="single" w:sz="4" w:space="0" w:color="000000"/>
            </w:tcBorders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0.006</w:t>
            </w:r>
          </w:p>
        </w:tc>
      </w:tr>
      <w:tr w:rsidR="00401C4D" w:rsidTr="000B6885">
        <w:trPr>
          <w:trHeight w:val="397"/>
        </w:trPr>
        <w:tc>
          <w:tcPr>
            <w:tcW w:w="4323" w:type="dxa"/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Total prostate volume (mL)</w:t>
            </w:r>
          </w:p>
        </w:tc>
        <w:tc>
          <w:tcPr>
            <w:tcW w:w="4317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1.02 (1.00–1.04)</w:t>
            </w:r>
          </w:p>
        </w:tc>
        <w:tc>
          <w:tcPr>
            <w:tcW w:w="4328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0.101</w:t>
            </w:r>
          </w:p>
        </w:tc>
      </w:tr>
      <w:tr w:rsidR="00401C4D" w:rsidTr="000B6885">
        <w:trPr>
          <w:trHeight w:val="397"/>
        </w:trPr>
        <w:tc>
          <w:tcPr>
            <w:tcW w:w="4323" w:type="dxa"/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PI-RADS category (ref: ≤3)</w:t>
            </w:r>
          </w:p>
        </w:tc>
        <w:tc>
          <w:tcPr>
            <w:tcW w:w="4317" w:type="dxa"/>
            <w:vAlign w:val="center"/>
          </w:tcPr>
          <w:p w:rsidR="00401C4D" w:rsidRPr="00F95A8E" w:rsidRDefault="00401C4D" w:rsidP="000B6885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4328" w:type="dxa"/>
            <w:vAlign w:val="center"/>
          </w:tcPr>
          <w:p w:rsidR="00401C4D" w:rsidRPr="00F95A8E" w:rsidRDefault="00401C4D" w:rsidP="000B6885">
            <w:pPr>
              <w:spacing w:after="0"/>
              <w:jc w:val="center"/>
              <w:rPr>
                <w:szCs w:val="22"/>
              </w:rPr>
            </w:pPr>
          </w:p>
        </w:tc>
      </w:tr>
      <w:tr w:rsidR="00401C4D" w:rsidTr="000B6885">
        <w:trPr>
          <w:trHeight w:val="397"/>
        </w:trPr>
        <w:tc>
          <w:tcPr>
            <w:tcW w:w="4323" w:type="dxa"/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 xml:space="preserve">    PI-RADS 4</w:t>
            </w:r>
          </w:p>
        </w:tc>
        <w:tc>
          <w:tcPr>
            <w:tcW w:w="4317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6.92 (2.26–21.16)</w:t>
            </w:r>
          </w:p>
        </w:tc>
        <w:tc>
          <w:tcPr>
            <w:tcW w:w="4328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0.001</w:t>
            </w:r>
          </w:p>
        </w:tc>
      </w:tr>
      <w:tr w:rsidR="00401C4D" w:rsidTr="000B6885">
        <w:trPr>
          <w:trHeight w:val="397"/>
        </w:trPr>
        <w:tc>
          <w:tcPr>
            <w:tcW w:w="4323" w:type="dxa"/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 xml:space="preserve">    PI-RADS 5</w:t>
            </w:r>
          </w:p>
        </w:tc>
        <w:tc>
          <w:tcPr>
            <w:tcW w:w="4317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19.90 (5.26–75.20)</w:t>
            </w:r>
          </w:p>
        </w:tc>
        <w:tc>
          <w:tcPr>
            <w:tcW w:w="4328" w:type="dxa"/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&lt;0.001</w:t>
            </w:r>
          </w:p>
        </w:tc>
      </w:tr>
      <w:tr w:rsidR="00401C4D" w:rsidTr="000B6885">
        <w:trPr>
          <w:trHeight w:val="397"/>
        </w:trPr>
        <w:tc>
          <w:tcPr>
            <w:tcW w:w="4323" w:type="dxa"/>
            <w:tcBorders>
              <w:bottom w:val="single" w:sz="4" w:space="0" w:color="7F7F7F"/>
            </w:tcBorders>
            <w:vAlign w:val="center"/>
          </w:tcPr>
          <w:p w:rsidR="00401C4D" w:rsidRPr="00F95A8E" w:rsidRDefault="00401C4D" w:rsidP="000B6885">
            <w:pPr>
              <w:rPr>
                <w:szCs w:val="22"/>
              </w:rPr>
            </w:pPr>
            <w:r>
              <w:rPr>
                <w:rFonts w:ascii="Times New Roman" w:eastAsia="Times New Roman" w:hAnsi="Times New Roman"/>
                <w:bCs/>
                <w:szCs w:val="22"/>
              </w:rPr>
              <w:t>PSAD_PZ (ng/mL/cm³)</w:t>
            </w:r>
          </w:p>
        </w:tc>
        <w:tc>
          <w:tcPr>
            <w:tcW w:w="4317" w:type="dxa"/>
            <w:tcBorders>
              <w:bottom w:val="single" w:sz="4" w:space="0" w:color="7F7F7F"/>
            </w:tcBorders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2.57 (1.87–3.52)</w:t>
            </w:r>
          </w:p>
        </w:tc>
        <w:tc>
          <w:tcPr>
            <w:tcW w:w="4328" w:type="dxa"/>
            <w:tcBorders>
              <w:bottom w:val="single" w:sz="4" w:space="0" w:color="7F7F7F"/>
            </w:tcBorders>
            <w:vAlign w:val="center"/>
          </w:tcPr>
          <w:p w:rsidR="00401C4D" w:rsidRPr="00F95A8E" w:rsidRDefault="00401C4D" w:rsidP="000B6885">
            <w:pPr>
              <w:jc w:val="center"/>
              <w:rPr>
                <w:szCs w:val="22"/>
              </w:rPr>
            </w:pPr>
            <w:r>
              <w:rPr>
                <w:rFonts w:ascii="Times New Roman" w:eastAsia="Times New Roman" w:hAnsi="Times New Roman"/>
                <w:szCs w:val="22"/>
              </w:rPr>
              <w:t>&lt;0.001</w:t>
            </w:r>
          </w:p>
        </w:tc>
      </w:tr>
    </w:tbl>
    <w:p w:rsidR="00401C4D" w:rsidRPr="00F95A8E" w:rsidRDefault="00401C4D" w:rsidP="00401C4D">
      <w:pPr>
        <w:rPr>
          <w:rFonts w:ascii="Times New Roman" w:hAnsi="Times New Roman"/>
          <w:b/>
          <w:bCs/>
        </w:rPr>
      </w:pPr>
      <w:r>
        <w:rPr>
          <w:rFonts w:ascii="Tahoma" w:hAnsi="Tahoma" w:cs="Tahoma"/>
          <w:b/>
          <w:bCs/>
        </w:rPr>
        <w:t>﻿</w:t>
      </w:r>
      <w:r>
        <w:rPr>
          <w:rFonts w:ascii="Times New Roman" w:hAnsi="Times New Roman"/>
          <w:bCs/>
        </w:rPr>
        <w:t>PZ, peripheral zone; CI, confidence interval; OR, odds ratio.</w:t>
      </w:r>
      <w:bookmarkStart w:id="0" w:name="_GoBack"/>
      <w:bookmarkEnd w:id="0"/>
    </w:p>
    <w:p w:rsidR="00F62598" w:rsidRPr="00401C4D" w:rsidRDefault="00320ACF" w:rsidP="00401C4D"/>
    <w:sectPr w:rsidR="00F62598" w:rsidRPr="00401C4D" w:rsidSect="00884E6C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ACF" w:rsidRDefault="00320ACF" w:rsidP="00884E6C">
      <w:pPr>
        <w:spacing w:after="0"/>
      </w:pPr>
      <w:r>
        <w:separator/>
      </w:r>
    </w:p>
  </w:endnote>
  <w:endnote w:type="continuationSeparator" w:id="0">
    <w:p w:rsidR="00320ACF" w:rsidRDefault="00320ACF" w:rsidP="00884E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ACF" w:rsidRDefault="00320ACF" w:rsidP="00884E6C">
      <w:pPr>
        <w:spacing w:after="0"/>
      </w:pPr>
      <w:r>
        <w:separator/>
      </w:r>
    </w:p>
  </w:footnote>
  <w:footnote w:type="continuationSeparator" w:id="0">
    <w:p w:rsidR="00320ACF" w:rsidRDefault="00320ACF" w:rsidP="00884E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EA"/>
    <w:rsid w:val="000A39EA"/>
    <w:rsid w:val="00320ACF"/>
    <w:rsid w:val="00401C4D"/>
    <w:rsid w:val="004E0408"/>
    <w:rsid w:val="00884E6C"/>
    <w:rsid w:val="00CC6FF8"/>
    <w:rsid w:val="00E3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F06D25-6990-48BE-825D-F2BD258F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E6C"/>
    <w:pPr>
      <w:widowControl w:val="0"/>
      <w:suppressAutoHyphens/>
      <w:spacing w:line="240" w:lineRule="auto"/>
      <w:jc w:val="left"/>
    </w:pPr>
    <w:rPr>
      <w:rFonts w:ascii="맑은 고딕" w:eastAsia="맑은 고딕" w:hAnsi="맑은 고딕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E6C"/>
    <w:pPr>
      <w:tabs>
        <w:tab w:val="center" w:pos="4513"/>
        <w:tab w:val="right" w:pos="9026"/>
      </w:tabs>
      <w:suppressAutoHyphens w:val="0"/>
      <w:wordWrap w:val="0"/>
      <w:autoSpaceDE w:val="0"/>
      <w:autoSpaceDN w:val="0"/>
      <w:snapToGrid w:val="0"/>
      <w:spacing w:line="259" w:lineRule="auto"/>
      <w:jc w:val="both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884E6C"/>
  </w:style>
  <w:style w:type="paragraph" w:styleId="a4">
    <w:name w:val="footer"/>
    <w:basedOn w:val="a"/>
    <w:link w:val="Char0"/>
    <w:uiPriority w:val="99"/>
    <w:unhideWhenUsed/>
    <w:rsid w:val="00884E6C"/>
    <w:pPr>
      <w:tabs>
        <w:tab w:val="center" w:pos="4513"/>
        <w:tab w:val="right" w:pos="9026"/>
      </w:tabs>
      <w:suppressAutoHyphens w:val="0"/>
      <w:wordWrap w:val="0"/>
      <w:autoSpaceDE w:val="0"/>
      <w:autoSpaceDN w:val="0"/>
      <w:snapToGrid w:val="0"/>
      <w:spacing w:line="259" w:lineRule="auto"/>
      <w:jc w:val="both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884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SNUH</cp:lastModifiedBy>
  <cp:revision>3</cp:revision>
  <dcterms:created xsi:type="dcterms:W3CDTF">2026-09-04T00:51:00Z</dcterms:created>
  <dcterms:modified xsi:type="dcterms:W3CDTF">2026-09-04T00:53:00Z</dcterms:modified>
</cp:coreProperties>
</file>