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66786">
      <w:pPr>
        <w:jc w:val="center"/>
        <w:rPr>
          <w:rFonts w:hint="default" w:ascii="Times New Roman" w:hAnsi="Times New Roman" w:eastAsia="宋体" w:cs="Times New Roman"/>
          <w:kern w:val="0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kern w:val="0"/>
          <w:szCs w:val="21"/>
          <w:lang w:eastAsia="zh-CN"/>
        </w:rPr>
        <w:drawing>
          <wp:inline distT="0" distB="0" distL="114300" distR="114300">
            <wp:extent cx="4178935" cy="1822450"/>
            <wp:effectExtent l="0" t="0" r="12065" b="6350"/>
            <wp:docPr id="3" name="图片 3" descr="过表达载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过表达载体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8935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E363A">
      <w:pPr>
        <w:ind w:left="72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kern w:val="0"/>
          <w:szCs w:val="21"/>
        </w:rPr>
        <w:t xml:space="preserve">Fig. S1 </w:t>
      </w:r>
      <w:r>
        <w:rPr>
          <w:rFonts w:hint="default" w:ascii="Times New Roman" w:hAnsi="Times New Roman" w:cs="Times New Roman"/>
          <w:kern w:val="0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kern w:val="0"/>
          <w:szCs w:val="21"/>
        </w:rPr>
        <w:t xml:space="preserve"> Construction of the overexpression vector pBI121-StCCR6.</w:t>
      </w:r>
    </w:p>
    <w:p w14:paraId="6161515D">
      <w:pPr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i w:val="0"/>
        </w:rPr>
        <w:t xml:space="preserve">The </w:t>
      </w:r>
      <w:r>
        <w:rPr>
          <w:rFonts w:hint="default" w:ascii="Times New Roman" w:hAnsi="Times New Roman" w:cs="Times New Roman"/>
          <w:i/>
        </w:rPr>
        <w:t>StCCR6</w:t>
      </w:r>
      <w:r>
        <w:rPr>
          <w:rFonts w:hint="default" w:ascii="Times New Roman" w:hAnsi="Times New Roman" w:cs="Times New Roman"/>
          <w:i w:val="0"/>
        </w:rPr>
        <w:t xml:space="preserve"> coding sequence was amplified from the T3-StCCR6 plasmid using primers with added </w:t>
      </w:r>
      <w:r>
        <w:rPr>
          <w:rFonts w:hint="default" w:ascii="Times New Roman" w:hAnsi="Times New Roman" w:cs="Times New Roman"/>
          <w:i/>
        </w:rPr>
        <w:t>BamHI</w:t>
      </w:r>
      <w:r>
        <w:rPr>
          <w:rFonts w:hint="default" w:ascii="Times New Roman" w:hAnsi="Times New Roman" w:cs="Times New Roman"/>
          <w:i w:val="0"/>
        </w:rPr>
        <w:t xml:space="preserve"> and </w:t>
      </w:r>
      <w:r>
        <w:rPr>
          <w:rFonts w:hint="default" w:ascii="Times New Roman" w:hAnsi="Times New Roman" w:cs="Times New Roman"/>
          <w:i/>
        </w:rPr>
        <w:t>SmaI</w:t>
      </w:r>
      <w:r>
        <w:rPr>
          <w:rFonts w:hint="default" w:ascii="Times New Roman" w:hAnsi="Times New Roman" w:cs="Times New Roman"/>
          <w:i w:val="0"/>
        </w:rPr>
        <w:t xml:space="preserve"> restriction sites (Table S2), and ligated into the </w:t>
      </w:r>
      <w:r>
        <w:rPr>
          <w:rFonts w:hint="default" w:ascii="Times New Roman" w:hAnsi="Times New Roman" w:cs="Times New Roman"/>
          <w:i/>
        </w:rPr>
        <w:t>BamHI</w:t>
      </w:r>
      <w:r>
        <w:rPr>
          <w:rFonts w:hint="default" w:ascii="Times New Roman" w:hAnsi="Times New Roman" w:cs="Times New Roman"/>
          <w:i w:val="0"/>
        </w:rPr>
        <w:t>/</w:t>
      </w:r>
      <w:r>
        <w:rPr>
          <w:rFonts w:hint="default" w:ascii="Times New Roman" w:hAnsi="Times New Roman" w:cs="Times New Roman"/>
          <w:i/>
        </w:rPr>
        <w:t>SmaI</w:t>
      </w:r>
      <w:r>
        <w:rPr>
          <w:rFonts w:hint="default" w:ascii="Times New Roman" w:hAnsi="Times New Roman" w:cs="Times New Roman"/>
          <w:i w:val="0"/>
        </w:rPr>
        <w:t>-digested pBI121 binary vector. The recombinant plasmid pBI121-StCCR6 was verified by colony PCR, Sanger sequencing, and double-enzyme digestion, and</w:t>
      </w:r>
      <w:r>
        <w:rPr>
          <w:rFonts w:hint="default" w:ascii="Times New Roman" w:hAnsi="Times New Roman" w:cs="Times New Roman"/>
          <w:i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 w:val="0"/>
        </w:rPr>
        <w:t xml:space="preserve">subsequently introduced into </w:t>
      </w:r>
      <w:r>
        <w:rPr>
          <w:rFonts w:hint="default" w:ascii="Times New Roman" w:hAnsi="Times New Roman" w:cs="Times New Roman"/>
          <w:i/>
        </w:rPr>
        <w:t>Agrobacterium tumefaciens</w:t>
      </w:r>
      <w:r>
        <w:rPr>
          <w:rFonts w:hint="default" w:ascii="Times New Roman" w:hAnsi="Times New Roman" w:cs="Times New Roman"/>
          <w:i w:val="0"/>
        </w:rPr>
        <w:t xml:space="preserve"> strain GV3101.</w:t>
      </w:r>
    </w:p>
    <w:p w14:paraId="369AB927">
      <w:pPr>
        <w:keepNext/>
        <w:jc w:val="center"/>
        <w:rPr>
          <w:rFonts w:hint="default" w:ascii="Times New Roman" w:hAnsi="Times New Roman" w:eastAsia="宋体" w:cs="Times New Roman"/>
          <w:lang w:eastAsia="zh-CN"/>
        </w:rPr>
      </w:pPr>
    </w:p>
    <w:p w14:paraId="5BECED93">
      <w:pPr>
        <w:keepNext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435985" cy="1883410"/>
            <wp:effectExtent l="0" t="0" r="5715" b="8890"/>
            <wp:docPr id="75" name="图片 75" descr="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12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35985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DD04D">
      <w:pPr>
        <w:keepNext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Fig. 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sz w:val="21"/>
          <w:szCs w:val="21"/>
        </w:rPr>
        <w:t xml:space="preserve"> PCR products of the dsDNA fragments to be digested.</w:t>
      </w:r>
    </w:p>
    <w:p w14:paraId="25A21293">
      <w:pPr>
        <w:jc w:val="center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M, DL2000 DNA marker; lanes 1–5, PCR products of the dsDNA fragments.</w:t>
      </w:r>
    </w:p>
    <w:p w14:paraId="32FEC7E0">
      <w:pPr>
        <w:ind w:firstLine="420" w:firstLineChars="200"/>
        <w:jc w:val="center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3100070" cy="1926590"/>
            <wp:effectExtent l="0" t="0" r="11430" b="3810"/>
            <wp:docPr id="1" name="图片 1" descr="S2.gRNA的PCR结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2.gRNA的PCR结果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24C7D">
      <w:pPr>
        <w:keepNext/>
        <w:jc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Fig. S</w:t>
      </w:r>
      <w:r>
        <w:rPr>
          <w:rFonts w:hint="default" w:ascii="Times New Roman" w:hAnsi="Times New Roman" w:cs="Times New Roman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szCs w:val="21"/>
        </w:rPr>
        <w:t xml:space="preserve"> </w:t>
      </w:r>
      <w:r>
        <w:rPr>
          <w:rFonts w:hint="default" w:ascii="Times New Roman" w:hAnsi="Times New Roman" w:cs="Times New Roman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szCs w:val="21"/>
        </w:rPr>
        <w:t xml:space="preserve"> PCR verification of the target-site gRNAs.</w:t>
      </w:r>
    </w:p>
    <w:p w14:paraId="31B6B575">
      <w:pPr>
        <w:keepNext/>
        <w:jc w:val="center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sz w:val="18"/>
          <w:szCs w:val="18"/>
        </w:rPr>
        <w:t>M, DL2000 DNA marker; lanes 1–5, PCR products of the five target-site gRNAs; lanes 6–7, PCR products of the standard gRNAs.</w:t>
      </w:r>
    </w:p>
    <w:p w14:paraId="1F231935">
      <w:pPr>
        <w:ind w:firstLine="420" w:firstLineChars="200"/>
        <w:jc w:val="center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9230" cy="3085465"/>
            <wp:effectExtent l="0" t="0" r="0" b="0"/>
            <wp:docPr id="5" name="图片 5" descr="S4.体外酶切结果（优化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4.体外酶切结果（优化）"/>
                    <pic:cNvPicPr>
                      <a:picLocks noChangeAspect="1"/>
                    </pic:cNvPicPr>
                  </pic:nvPicPr>
                  <pic:blipFill>
                    <a:blip r:embed="rId7"/>
                    <a:srcRect l="-72" t="16855" r="7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A3CF3">
      <w:pPr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Fig. S4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sz w:val="21"/>
          <w:szCs w:val="21"/>
        </w:rPr>
        <w:t xml:space="preserve"> In vitro digestion of the target sites.</w:t>
      </w:r>
    </w:p>
    <w:p w14:paraId="4020BFF1">
      <w:pPr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kern w:val="0"/>
          <w:sz w:val="21"/>
          <w:szCs w:val="21"/>
        </w:rPr>
        <w:t>M, DL2000 DNA marker; lanes 1–4, restriction digestion of the four target sites; g1 and g2, restriction digestion of the standard gRNAs; PC1 and PC2, restriction digestion of the positive controls.</w:t>
      </w:r>
    </w:p>
    <w:p w14:paraId="4430CC86">
      <w:pPr>
        <w:rPr>
          <w:rFonts w:hint="default" w:ascii="Times New Roman" w:hAnsi="Times New Roman" w:cs="Times New Roman"/>
        </w:rPr>
      </w:pPr>
    </w:p>
    <w:p w14:paraId="121D773E">
      <w:pPr>
        <w:ind w:firstLine="360" w:firstLineChars="200"/>
        <w:jc w:val="center"/>
        <w:rPr>
          <w:rFonts w:hint="default" w:ascii="Times New Roman" w:hAnsi="Times New Roman" w:cs="Times New Roman"/>
          <w:sz w:val="18"/>
          <w:szCs w:val="18"/>
        </w:rPr>
      </w:pPr>
    </w:p>
    <w:p w14:paraId="2A2C2D1E">
      <w:pPr>
        <w:jc w:val="center"/>
        <w:rPr>
          <w:rFonts w:hint="default" w:ascii="Times New Roman" w:hAnsi="Times New Roman" w:eastAsia="宋体" w:cs="Times New Roman"/>
          <w:kern w:val="0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kern w:val="0"/>
          <w:szCs w:val="21"/>
          <w:lang w:eastAsia="zh-CN"/>
        </w:rPr>
        <w:drawing>
          <wp:inline distT="0" distB="0" distL="114300" distR="114300">
            <wp:extent cx="5077460" cy="3229610"/>
            <wp:effectExtent l="0" t="0" r="2540" b="8890"/>
            <wp:docPr id="6" name="图片 6" descr="转基因马铃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转基因马铃薯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7460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A9147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Fig. S5 </w:t>
      </w:r>
      <w:r>
        <w:rPr>
          <w:rFonts w:hint="default" w:ascii="Times New Roman" w:hAnsi="Times New Roman" w:cs="Times New Roman"/>
          <w:lang w:val="en-US" w:eastAsia="zh-CN"/>
        </w:rPr>
        <w:t>-</w:t>
      </w:r>
      <w:r>
        <w:rPr>
          <w:rFonts w:hint="default" w:ascii="Times New Roman" w:hAnsi="Times New Roman" w:cs="Times New Roman"/>
        </w:rPr>
        <w:t xml:space="preserve"> Genetic transformation and regeneration of potato chips in vitro.</w:t>
      </w:r>
    </w:p>
    <w:p w14:paraId="38469E3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 w:val="0"/>
        </w:rPr>
        <w:t xml:space="preserve">Sterile plantlet-derived minitubers were sliced into 1–2 mm thick chips, pre-cultured on 1/4 MS medium for 2 d, and infected with </w:t>
      </w:r>
      <w:r>
        <w:rPr>
          <w:rFonts w:hint="default" w:ascii="Times New Roman" w:hAnsi="Times New Roman" w:cs="Times New Roman"/>
          <w:i/>
        </w:rPr>
        <w:t>Agrobacterium tumefaciens</w:t>
      </w:r>
      <w:r>
        <w:rPr>
          <w:rFonts w:hint="default" w:ascii="Times New Roman" w:hAnsi="Times New Roman" w:cs="Times New Roman"/>
          <w:i w:val="0"/>
        </w:rPr>
        <w:t xml:space="preserve"> GV3101 carrying the pBI121-StCCR6 vector. Infected chips were transferred to shoot-induction medium containing kanamycin (50 mg/L); regenerated shoots (1–2 cm) were elongated and rooted on MS medium supplemented with CCC (50 mg/L) and kanamycin (75 mg/L).</w:t>
      </w:r>
    </w:p>
    <w:p w14:paraId="682E98DC">
      <w:pPr>
        <w:ind w:firstLine="420" w:firstLineChars="200"/>
        <w:jc w:val="center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4061460" cy="1865630"/>
            <wp:effectExtent l="0" t="0" r="2540" b="1270"/>
            <wp:docPr id="7" name="图片 7" descr="S6.过表达载体p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6.过表达载体pcr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3FF84">
      <w:pPr>
        <w:ind w:firstLine="420" w:firstLineChars="200"/>
        <w:jc w:val="center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 xml:space="preserve">Fig. S6 </w:t>
      </w:r>
      <w:r>
        <w:rPr>
          <w:rFonts w:hint="default" w:ascii="Times New Roman" w:hAnsi="Times New Roman" w:cs="Times New Roman"/>
          <w:kern w:val="0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kern w:val="0"/>
          <w:szCs w:val="21"/>
        </w:rPr>
        <w:t xml:space="preserve"> PCR identification of vector-specific fragments of StCCR6-overexpressing plants.</w:t>
      </w:r>
    </w:p>
    <w:p w14:paraId="5E0CE8E9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kern w:val="0"/>
          <w:szCs w:val="21"/>
        </w:rPr>
        <w:t>M, DNA molecular weight marker (DL2000); lane 1, wild-type; lane 2, positive control; lanes 3–10, StCCR6-overexpressing plants.</w:t>
      </w:r>
    </w:p>
    <w:p w14:paraId="2542962B">
      <w:pPr>
        <w:jc w:val="center"/>
        <w:rPr>
          <w:rFonts w:hint="default" w:ascii="Times New Roman" w:hAnsi="Times New Roman" w:cs="Times New Roman"/>
        </w:rPr>
      </w:pPr>
    </w:p>
    <w:p w14:paraId="51069F81">
      <w:pPr>
        <w:keepNext/>
        <w:jc w:val="center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3556635" cy="2215515"/>
            <wp:effectExtent l="0" t="0" r="12065" b="6985"/>
            <wp:docPr id="8" name="图片 8" descr="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07A9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Fig. S7 </w:t>
      </w:r>
      <w:r>
        <w:rPr>
          <w:rFonts w:hint="default" w:ascii="Times New Roman" w:hAnsi="Times New Roman" w:cs="Times New Roman"/>
          <w:lang w:val="en-US" w:eastAsia="zh-CN"/>
        </w:rPr>
        <w:t>-</w:t>
      </w:r>
      <w:r>
        <w:rPr>
          <w:rFonts w:hint="default" w:ascii="Times New Roman" w:hAnsi="Times New Roman" w:cs="Times New Roman"/>
        </w:rPr>
        <w:t xml:space="preserve"> PCR identification of the hygromycin resistance gene in transgenic plants.</w:t>
      </w:r>
    </w:p>
    <w:p w14:paraId="4D3E2C27"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Transgenic plants were identified by PCR amplification of the hygromycin resistance gene using primers Hygjc2-F and Hygjc2-R</w:t>
      </w:r>
      <w:bookmarkStart w:id="0" w:name="_GoBack"/>
      <w:bookmarkEnd w:id="0"/>
      <w:r>
        <w:rPr>
          <w:rFonts w:hint="default" w:ascii="Times New Roman" w:hAnsi="Times New Roman" w:cs="Times New Roman"/>
        </w:rPr>
        <w:t>.</w:t>
      </w:r>
    </w:p>
    <w:p w14:paraId="343E7C10">
      <w:pPr>
        <w:jc w:val="center"/>
        <w:rPr>
          <w:rFonts w:hint="default" w:ascii="Times New Roman" w:hAnsi="Times New Roman" w:cs="Times New Roman"/>
        </w:rPr>
      </w:pPr>
    </w:p>
    <w:p w14:paraId="346F7907">
      <w:pPr>
        <w:jc w:val="center"/>
        <w:rPr>
          <w:rFonts w:hint="default" w:ascii="Times New Roman" w:hAnsi="Times New Roman" w:cs="Times New Roman"/>
        </w:rPr>
      </w:pPr>
    </w:p>
    <w:p w14:paraId="5A6BAF78">
      <w:pPr>
        <w:jc w:val="center"/>
        <w:rPr>
          <w:rFonts w:hint="default" w:ascii="Times New Roman" w:hAnsi="Times New Roman" w:cs="Times New Roman"/>
          <w:kern w:val="0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DE4FFD"/>
    <w:rsid w:val="00F44F2E"/>
    <w:rsid w:val="02855883"/>
    <w:rsid w:val="03E066C1"/>
    <w:rsid w:val="0D4F22BD"/>
    <w:rsid w:val="0E3B7968"/>
    <w:rsid w:val="0F2E3071"/>
    <w:rsid w:val="17955362"/>
    <w:rsid w:val="1ADD7EE7"/>
    <w:rsid w:val="20924B74"/>
    <w:rsid w:val="219A17D5"/>
    <w:rsid w:val="23FF584D"/>
    <w:rsid w:val="38DE4FFD"/>
    <w:rsid w:val="4A04409B"/>
    <w:rsid w:val="505D5503"/>
    <w:rsid w:val="544C37FA"/>
    <w:rsid w:val="59126A53"/>
    <w:rsid w:val="5AF31186"/>
    <w:rsid w:val="65B96C02"/>
    <w:rsid w:val="6E66618C"/>
    <w:rsid w:val="6FB17BCD"/>
    <w:rsid w:val="70D33D31"/>
    <w:rsid w:val="735D48C0"/>
    <w:rsid w:val="76CD5077"/>
    <w:rsid w:val="79554FB7"/>
    <w:rsid w:val="7ACE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287</Words>
  <Characters>1664</Characters>
  <Lines>0</Lines>
  <Paragraphs>0</Paragraphs>
  <TotalTime>0</TotalTime>
  <ScaleCrop>false</ScaleCrop>
  <LinksUpToDate>false</LinksUpToDate>
  <CharactersWithSpaces>1937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2026-05-19T06:51:00Z</dcterms:created>
  <dc:creator>流君乘月</dc:creator>
  <cp:lastModifiedBy>流君乘月</cp:lastModifiedBy>
  <dcterms:modified xsi:type="dcterms:W3CDTF">2026-09-01T12:57:38Z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CF5359D89EA747EE8B1CBDE64081B6C6_13</vt:lpwstr>
  </property>
  <property fmtid="{D5CDD505-2E9C-101B-9397-08002B2CF9AE}" pid="4" name="KSOTemplateDocerSaveRecord">
    <vt:lpwstr>eyJoZGlkIjoiYjdmZDIzNzA1NzM0YjcyMTgzMTkwMTY2YTNiODVmN2EiLCJ1c2VySWQiOiI3Njg2ODUyODcifQ==</vt:lpwstr>
  </property>
</Properties>
</file>