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01DA9" w14:textId="5120831F" w:rsidR="00353D93" w:rsidRPr="00FB4F4F" w:rsidRDefault="00353D93" w:rsidP="00353D93">
      <w:pPr>
        <w:jc w:val="center"/>
        <w:rPr>
          <w:rFonts w:cs="Times New Roman"/>
          <w:color w:val="262626"/>
          <w:sz w:val="28"/>
          <w:szCs w:val="28"/>
        </w:rPr>
      </w:pPr>
      <w:r w:rsidRPr="00FB4F4F">
        <w:rPr>
          <w:rFonts w:eastAsia="Times New Roman" w:cs="Times New Roman"/>
          <w:color w:val="262626"/>
          <w:sz w:val="28"/>
          <w:szCs w:val="28"/>
        </w:rPr>
        <w:t>Supplementary information</w:t>
      </w:r>
      <w:r w:rsidRPr="00FB4F4F">
        <w:rPr>
          <w:rFonts w:cs="Times New Roman"/>
          <w:color w:val="262626"/>
          <w:sz w:val="28"/>
          <w:szCs w:val="28"/>
        </w:rPr>
        <w:t xml:space="preserve"> for</w:t>
      </w:r>
    </w:p>
    <w:p w14:paraId="213EB5F6" w14:textId="77777777" w:rsidR="00353D93" w:rsidRPr="00FB4F4F" w:rsidRDefault="00353D93" w:rsidP="00353D93">
      <w:pPr>
        <w:spacing w:afterLines="100" w:after="312" w:line="360" w:lineRule="auto"/>
        <w:jc w:val="center"/>
        <w:rPr>
          <w:rFonts w:eastAsia="SimSun" w:cs="Times New Roman"/>
          <w:b/>
          <w:bCs/>
          <w:sz w:val="32"/>
          <w:szCs w:val="32"/>
        </w:rPr>
      </w:pPr>
      <w:r w:rsidRPr="00FB4F4F">
        <w:rPr>
          <w:rFonts w:cs="Times New Roman"/>
          <w:b/>
          <w:bCs/>
          <w:sz w:val="32"/>
          <w:szCs w:val="32"/>
        </w:rPr>
        <w:t>Wind Damping of Internal Tides in the Global Ocean</w:t>
      </w:r>
    </w:p>
    <w:p w14:paraId="7DD75AD5" w14:textId="77777777" w:rsidR="00353D93" w:rsidRPr="00FB4F4F" w:rsidRDefault="00353D93" w:rsidP="00353D93">
      <w:pPr>
        <w:spacing w:afterLines="100" w:after="312"/>
        <w:jc w:val="center"/>
        <w:rPr>
          <w:rFonts w:cs="Times New Roman"/>
          <w:sz w:val="28"/>
          <w:szCs w:val="28"/>
        </w:rPr>
      </w:pPr>
      <w:proofErr w:type="spellStart"/>
      <w:r w:rsidRPr="00FB4F4F">
        <w:rPr>
          <w:rFonts w:cs="Times New Roman"/>
          <w:sz w:val="28"/>
          <w:szCs w:val="28"/>
        </w:rPr>
        <w:t>Yuxun</w:t>
      </w:r>
      <w:proofErr w:type="spellEnd"/>
      <w:r w:rsidRPr="00FB4F4F">
        <w:rPr>
          <w:rFonts w:cs="Times New Roman"/>
          <w:sz w:val="28"/>
          <w:szCs w:val="28"/>
        </w:rPr>
        <w:t xml:space="preserve"> Liu</w:t>
      </w:r>
      <w:r w:rsidRPr="00FB4F4F">
        <w:rPr>
          <w:rFonts w:cs="Times New Roman"/>
          <w:sz w:val="28"/>
          <w:szCs w:val="28"/>
          <w:vertAlign w:val="superscript"/>
        </w:rPr>
        <w:t>1</w:t>
      </w:r>
      <w:r w:rsidRPr="00FB4F4F">
        <w:rPr>
          <w:rFonts w:cs="Times New Roman"/>
          <w:sz w:val="28"/>
          <w:szCs w:val="28"/>
        </w:rPr>
        <w:t>, Zhiyu Liu</w:t>
      </w:r>
      <w:r w:rsidRPr="00FB4F4F">
        <w:rPr>
          <w:rFonts w:cs="Times New Roman"/>
          <w:sz w:val="28"/>
          <w:szCs w:val="28"/>
          <w:vertAlign w:val="superscript"/>
        </w:rPr>
        <w:t>1*</w:t>
      </w:r>
      <w:r w:rsidRPr="00FB4F4F">
        <w:rPr>
          <w:rFonts w:cs="Times New Roman"/>
          <w:sz w:val="28"/>
          <w:szCs w:val="28"/>
        </w:rPr>
        <w:t>, Dong Wang</w:t>
      </w:r>
      <w:r w:rsidRPr="00FB4F4F">
        <w:rPr>
          <w:rFonts w:cs="Times New Roman"/>
          <w:sz w:val="28"/>
          <w:szCs w:val="28"/>
          <w:vertAlign w:val="superscript"/>
        </w:rPr>
        <w:t>1</w:t>
      </w:r>
      <w:r w:rsidRPr="00FB4F4F">
        <w:rPr>
          <w:rFonts w:cs="Times New Roman"/>
          <w:sz w:val="28"/>
          <w:szCs w:val="28"/>
        </w:rPr>
        <w:t xml:space="preserve"> &amp; Chuanyin Wang</w:t>
      </w:r>
      <w:r w:rsidRPr="00FB4F4F">
        <w:rPr>
          <w:rFonts w:cs="Times New Roman"/>
          <w:sz w:val="28"/>
          <w:szCs w:val="28"/>
          <w:vertAlign w:val="superscript"/>
        </w:rPr>
        <w:t>2</w:t>
      </w:r>
    </w:p>
    <w:p w14:paraId="49C48D9F" w14:textId="77777777" w:rsidR="00353D93" w:rsidRPr="00FB4F4F" w:rsidRDefault="00353D93" w:rsidP="00353D93">
      <w:pPr>
        <w:ind w:firstLineChars="200" w:firstLine="560"/>
        <w:rPr>
          <w:rFonts w:cs="Times New Roman"/>
          <w:sz w:val="28"/>
          <w:szCs w:val="28"/>
        </w:rPr>
      </w:pPr>
      <w:r w:rsidRPr="00FB4F4F">
        <w:rPr>
          <w:rFonts w:cs="Times New Roman"/>
          <w:sz w:val="28"/>
          <w:szCs w:val="28"/>
          <w:vertAlign w:val="superscript"/>
        </w:rPr>
        <w:t>1</w:t>
      </w:r>
      <w:r w:rsidRPr="00FB4F4F">
        <w:rPr>
          <w:rFonts w:cs="Times New Roman"/>
          <w:sz w:val="28"/>
          <w:szCs w:val="28"/>
        </w:rPr>
        <w:t>State Key Laboratory of Marine Environmental Science, and Department of Physical Oceanography and Meteorology, College of Ocean and Earth Sciences, Xiamen University, Xiamen, China</w:t>
      </w:r>
    </w:p>
    <w:p w14:paraId="1479EA80" w14:textId="77777777" w:rsidR="00353D93" w:rsidRPr="00FB4F4F" w:rsidRDefault="00353D93" w:rsidP="00353D93">
      <w:pPr>
        <w:ind w:firstLineChars="200" w:firstLine="560"/>
        <w:rPr>
          <w:rFonts w:cs="Times New Roman"/>
          <w:sz w:val="28"/>
          <w:szCs w:val="28"/>
        </w:rPr>
      </w:pPr>
      <w:r w:rsidRPr="00FB4F4F">
        <w:rPr>
          <w:rFonts w:cs="Times New Roman"/>
          <w:sz w:val="28"/>
          <w:szCs w:val="28"/>
          <w:vertAlign w:val="superscript"/>
        </w:rPr>
        <w:t>2</w:t>
      </w:r>
      <w:r w:rsidRPr="00FB4F4F">
        <w:rPr>
          <w:rFonts w:cs="Times New Roman"/>
          <w:sz w:val="28"/>
          <w:szCs w:val="28"/>
        </w:rPr>
        <w:t>Southern Marine Science and Engineering Guangdong Laboratory (Zhuhai), Zhuhai, China</w:t>
      </w:r>
    </w:p>
    <w:p w14:paraId="2425ECE5" w14:textId="77777777" w:rsidR="00353D93" w:rsidRPr="00FB4F4F" w:rsidRDefault="00353D93" w:rsidP="00353D93">
      <w:pPr>
        <w:ind w:firstLineChars="200" w:firstLine="560"/>
        <w:rPr>
          <w:rFonts w:cs="Times New Roman"/>
          <w:sz w:val="28"/>
          <w:szCs w:val="28"/>
        </w:rPr>
      </w:pPr>
    </w:p>
    <w:p w14:paraId="428F3762" w14:textId="08C73EC4" w:rsidR="00353D93" w:rsidRPr="00FB4F4F" w:rsidRDefault="00353D93">
      <w:pPr>
        <w:rPr>
          <w:rFonts w:cs="Times New Roman"/>
          <w:sz w:val="24"/>
          <w:szCs w:val="24"/>
        </w:rPr>
      </w:pPr>
      <w:r w:rsidRPr="00FB4F4F">
        <w:rPr>
          <w:rFonts w:cs="Times New Roman"/>
          <w:sz w:val="28"/>
          <w:szCs w:val="28"/>
        </w:rPr>
        <w:t>*Correspondence to: Zhiyu Liu, zyliu@xmu.edu.cn</w:t>
      </w:r>
    </w:p>
    <w:p w14:paraId="5D6BA7DD" w14:textId="77777777" w:rsidR="00353D93" w:rsidRPr="00FB4F4F" w:rsidRDefault="00353D93">
      <w:pPr>
        <w:rPr>
          <w:rFonts w:cs="Times New Roman"/>
        </w:rPr>
      </w:pPr>
    </w:p>
    <w:p w14:paraId="234AC691" w14:textId="77777777" w:rsidR="00353D93" w:rsidRPr="00FB4F4F" w:rsidRDefault="00353D93" w:rsidP="00353D93">
      <w:pPr>
        <w:rPr>
          <w:rFonts w:eastAsia="Times New Roman" w:cs="Times New Roman"/>
          <w:b/>
          <w:bCs/>
          <w:color w:val="262626"/>
          <w:sz w:val="28"/>
          <w:szCs w:val="28"/>
        </w:rPr>
      </w:pPr>
      <w:r w:rsidRPr="00FB4F4F">
        <w:rPr>
          <w:rFonts w:eastAsia="Times New Roman" w:cs="Times New Roman"/>
          <w:b/>
          <w:bCs/>
          <w:color w:val="262626"/>
          <w:sz w:val="28"/>
          <w:szCs w:val="28"/>
        </w:rPr>
        <w:t>Supplementary Methods</w:t>
      </w:r>
    </w:p>
    <w:p w14:paraId="06B060BA" w14:textId="77777777" w:rsidR="00353D93" w:rsidRPr="00FB4F4F" w:rsidRDefault="00353D93" w:rsidP="00353D93">
      <w:pPr>
        <w:rPr>
          <w:rFonts w:eastAsia="SimSun" w:cs="Times New Roman"/>
          <w:b/>
          <w:sz w:val="28"/>
          <w:szCs w:val="28"/>
        </w:rPr>
      </w:pPr>
      <w:r w:rsidRPr="00FB4F4F">
        <w:rPr>
          <w:rFonts w:eastAsia="SimSun" w:cs="Times New Roman"/>
          <w:b/>
          <w:sz w:val="28"/>
          <w:szCs w:val="28"/>
        </w:rPr>
        <w:t>Two-way coupled ocean-atmosphere simulation</w:t>
      </w:r>
    </w:p>
    <w:p w14:paraId="377B6DF4" w14:textId="44D8EF6C" w:rsidR="00353D93" w:rsidRPr="00FB4F4F" w:rsidRDefault="00353D93" w:rsidP="002F4710">
      <w:pPr>
        <w:spacing w:line="480" w:lineRule="auto"/>
        <w:jc w:val="left"/>
        <w:rPr>
          <w:rFonts w:eastAsia="SimSun" w:cs="Times New Roman"/>
          <w:sz w:val="24"/>
          <w:szCs w:val="24"/>
        </w:rPr>
      </w:pPr>
      <w:r w:rsidRPr="00FB4F4F">
        <w:rPr>
          <w:rFonts w:eastAsia="SimSun" w:cs="Times New Roman"/>
          <w:sz w:val="24"/>
          <w:szCs w:val="24"/>
        </w:rPr>
        <w:t>We additionally used the global coupled ocean-atmosphere simulation (COAS) described by Torres et al.</w:t>
      </w:r>
      <w:r w:rsidRPr="00FB4F4F">
        <w:rPr>
          <w:rFonts w:eastAsia="SimSun" w:cs="Times New Roman"/>
          <w:sz w:val="24"/>
          <w:szCs w:val="24"/>
        </w:rPr>
        <w:fldChar w:fldCharType="begin"/>
      </w:r>
      <w:r w:rsidRPr="00FB4F4F">
        <w:rPr>
          <w:rFonts w:eastAsia="SimSun" w:cs="Times New Roman"/>
          <w:sz w:val="24"/>
          <w:szCs w:val="24"/>
        </w:rPr>
        <w:instrText xml:space="preserve"> ADDIN ZOTERO_ITEM CSL_CITATION {"citationID":"od1QH7te","properties":{"unsorted":false,"formattedCitation":"\\super 24\\nosupersub{}","plainCitation":"24","noteIndex":0},"citationItems":[{"id":135,"uris":["http://zotero.org/users/local/cx2g8StL/items/EVQKDQYG"],"itemData":{"id":135,"type":"article-journal","abstract":"Abstract. Wind work at the air-sea interface is the transfer of kinetic energy between the ocean and the atmosphere and, as such, is an important part of the ocean-atmosphere coupled system. Wind work is defined as the scalar product of ocean wind stress and surface current, with each of these two variables spanning, in this study, a broad range of spatial and temporal scales, from 10 km to more than 3000 km and hours to months. These characteristics emphasize wind work's multiscale nature. In the absence of appropriate global observations, our study makes use of a new global, coupled ocean-atmosphere simulation, with horizontal grid spacing of 2–5 km for the ocean and 7 km for the atmosphere, analyzed for 12 months.\nWe develop a methodology, both in physical and spectral spaces, to diagnose three different components of wind work that force distinct classes of ocean motions, including high-frequency internal gravity waves, such as near-inertial oscillations, low-frequency currents such as those associated with eddies, and seasonally averaged currents, such as zonal tropical and equatorial jets.\nThe total wind work, integrated globally, has a magnitude close to 5 TW, a value that matches recent estimates. Each of the first two components that force high-frequency and low-frequency currents, accounts for </w:instrText>
      </w:r>
      <w:r w:rsidRPr="00FB4F4F">
        <w:rPr>
          <w:rFonts w:ascii="Cambria Math" w:eastAsia="SimSun" w:hAnsi="Cambria Math" w:cs="Cambria Math"/>
          <w:sz w:val="24"/>
          <w:szCs w:val="24"/>
        </w:rPr>
        <w:instrText>∼</w:instrText>
      </w:r>
      <w:r w:rsidRPr="00FB4F4F">
        <w:rPr>
          <w:rFonts w:eastAsia="SimSun" w:cs="Times New Roman"/>
          <w:sz w:val="24"/>
          <w:szCs w:val="24"/>
        </w:rPr>
        <w:instrText xml:space="preserve"> 28 % of the total wind work and the third one that forces seasonally averaged currents, </w:instrText>
      </w:r>
      <w:r w:rsidRPr="00FB4F4F">
        <w:rPr>
          <w:rFonts w:ascii="Cambria Math" w:eastAsia="SimSun" w:hAnsi="Cambria Math" w:cs="Cambria Math"/>
          <w:sz w:val="24"/>
          <w:szCs w:val="24"/>
        </w:rPr>
        <w:instrText>∼</w:instrText>
      </w:r>
      <w:r w:rsidRPr="00FB4F4F">
        <w:rPr>
          <w:rFonts w:eastAsia="SimSun" w:cs="Times New Roman"/>
          <w:sz w:val="24"/>
          <w:szCs w:val="24"/>
        </w:rPr>
        <w:instrText xml:space="preserve"> 44 %. These three components, when integrated globally, weakly vary with seasons but their spatial distribution over the oceans has strong seasonal and latitudinal variations. In addition, the high-frequency component that forces internal gravity waves, is highly sensitive to the collocation in space and time (at scales of a few hours) of wind stresses and ocean currents. Furthermore, the low-frequency wind work component acts to dampen currents with a size smaller than 250 km and strengthen currents with larger sizes. This emphasizes the need to perform a full kinetic budget involving the wind work and nonlinear advection terms as small and larger-scale low-frequency currents interact through these nonlinear terms.\nThe complex interplay of surface wind stresses and currents revealed by the numerical simulation motivates the need for winds and currents satellite missions to directly observe wind work.","container-title":"Geoscientific Model Development","DOI":"10.5194/gmd-15-8041-2022","ISSN":"1991-9603","issue":"21","journalAbbreviation":"Geosci. Model Dev.","language":"en","license":"https://creativecommons.org/licenses/by/4.0/","page":"8041-8058","source":"DOI.org (Crossref)","title":"Wind work at the air-sea interface: a modeling study in anticipation of future space missions","title-short":"Wind work at the air-sea interface","volume":"15","author":[{"family":"Torres","given":"Hector S."},{"family":"Klein","given":"Patrice"},{"family":"Wang","given":"Jinbo"},{"family":"Wineteer","given":"Alexander"},{"family":"Qiu","given":"Bo"},{"family":"Thompson","given":"Andrew F."},{"family":"Renault","given":"Lionel"},{"family":"Rodriguez","given":"Ernesto"},{"family":"Menemenlis","given":"Dimitris"},{"family":"Molod","given":"Andrea"},{"family":"Hill","given":"Christopher N."},{"family":"Strobach","given":"Ehud"},{"family":"Zhang","given":"Hong"},{"family":"Flexas","given":"Mar"},{"family":"Perkovic-Martin","given":"Dragana"}],"issued":{"date-parts":[["2022",11,7]]}}}],"schema":"https://github.com/citation-style-language/schema/raw/master/csl-citation.json"} </w:instrText>
      </w:r>
      <w:r w:rsidRPr="00FB4F4F">
        <w:rPr>
          <w:rFonts w:eastAsia="SimSun" w:cs="Times New Roman"/>
          <w:sz w:val="24"/>
          <w:szCs w:val="24"/>
        </w:rPr>
        <w:fldChar w:fldCharType="separate"/>
      </w:r>
      <w:r w:rsidRPr="00FB4F4F">
        <w:rPr>
          <w:rFonts w:cs="Times New Roman"/>
          <w:kern w:val="0"/>
          <w:sz w:val="24"/>
          <w:szCs w:val="24"/>
          <w:vertAlign w:val="superscript"/>
        </w:rPr>
        <w:t>24</w:t>
      </w:r>
      <w:r w:rsidRPr="00FB4F4F">
        <w:rPr>
          <w:rFonts w:eastAsia="SimSun" w:cs="Times New Roman"/>
          <w:sz w:val="24"/>
          <w:szCs w:val="24"/>
        </w:rPr>
        <w:fldChar w:fldCharType="end"/>
      </w:r>
      <w:r w:rsidRPr="00FB4F4F">
        <w:rPr>
          <w:rFonts w:eastAsia="SimSun" w:cs="Times New Roman"/>
          <w:sz w:val="24"/>
          <w:szCs w:val="24"/>
        </w:rPr>
        <w:t xml:space="preserve"> COAS couples the Goddard Earth Observing System (GEOS) atmospheric model with the Massachusetts Institute of Technology General Circulation Model (MITgcm). The atmospheric component uses the C1440 cubed-sphere configuration with a nominal horizontal grid spacing of 6.9 km and 72 vertical levels, whereas the ocean component uses the LLC2160 configuration with a nominal horizontal resolution of 1/24° and 90 vertical levels. The ocean model includes tidal forcing, allowing the generation and propagation of ITs.</w:t>
      </w:r>
    </w:p>
    <w:p w14:paraId="50F19CBB" w14:textId="6DABC633" w:rsidR="00353D93" w:rsidRPr="00FB4F4F" w:rsidRDefault="00353D93" w:rsidP="002A7C80">
      <w:pPr>
        <w:spacing w:line="480" w:lineRule="auto"/>
        <w:ind w:firstLineChars="200" w:firstLine="480"/>
        <w:jc w:val="left"/>
        <w:rPr>
          <w:rFonts w:eastAsia="SimSun" w:cs="Times New Roman"/>
          <w:sz w:val="24"/>
          <w:szCs w:val="24"/>
        </w:rPr>
      </w:pPr>
      <w:r w:rsidRPr="00FB4F4F">
        <w:rPr>
          <w:rFonts w:eastAsia="SimSun" w:cs="Times New Roman"/>
          <w:sz w:val="24"/>
          <w:szCs w:val="24"/>
        </w:rPr>
        <w:t xml:space="preserve">The atmosphere and ocean are coupled every 45 s, with momentum, heat and freshwater </w:t>
      </w:r>
      <w:r w:rsidRPr="00FB4F4F">
        <w:rPr>
          <w:rFonts w:eastAsia="SimSun" w:cs="Times New Roman"/>
          <w:sz w:val="24"/>
          <w:szCs w:val="24"/>
        </w:rPr>
        <w:lastRenderedPageBreak/>
        <w:t>exchanged across the air-sea interface. The coupled formulation accounts for the influence of ocean surface currents on air-sea momentum fluxes, thereby allowing atmospheric adjustment to ocean currents. The simulation spans 14 months, with the first two months excluded as spin-up, and provides hourly three-dimensional oceanic and atmospheric fields over the remaining 12 months. ITs wind work was diagnosed from the coupled simulation following the same procedure as that applied to LLC4320 in the main analysis.</w:t>
      </w:r>
    </w:p>
    <w:p w14:paraId="60168D0B" w14:textId="77777777" w:rsidR="00353D93" w:rsidRPr="00FB4F4F" w:rsidRDefault="00353D93" w:rsidP="00353D93">
      <w:pPr>
        <w:spacing w:line="360" w:lineRule="auto"/>
        <w:rPr>
          <w:rFonts w:eastAsia="Times New Roman" w:cs="Times New Roman"/>
          <w:b/>
          <w:bCs/>
          <w:color w:val="262626"/>
          <w:sz w:val="28"/>
          <w:szCs w:val="28"/>
        </w:rPr>
      </w:pPr>
      <w:r w:rsidRPr="00FB4F4F">
        <w:rPr>
          <w:rFonts w:eastAsia="Times New Roman" w:cs="Times New Roman"/>
          <w:b/>
          <w:bCs/>
          <w:color w:val="262626"/>
          <w:sz w:val="28"/>
          <w:szCs w:val="28"/>
        </w:rPr>
        <w:br w:type="page"/>
      </w:r>
    </w:p>
    <w:p w14:paraId="5C2DDA67" w14:textId="77777777" w:rsidR="00353D93" w:rsidRPr="00FB4F4F" w:rsidRDefault="00353D93" w:rsidP="00353D93">
      <w:pPr>
        <w:rPr>
          <w:rFonts w:eastAsia="Times New Roman" w:cs="Times New Roman"/>
          <w:b/>
          <w:bCs/>
          <w:color w:val="262626"/>
          <w:sz w:val="28"/>
          <w:szCs w:val="28"/>
        </w:rPr>
      </w:pPr>
      <w:r w:rsidRPr="00FB4F4F">
        <w:rPr>
          <w:rFonts w:eastAsia="Times New Roman" w:cs="Times New Roman"/>
          <w:b/>
          <w:bCs/>
          <w:color w:val="262626"/>
          <w:sz w:val="28"/>
          <w:szCs w:val="28"/>
        </w:rPr>
        <w:lastRenderedPageBreak/>
        <w:t>Supplementary Figures</w:t>
      </w:r>
    </w:p>
    <w:p w14:paraId="66208179" w14:textId="77777777" w:rsidR="00353D93" w:rsidRPr="00FB4F4F" w:rsidRDefault="00353D93" w:rsidP="00353D93">
      <w:pPr>
        <w:rPr>
          <w:rFonts w:eastAsia="SimSun" w:cs="Times New Roman"/>
          <w:sz w:val="24"/>
          <w:szCs w:val="24"/>
        </w:rPr>
      </w:pPr>
    </w:p>
    <w:p w14:paraId="0813F9EB" w14:textId="77777777" w:rsidR="00353D93" w:rsidRPr="00FB4F4F" w:rsidRDefault="00353D93" w:rsidP="00353D93">
      <w:pPr>
        <w:rPr>
          <w:rFonts w:eastAsia="SimSun" w:cs="Times New Roman"/>
          <w:sz w:val="24"/>
          <w:szCs w:val="24"/>
        </w:rPr>
      </w:pPr>
      <w:r w:rsidRPr="00FB4F4F">
        <w:rPr>
          <w:rFonts w:cs="Times New Roman"/>
          <w:noProof/>
        </w:rPr>
        <w:drawing>
          <wp:inline distT="0" distB="0" distL="0" distR="0" wp14:anchorId="19BA7937" wp14:editId="573740BE">
            <wp:extent cx="5943600" cy="2555485"/>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pic:nvPicPr>
                  <pic:blipFill>
                    <a:blip r:embed="rId7"/>
                    <a:stretch>
                      <a:fillRect/>
                    </a:stretch>
                  </pic:blipFill>
                  <pic:spPr>
                    <a:xfrm>
                      <a:off x="0" y="0"/>
                      <a:ext cx="5943600" cy="2555485"/>
                    </a:xfrm>
                    <a:prstGeom prst="rect">
                      <a:avLst/>
                    </a:prstGeom>
                  </pic:spPr>
                </pic:pic>
              </a:graphicData>
            </a:graphic>
          </wp:inline>
        </w:drawing>
      </w:r>
    </w:p>
    <w:p w14:paraId="50492D90" w14:textId="7061F529" w:rsidR="00353D93" w:rsidRPr="00FB4F4F" w:rsidRDefault="00353D93" w:rsidP="00552170">
      <w:pPr>
        <w:spacing w:line="480" w:lineRule="auto"/>
        <w:jc w:val="left"/>
        <w:rPr>
          <w:rFonts w:eastAsia="SimSun" w:cs="Times New Roman"/>
          <w:sz w:val="24"/>
          <w:szCs w:val="24"/>
        </w:rPr>
      </w:pPr>
      <w:r w:rsidRPr="00FB4F4F">
        <w:rPr>
          <w:rFonts w:eastAsia="SimSun" w:cs="Times New Roman"/>
          <w:b/>
          <w:bCs/>
          <w:sz w:val="24"/>
          <w:szCs w:val="24"/>
        </w:rPr>
        <w:t>Fig. S1 |</w:t>
      </w:r>
      <w:r w:rsidRPr="00FB4F4F">
        <w:rPr>
          <w:rFonts w:cs="Times New Roman"/>
          <w:sz w:val="24"/>
          <w:szCs w:val="24"/>
        </w:rPr>
        <w:t xml:space="preserve"> </w:t>
      </w:r>
      <w:r w:rsidRPr="00FB4F4F">
        <w:rPr>
          <w:rFonts w:cs="Times New Roman"/>
          <w:b/>
          <w:sz w:val="24"/>
          <w:szCs w:val="24"/>
        </w:rPr>
        <w:t>Comparison of the wind work and the tidal kinetic energy ratios, highlighting that the discrepancy arises from the incoherent ITs neglected by harmonic analysis.</w:t>
      </w:r>
      <w:r w:rsidRPr="00FB4F4F" w:rsidDel="00846A74">
        <w:rPr>
          <w:rFonts w:cs="Times New Roman"/>
          <w:b/>
          <w:sz w:val="24"/>
          <w:szCs w:val="24"/>
        </w:rPr>
        <w:t xml:space="preserve"> </w:t>
      </w:r>
      <w:r w:rsidRPr="00FB4F4F">
        <w:rPr>
          <w:rFonts w:eastAsia="SimSun" w:cs="Times New Roman"/>
          <w:bCs/>
          <w:sz w:val="24"/>
          <w:szCs w:val="24"/>
        </w:rPr>
        <w:t>(a)</w:t>
      </w:r>
      <w:r w:rsidRPr="00FB4F4F">
        <w:rPr>
          <w:rFonts w:eastAsia="SimSun" w:cs="Times New Roman"/>
          <w:sz w:val="24"/>
          <w:szCs w:val="24"/>
        </w:rPr>
        <w:t xml:space="preserve"> The ratio of the tidally averaged wind work on ITs</w:t>
      </w:r>
      <w:r w:rsidRPr="00FB4F4F">
        <w:rPr>
          <w:rFonts w:eastAsia="SimSun" w:cs="Times New Roman"/>
          <w:sz w:val="32"/>
          <w:szCs w:val="32"/>
        </w:rPr>
        <w:t xml:space="preserve"> </w:t>
      </w:r>
      <m:oMath>
        <m:sSub>
          <m:sSubPr>
            <m:ctrlPr>
              <w:rPr>
                <w:rFonts w:ascii="Cambria Math" w:eastAsia="SimSun" w:hAnsi="Cambria Math" w:cs="Times New Roman"/>
                <w:i/>
                <w:iCs/>
                <w:sz w:val="24"/>
                <w:szCs w:val="24"/>
              </w:rPr>
            </m:ctrlPr>
          </m:sSubPr>
          <m:e>
            <m:r>
              <w:rPr>
                <w:rFonts w:ascii="Cambria Math" w:eastAsia="SimSun" w:hAnsi="Cambria Math" w:cs="Times New Roman"/>
                <w:sz w:val="24"/>
                <w:szCs w:val="24"/>
              </w:rPr>
              <m:t>(W</m:t>
            </m:r>
          </m:e>
          <m:sub>
            <m:r>
              <w:rPr>
                <w:rFonts w:ascii="Cambria Math" w:eastAsia="SimSun" w:hAnsi="Cambria Math" w:cs="Times New Roman"/>
                <w:sz w:val="24"/>
                <w:szCs w:val="24"/>
              </w:rPr>
              <m:t>s</m:t>
            </m:r>
          </m:sub>
        </m:sSub>
        <m:r>
          <w:rPr>
            <w:rFonts w:ascii="Cambria Math" w:eastAsia="SimSun" w:hAnsi="Cambria Math" w:cs="Times New Roman"/>
            <w:sz w:val="24"/>
            <w:szCs w:val="24"/>
          </w:rPr>
          <m:t>)</m:t>
        </m:r>
      </m:oMath>
      <w:r w:rsidRPr="00FB4F4F">
        <w:rPr>
          <w:rFonts w:eastAsia="SimSun" w:cs="Times New Roman"/>
          <w:iCs/>
        </w:rPr>
        <w:t xml:space="preserve"> </w:t>
      </w:r>
      <w:r w:rsidRPr="00FB4F4F">
        <w:rPr>
          <w:rFonts w:eastAsia="SimSun" w:cs="Times New Roman"/>
          <w:sz w:val="24"/>
          <w:szCs w:val="24"/>
        </w:rPr>
        <w:t xml:space="preserve">to the directly diagnosed simulation-based wind work </w:t>
      </w:r>
      <m:oMath>
        <m:r>
          <w:rPr>
            <w:rFonts w:ascii="Cambria Math" w:eastAsia="SimSun" w:hAnsi="Cambria Math" w:cs="Times New Roman"/>
            <w:sz w:val="24"/>
            <w:szCs w:val="24"/>
          </w:rPr>
          <m:t>(W)</m:t>
        </m:r>
      </m:oMath>
      <w:r w:rsidRPr="00FB4F4F">
        <w:rPr>
          <w:rFonts w:eastAsia="SimSun" w:cs="Times New Roman"/>
          <w:bCs/>
          <w:sz w:val="24"/>
          <w:szCs w:val="24"/>
        </w:rPr>
        <w:t>. (b)The</w:t>
      </w:r>
      <w:r w:rsidRPr="00FB4F4F">
        <w:rPr>
          <w:rFonts w:eastAsia="SimSun" w:cs="Times New Roman"/>
          <w:sz w:val="24"/>
          <w:szCs w:val="24"/>
        </w:rPr>
        <w:t xml:space="preserve"> ratio of the summed kinetic energies of individual tidal constituents</w:t>
      </w:r>
      <w:r w:rsidRPr="00FB4F4F" w:rsidDel="00846A74">
        <w:rPr>
          <w:rFonts w:eastAsia="SimSun" w:cs="Times New Roman"/>
          <w:sz w:val="24"/>
          <w:szCs w:val="24"/>
        </w:rPr>
        <w:t xml:space="preserve"> </w:t>
      </w:r>
      <w:r w:rsidRPr="00FB4F4F">
        <w:rPr>
          <w:rFonts w:eastAsia="SimSun" w:cs="Times New Roman"/>
          <w:sz w:val="24"/>
          <w:szCs w:val="24"/>
        </w:rPr>
        <w:t xml:space="preserve">(derived from harmonic analysis) to the total ITs kinetic energy (calculated from the full ITs velocity). (c) </w:t>
      </w:r>
      <w:r w:rsidRPr="00FB4F4F">
        <w:rPr>
          <w:rFonts w:cs="Times New Roman"/>
          <w:sz w:val="24"/>
          <w:szCs w:val="24"/>
        </w:rPr>
        <w:t>Scatter plot of the two ratios, with the black line and shaded area representing the moving median and the 25th-75th percentile range, respectively. The purple dashed line indicates the 1:1 line.</w:t>
      </w:r>
    </w:p>
    <w:p w14:paraId="71D65135" w14:textId="77777777" w:rsidR="00353D93" w:rsidRPr="00FB4F4F" w:rsidRDefault="00353D93" w:rsidP="00353D93">
      <w:pPr>
        <w:rPr>
          <w:rFonts w:eastAsia="SimSun" w:cs="Times New Roman"/>
          <w:sz w:val="24"/>
          <w:szCs w:val="24"/>
        </w:rPr>
      </w:pPr>
      <w:r w:rsidRPr="00FB4F4F">
        <w:rPr>
          <w:rFonts w:cs="Times New Roman"/>
          <w:noProof/>
        </w:rPr>
        <w:drawing>
          <wp:inline distT="0" distB="0" distL="0" distR="0" wp14:anchorId="35F588E1" wp14:editId="42A92820">
            <wp:extent cx="5199225" cy="1903730"/>
            <wp:effectExtent l="0" t="0" r="1905"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8"/>
                    <a:stretch>
                      <a:fillRect/>
                    </a:stretch>
                  </pic:blipFill>
                  <pic:spPr>
                    <a:xfrm>
                      <a:off x="0" y="0"/>
                      <a:ext cx="5199225" cy="1903730"/>
                    </a:xfrm>
                    <a:prstGeom prst="rect">
                      <a:avLst/>
                    </a:prstGeom>
                  </pic:spPr>
                </pic:pic>
              </a:graphicData>
            </a:graphic>
          </wp:inline>
        </w:drawing>
      </w:r>
    </w:p>
    <w:p w14:paraId="5D14548D" w14:textId="7A1527C8" w:rsidR="002A7C80" w:rsidRPr="00FB4F4F" w:rsidRDefault="00353D93" w:rsidP="002F4710">
      <w:pPr>
        <w:spacing w:line="480" w:lineRule="auto"/>
        <w:jc w:val="left"/>
        <w:rPr>
          <w:rFonts w:eastAsia="SimSun" w:cs="Times New Roman"/>
          <w:sz w:val="24"/>
          <w:szCs w:val="24"/>
        </w:rPr>
      </w:pPr>
      <w:r w:rsidRPr="00FB4F4F">
        <w:rPr>
          <w:rFonts w:eastAsia="SimSun" w:cs="Times New Roman"/>
          <w:b/>
          <w:sz w:val="24"/>
          <w:szCs w:val="24"/>
        </w:rPr>
        <w:t>Fig. S2</w:t>
      </w:r>
      <w:r w:rsidRPr="00FB4F4F">
        <w:rPr>
          <w:rFonts w:eastAsia="SimSun" w:cs="Times New Roman"/>
          <w:b/>
          <w:bCs/>
          <w:sz w:val="24"/>
          <w:szCs w:val="24"/>
        </w:rPr>
        <w:t xml:space="preserve"> |</w:t>
      </w:r>
      <w:r w:rsidRPr="00FB4F4F">
        <w:rPr>
          <w:rFonts w:cs="Times New Roman"/>
          <w:b/>
          <w:sz w:val="24"/>
          <w:szCs w:val="24"/>
        </w:rPr>
        <w:t xml:space="preserve"> </w:t>
      </w:r>
      <w:r w:rsidRPr="00FB4F4F">
        <w:rPr>
          <w:rFonts w:eastAsia="SimSun" w:cs="Times New Roman"/>
          <w:b/>
          <w:sz w:val="24"/>
          <w:szCs w:val="24"/>
        </w:rPr>
        <w:t xml:space="preserve">Global distribution of observation-based wind damping of ITs estimated using </w:t>
      </w:r>
      <w:r w:rsidRPr="00FB4F4F">
        <w:rPr>
          <w:rFonts w:eastAsia="SimSun" w:cs="Times New Roman"/>
          <w:b/>
          <w:sz w:val="24"/>
          <w:szCs w:val="24"/>
        </w:rPr>
        <w:lastRenderedPageBreak/>
        <w:t>the full semidiurnal and diurnal tidal bands.</w:t>
      </w:r>
      <w:r w:rsidRPr="00FB4F4F">
        <w:rPr>
          <w:rFonts w:eastAsia="SimSun" w:cs="Times New Roman"/>
          <w:sz w:val="24"/>
          <w:szCs w:val="24"/>
        </w:rPr>
        <w:t xml:space="preserve"> Unlike the conservative estimate in Fig. 4, which uses only coherent diurnal constituents, this estimate includes the full diurnal-band kinetic energy and yields a globally integrated wind damping of 21.7 GW. The diurnal band also include contributions from non-tidal motions.</w:t>
      </w:r>
      <w:r w:rsidR="00FE5E05" w:rsidRPr="00FE5E05">
        <w:t xml:space="preserve"> </w:t>
      </w:r>
      <w:r w:rsidR="00FE5E05" w:rsidRPr="00FE5E05">
        <w:rPr>
          <w:rFonts w:eastAsia="SimSun" w:cs="Times New Roman"/>
          <w:sz w:val="24"/>
          <w:szCs w:val="24"/>
        </w:rPr>
        <w:t>To reduce the potential contamination from non-tidal diurnal signals, the diurnal-band contribution poleward of the K</w:t>
      </w:r>
      <w:r w:rsidR="00FE5E05" w:rsidRPr="00FE5E05">
        <w:rPr>
          <w:rFonts w:eastAsia="SimSun" w:cs="Times New Roman"/>
          <w:sz w:val="24"/>
          <w:szCs w:val="24"/>
          <w:vertAlign w:val="subscript"/>
        </w:rPr>
        <w:t>1</w:t>
      </w:r>
      <w:r w:rsidR="00FE5E05" w:rsidRPr="00FE5E05">
        <w:rPr>
          <w:rFonts w:eastAsia="SimSun" w:cs="Times New Roman"/>
          <w:sz w:val="24"/>
          <w:szCs w:val="24"/>
        </w:rPr>
        <w:t xml:space="preserve"> critical latitude (~30°) is excluded.</w:t>
      </w:r>
    </w:p>
    <w:p w14:paraId="13E3AAAC" w14:textId="77777777" w:rsidR="00353D93" w:rsidRPr="00FB4F4F" w:rsidRDefault="00353D93" w:rsidP="00353D93">
      <w:pPr>
        <w:rPr>
          <w:rFonts w:eastAsia="SimSun" w:cs="Times New Roman"/>
          <w:sz w:val="24"/>
          <w:szCs w:val="24"/>
        </w:rPr>
      </w:pPr>
    </w:p>
    <w:p w14:paraId="20174B79" w14:textId="77777777" w:rsidR="00353D93" w:rsidRPr="00FB4F4F" w:rsidRDefault="00353D93" w:rsidP="00353D93">
      <w:pPr>
        <w:jc w:val="center"/>
        <w:rPr>
          <w:rFonts w:eastAsia="SimSun" w:cs="Times New Roman"/>
          <w:sz w:val="24"/>
          <w:szCs w:val="24"/>
        </w:rPr>
      </w:pPr>
      <w:r w:rsidRPr="00FB4F4F">
        <w:rPr>
          <w:rFonts w:cs="Times New Roman"/>
          <w:noProof/>
        </w:rPr>
        <w:drawing>
          <wp:inline distT="0" distB="0" distL="0" distR="0" wp14:anchorId="7FB7F4F4" wp14:editId="31BFB1BA">
            <wp:extent cx="5307409" cy="1774825"/>
            <wp:effectExtent l="0" t="0" r="762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9"/>
                    <a:stretch>
                      <a:fillRect/>
                    </a:stretch>
                  </pic:blipFill>
                  <pic:spPr>
                    <a:xfrm>
                      <a:off x="0" y="0"/>
                      <a:ext cx="5307409" cy="1774825"/>
                    </a:xfrm>
                    <a:prstGeom prst="rect">
                      <a:avLst/>
                    </a:prstGeom>
                  </pic:spPr>
                </pic:pic>
              </a:graphicData>
            </a:graphic>
          </wp:inline>
        </w:drawing>
      </w:r>
    </w:p>
    <w:p w14:paraId="38B72345" w14:textId="77777777" w:rsidR="00353D93" w:rsidRPr="00FB4F4F" w:rsidRDefault="00353D93" w:rsidP="002F4710">
      <w:pPr>
        <w:spacing w:line="480" w:lineRule="auto"/>
        <w:jc w:val="left"/>
        <w:rPr>
          <w:rFonts w:eastAsia="SimSun" w:cs="Times New Roman"/>
          <w:sz w:val="24"/>
          <w:szCs w:val="24"/>
        </w:rPr>
      </w:pPr>
      <w:r w:rsidRPr="001F6768">
        <w:rPr>
          <w:rFonts w:eastAsia="SimSun" w:cs="Times New Roman"/>
          <w:b/>
          <w:bCs/>
          <w:sz w:val="24"/>
          <w:szCs w:val="24"/>
        </w:rPr>
        <w:t>Fig. S3 |</w:t>
      </w:r>
      <w:r w:rsidRPr="00FB4F4F">
        <w:rPr>
          <w:rFonts w:eastAsia="SimSun" w:cs="Times New Roman"/>
          <w:sz w:val="24"/>
          <w:szCs w:val="24"/>
        </w:rPr>
        <w:t xml:space="preserve"> </w:t>
      </w:r>
      <w:r w:rsidRPr="00FB4F4F">
        <w:rPr>
          <w:rFonts w:eastAsia="SimSun" w:cs="Times New Roman"/>
          <w:b/>
          <w:bCs/>
          <w:sz w:val="24"/>
          <w:szCs w:val="24"/>
        </w:rPr>
        <w:t>Annual wind work on ITs in the fully coupled ocean-atmosphere simulation</w:t>
      </w:r>
      <w:r w:rsidRPr="00FB4F4F">
        <w:rPr>
          <w:rFonts w:eastAsia="SimSun" w:cs="Times New Roman"/>
          <w:sz w:val="24"/>
          <w:szCs w:val="24"/>
        </w:rPr>
        <w:t>.</w:t>
      </w:r>
      <w:r w:rsidRPr="00FB4F4F">
        <w:rPr>
          <w:rFonts w:eastAsia="SimSun" w:cs="Times New Roman"/>
          <w:b/>
          <w:bCs/>
          <w:sz w:val="24"/>
          <w:szCs w:val="24"/>
        </w:rPr>
        <w:t xml:space="preserve"> </w:t>
      </w:r>
      <w:r w:rsidRPr="00FB4F4F">
        <w:rPr>
          <w:rFonts w:eastAsia="SimSun" w:cs="Times New Roman"/>
          <w:sz w:val="24"/>
          <w:szCs w:val="24"/>
        </w:rPr>
        <w:t>Spatial distribution of ITs wind work diagnosed from the fully coupled ocean-atmosphere simulation. Positive and negative values indicate energy transfer to and from ITs, respectively. The globally integrated wind work is -7.7 GW, comprising 4.4 GW of positive wind work and -12.1 GW of negative wind work.</w:t>
      </w:r>
    </w:p>
    <w:p w14:paraId="64D0DE63" w14:textId="77777777" w:rsidR="00353D93" w:rsidRPr="00FB4F4F" w:rsidRDefault="00353D93" w:rsidP="00353D93">
      <w:pPr>
        <w:jc w:val="center"/>
        <w:rPr>
          <w:rFonts w:eastAsia="SimSun" w:cs="Times New Roman"/>
          <w:sz w:val="24"/>
          <w:szCs w:val="24"/>
        </w:rPr>
      </w:pPr>
      <w:r w:rsidRPr="00FB4F4F">
        <w:rPr>
          <w:rFonts w:cs="Times New Roman"/>
          <w:noProof/>
        </w:rPr>
        <w:drawing>
          <wp:inline distT="0" distB="0" distL="0" distR="0" wp14:anchorId="76C87AC0" wp14:editId="591993AB">
            <wp:extent cx="3802760" cy="2267653"/>
            <wp:effectExtent l="0" t="0" r="762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0"/>
                    <a:stretch>
                      <a:fillRect/>
                    </a:stretch>
                  </pic:blipFill>
                  <pic:spPr bwMode="auto">
                    <a:xfrm>
                      <a:off x="0" y="0"/>
                      <a:ext cx="3802760" cy="2267653"/>
                    </a:xfrm>
                    <a:prstGeom prst="rect">
                      <a:avLst/>
                    </a:prstGeom>
                    <a:ln>
                      <a:noFill/>
                    </a:ln>
                    <a:extLst>
                      <a:ext uri="{53640926-AAD7-44D8-BBD7-CCE9431645EC}">
                        <a14:shadowObscured xmlns:a14="http://schemas.microsoft.com/office/drawing/2010/main"/>
                      </a:ext>
                    </a:extLst>
                  </pic:spPr>
                </pic:pic>
              </a:graphicData>
            </a:graphic>
          </wp:inline>
        </w:drawing>
      </w:r>
    </w:p>
    <w:p w14:paraId="123A61EB" w14:textId="5C1943A4" w:rsidR="00353D93" w:rsidRPr="00FB4F4F" w:rsidRDefault="00353D93" w:rsidP="00552170">
      <w:pPr>
        <w:spacing w:line="480" w:lineRule="auto"/>
        <w:jc w:val="left"/>
        <w:rPr>
          <w:rFonts w:eastAsia="SimSun" w:cs="Times New Roman"/>
          <w:b/>
          <w:bCs/>
          <w:sz w:val="24"/>
          <w:szCs w:val="24"/>
        </w:rPr>
      </w:pPr>
      <w:r w:rsidRPr="001F6768">
        <w:rPr>
          <w:rFonts w:eastAsia="SimSun" w:cs="Times New Roman"/>
          <w:b/>
          <w:bCs/>
          <w:sz w:val="24"/>
          <w:szCs w:val="24"/>
        </w:rPr>
        <w:lastRenderedPageBreak/>
        <w:t>Fig. S4 |</w:t>
      </w:r>
      <w:r w:rsidRPr="00FB4F4F">
        <w:rPr>
          <w:rFonts w:eastAsia="SimSun" w:cs="Times New Roman"/>
          <w:sz w:val="24"/>
          <w:szCs w:val="24"/>
        </w:rPr>
        <w:t xml:space="preserve"> </w:t>
      </w:r>
      <w:r w:rsidRPr="00FB4F4F">
        <w:rPr>
          <w:rFonts w:eastAsia="SimSun" w:cs="Times New Roman"/>
          <w:b/>
          <w:sz w:val="24"/>
          <w:szCs w:val="24"/>
        </w:rPr>
        <w:t>Distribution of positive ITs wind work across ITs kinetic energy bins in the fully coupled simulation</w:t>
      </w:r>
      <w:r w:rsidRPr="00FB4F4F">
        <w:rPr>
          <w:rFonts w:eastAsia="SimSun" w:cs="Times New Roman"/>
          <w:sz w:val="24"/>
          <w:szCs w:val="24"/>
        </w:rPr>
        <w:t>.</w:t>
      </w:r>
      <w:r w:rsidRPr="00FB4F4F">
        <w:rPr>
          <w:rFonts w:cs="Times New Roman"/>
        </w:rPr>
        <w:t xml:space="preserve"> </w:t>
      </w:r>
      <w:r w:rsidRPr="00FB4F4F">
        <w:rPr>
          <w:rFonts w:eastAsia="SimSun" w:cs="Times New Roman"/>
          <w:sz w:val="24"/>
          <w:szCs w:val="24"/>
        </w:rPr>
        <w:t>Gray bars show the frequency distribution of all grid points according to ocean surface ITs kinetic energy, while orange bars show the distribution for grid points with positive ITs wind work. The black curve indicates the fraction of grid points with positive wind work within each ITs kinetic energy bin.</w:t>
      </w:r>
    </w:p>
    <w:p w14:paraId="3A05D5AB" w14:textId="020D9D81" w:rsidR="00353D93" w:rsidRPr="00FB4F4F" w:rsidRDefault="00353D93" w:rsidP="00DD253D">
      <w:pPr>
        <w:spacing w:line="480" w:lineRule="auto"/>
        <w:jc w:val="left"/>
        <w:rPr>
          <w:rFonts w:eastAsia="SimSun" w:cs="Times New Roman"/>
          <w:sz w:val="24"/>
          <w:szCs w:val="24"/>
        </w:rPr>
      </w:pPr>
      <w:r w:rsidRPr="00FB4F4F">
        <w:rPr>
          <w:rFonts w:cs="Times New Roman"/>
          <w:noProof/>
        </w:rPr>
        <w:drawing>
          <wp:inline distT="0" distB="0" distL="0" distR="0" wp14:anchorId="79211148" wp14:editId="077EA6D1">
            <wp:extent cx="5720274" cy="2410460"/>
            <wp:effectExtent l="0" t="0" r="0" b="889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11"/>
                    <a:stretch>
                      <a:fillRect/>
                    </a:stretch>
                  </pic:blipFill>
                  <pic:spPr>
                    <a:xfrm>
                      <a:off x="0" y="0"/>
                      <a:ext cx="5720274" cy="2410460"/>
                    </a:xfrm>
                    <a:prstGeom prst="rect">
                      <a:avLst/>
                    </a:prstGeom>
                  </pic:spPr>
                </pic:pic>
              </a:graphicData>
            </a:graphic>
          </wp:inline>
        </w:drawing>
      </w:r>
      <w:r w:rsidRPr="00FB4F4F">
        <w:rPr>
          <w:rFonts w:eastAsia="SimSun" w:cs="Times New Roman"/>
          <w:b/>
          <w:sz w:val="24"/>
          <w:szCs w:val="24"/>
        </w:rPr>
        <w:t>Fig. S5 | Seasonal</w:t>
      </w:r>
      <w:r w:rsidRPr="00FB4F4F">
        <w:rPr>
          <w:rFonts w:eastAsia="SimSun" w:cs="Times New Roman"/>
          <w:b/>
          <w:bCs/>
          <w:sz w:val="24"/>
          <w:szCs w:val="24"/>
        </w:rPr>
        <w:t xml:space="preserve"> wind work on ITs in the fully coupled ocean-atmosphere simulation.</w:t>
      </w:r>
      <w:r w:rsidRPr="00FB4F4F">
        <w:rPr>
          <w:rFonts w:cs="Times New Roman"/>
        </w:rPr>
        <w:t xml:space="preserve"> </w:t>
      </w:r>
      <w:r w:rsidRPr="00FB4F4F">
        <w:rPr>
          <w:rFonts w:eastAsia="SimSun" w:cs="Times New Roman"/>
          <w:bCs/>
          <w:sz w:val="24"/>
          <w:szCs w:val="24"/>
        </w:rPr>
        <w:t>Weak positive values near 30° may partly reflect overlap between the diurnal and near-inertial frequency bands, whereas much stronger positive signals at lower latitudes show pronounced hemispheric seasonality, with enhanced values in the Southern Hemisphere during austral summer and in the Northern Hemisphere during boreal summer.</w:t>
      </w:r>
      <w:r w:rsidRPr="00FB4F4F">
        <w:rPr>
          <w:rFonts w:cs="Times New Roman"/>
          <w:noProof/>
        </w:rPr>
        <w:t xml:space="preserve"> </w:t>
      </w:r>
      <w:r w:rsidRPr="00FB4F4F">
        <w:rPr>
          <w:rFonts w:cs="Times New Roman"/>
          <w:noProof/>
        </w:rPr>
        <w:lastRenderedPageBreak/>
        <w:drawing>
          <wp:inline distT="0" distB="0" distL="0" distR="0" wp14:anchorId="2E3B7660" wp14:editId="3333610D">
            <wp:extent cx="5890461" cy="4831080"/>
            <wp:effectExtent l="0" t="0" r="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12"/>
                    <a:stretch>
                      <a:fillRect/>
                    </a:stretch>
                  </pic:blipFill>
                  <pic:spPr>
                    <a:xfrm>
                      <a:off x="0" y="0"/>
                      <a:ext cx="5890461" cy="4831080"/>
                    </a:xfrm>
                    <a:prstGeom prst="rect">
                      <a:avLst/>
                    </a:prstGeom>
                  </pic:spPr>
                </pic:pic>
              </a:graphicData>
            </a:graphic>
          </wp:inline>
        </w:drawing>
      </w:r>
    </w:p>
    <w:p w14:paraId="75DD0233" w14:textId="3AF66272" w:rsidR="00353D93" w:rsidRPr="00FB4F4F" w:rsidRDefault="00353D93" w:rsidP="00DD253D">
      <w:pPr>
        <w:spacing w:line="480" w:lineRule="auto"/>
        <w:jc w:val="left"/>
        <w:rPr>
          <w:rFonts w:eastAsia="SimSun" w:cs="Times New Roman"/>
          <w:sz w:val="24"/>
          <w:szCs w:val="24"/>
        </w:rPr>
      </w:pPr>
      <w:r w:rsidRPr="00FB4F4F">
        <w:rPr>
          <w:rFonts w:cs="Times New Roman"/>
          <w:b/>
          <w:sz w:val="24"/>
        </w:rPr>
        <w:t>Fig. S6 | Comparison of ITs wind work across coupled simulations, LLC4320, and the observation-based estimate in the Northeastern Pacific.</w:t>
      </w:r>
      <w:r w:rsidRPr="00FB4F4F">
        <w:rPr>
          <w:rFonts w:cs="Times New Roman"/>
          <w:sz w:val="24"/>
        </w:rPr>
        <w:t xml:space="preserve"> (a) ITs wind work diagnosed from the two-way coupled ocean-atmosphere simulation. (b) ITs wind work estimated from the coupled simulation of Delpech et al.</w:t>
      </w:r>
      <w:r w:rsidRPr="00FB4F4F">
        <w:rPr>
          <w:rFonts w:cs="Times New Roman"/>
          <w:sz w:val="24"/>
        </w:rPr>
        <w:fldChar w:fldCharType="begin"/>
      </w:r>
      <w:r w:rsidRPr="00FB4F4F">
        <w:rPr>
          <w:rFonts w:cs="Times New Roman"/>
          <w:sz w:val="24"/>
        </w:rPr>
        <w:instrText xml:space="preserve"> ADDIN ZOTERO_ITEM CSL_CITATION {"citationID":"I0VlUlcG","properties":{"unsorted":false,"formattedCitation":"\\super 15\\nosupersub{}","plainCitation":"15","noteIndex":0},"citationItems":[{"id":148,"uris":["http://zotero.org/users/local/cx2g8StL/items/3QAYPKBV"],"itemData":{"id":148,"type":"article-journal","abstract":"Abstract\n            \n              Internal waves contain a large amount of energy in the ocean and are an important source of turbulent mixing. Ocean mixing is relevant for climate because it drives vertical transport of water, heat, carbon and other tracers. Understanding the life cycle of internal waves, from generation to dissipation, is therefore important for improving the representation of ocean mixing in climate models. Here, we provide evidence from a regional realistic numerical simulation in the northeastern Pacific that the wind can play an important role in damping internal waves through current feedback. This results in a reduction of 67% of wind power input at near-inertial frequencies in the region of study. Wind-current feedback also provides a net energy sink for internal tides, removing energy at a rate of 0.2 mW/m\n              \n                \n                  $$^2$$\n                  \n                    \n                      \n                      2\n                    \n                  \n                \n              \n              on average, corresponding to 8% of the local internal tide generation at the Mendocino ridge. The temporal variability and modal distribution of this energy sink are also investigated.","container-title":"Scientific Reports","DOI":"10.1038/s41598-023-32909-6","ISSN":"2045-2322","issue":"1","journalAbbreviation":"Sci. Rep.","language":"en","page":"5915","source":"DOI.org (Crossref)","title":"Wind-current feedback is an energy sink for oceanic internal waves","volume":"13","author":[{"family":"Delpech","given":"Audrey"},{"family":"Barkan","given":"Roy"},{"family":"Renault","given":"Lionel"},{"family":"McWilliams","given":"James"},{"family":"Siyanbola","given":"Oladeji Q."},{"family":"Buijsman","given":"Maarten C."},{"family":"Arbic","given":"Brian K."}],"issued":{"date-parts":[["2023",4,11]]}}}],"schema":"https://github.com/citation-style-language/schema/raw/master/csl-citation.json"} </w:instrText>
      </w:r>
      <w:r w:rsidRPr="00FB4F4F">
        <w:rPr>
          <w:rFonts w:cs="Times New Roman"/>
          <w:sz w:val="24"/>
        </w:rPr>
        <w:fldChar w:fldCharType="separate"/>
      </w:r>
      <w:r w:rsidRPr="00FB4F4F">
        <w:rPr>
          <w:rFonts w:cs="Times New Roman"/>
          <w:kern w:val="0"/>
          <w:sz w:val="24"/>
          <w:szCs w:val="24"/>
          <w:vertAlign w:val="superscript"/>
        </w:rPr>
        <w:t>15</w:t>
      </w:r>
      <w:r w:rsidRPr="00FB4F4F">
        <w:rPr>
          <w:rFonts w:cs="Times New Roman"/>
          <w:sz w:val="24"/>
        </w:rPr>
        <w:fldChar w:fldCharType="end"/>
      </w:r>
      <w:r w:rsidRPr="00FB4F4F">
        <w:rPr>
          <w:rFonts w:cs="Times New Roman"/>
          <w:sz w:val="24"/>
        </w:rPr>
        <w:t xml:space="preserve"> (c) ITs wind work directly diagnosed from LLC4320. (d) Observation-based estimate derived from </w:t>
      </w:r>
      <w:proofErr w:type="spellStart"/>
      <w:r w:rsidRPr="00FB4F4F">
        <w:rPr>
          <w:rFonts w:cs="Times New Roman"/>
          <w:sz w:val="24"/>
        </w:rPr>
        <w:t>QuikSCAT</w:t>
      </w:r>
      <w:proofErr w:type="spellEnd"/>
      <w:r w:rsidRPr="00FB4F4F">
        <w:rPr>
          <w:rFonts w:cs="Times New Roman"/>
          <w:sz w:val="24"/>
        </w:rPr>
        <w:t xml:space="preserve"> winds and GDP-based surface ITs currents. Our observation-based estimate are broadly consistent with Delpech et al.</w:t>
      </w:r>
      <w:r w:rsidRPr="00FB4F4F">
        <w:rPr>
          <w:rFonts w:cs="Times New Roman"/>
          <w:sz w:val="24"/>
        </w:rPr>
        <w:fldChar w:fldCharType="begin"/>
      </w:r>
      <w:r w:rsidRPr="00FB4F4F">
        <w:rPr>
          <w:rFonts w:cs="Times New Roman"/>
          <w:sz w:val="24"/>
        </w:rPr>
        <w:instrText xml:space="preserve"> ADDIN ZOTERO_ITEM CSL_CITATION {"citationID":"tFitNtbM","properties":{"unsorted":false,"formattedCitation":"\\super 15\\nosupersub{}","plainCitation":"15","noteIndex":0},"citationItems":[{"id":148,"uris":["http://zotero.org/users/local/cx2g8StL/items/3QAYPKBV"],"itemData":{"id":148,"type":"article-journal","abstract":"Abstract\n            \n              Internal waves contain a large amount of energy in the ocean and are an important source of turbulent mixing. Ocean mixing is relevant for climate because it drives vertical transport of water, heat, carbon and other tracers. Understanding the life cycle of internal waves, from generation to dissipation, is therefore important for improving the representation of ocean mixing in climate models. Here, we provide evidence from a regional realistic numerical simulation in the northeastern Pacific that the wind can play an important role in damping internal waves through current feedback. This results in a reduction of 67% of wind power input at near-inertial frequencies in the region of study. Wind-current feedback also provides a net energy sink for internal tides, removing energy at a rate of 0.2 mW/m\n              \n                \n                  $$^2$$\n                  \n                    \n                      \n                      2\n                    \n                  \n                \n              \n              on average, corresponding to 8% of the local internal tide generation at the Mendocino ridge. The temporal variability and modal distribution of this energy sink are also investigated.","container-title":"Scientific Reports","DOI":"10.1038/s41598-023-32909-6","ISSN":"2045-2322","issue":"1","journalAbbreviation":"Sci. Rep.","language":"en","page":"5915","source":"DOI.org (Crossref)","title":"Wind-current feedback is an energy sink for oceanic internal waves","volume":"13","author":[{"family":"Delpech","given":"Audrey"},{"family":"Barkan","given":"Roy"},{"family":"Renault","given":"Lionel"},{"family":"McWilliams","given":"James"},{"family":"Siyanbola","given":"Oladeji Q."},{"family":"Buijsman","given":"Maarten C."},{"family":"Arbic","given":"Brian K."}],"issued":{"date-parts":[["2023",4,11]]}}}],"schema":"https://github.com/citation-style-language/schema/raw/master/csl-citation.json"} </w:instrText>
      </w:r>
      <w:r w:rsidRPr="00FB4F4F">
        <w:rPr>
          <w:rFonts w:cs="Times New Roman"/>
          <w:sz w:val="24"/>
        </w:rPr>
        <w:fldChar w:fldCharType="separate"/>
      </w:r>
      <w:r w:rsidRPr="00FB4F4F">
        <w:rPr>
          <w:rFonts w:cs="Times New Roman"/>
          <w:kern w:val="0"/>
          <w:sz w:val="24"/>
          <w:szCs w:val="24"/>
          <w:vertAlign w:val="superscript"/>
        </w:rPr>
        <w:t>15</w:t>
      </w:r>
      <w:r w:rsidRPr="00FB4F4F">
        <w:rPr>
          <w:rFonts w:cs="Times New Roman"/>
          <w:sz w:val="24"/>
        </w:rPr>
        <w:fldChar w:fldCharType="end"/>
      </w:r>
      <w:r w:rsidRPr="00FB4F4F">
        <w:rPr>
          <w:rFonts w:cs="Times New Roman"/>
          <w:sz w:val="24"/>
        </w:rPr>
        <w:t>, whose coupled simulation likewise yields predominantly negative wind work with a similar magnitude.</w:t>
      </w:r>
      <w:r w:rsidRPr="00FB4F4F" w:rsidDel="00966CD6">
        <w:rPr>
          <w:rFonts w:cs="Times New Roman"/>
          <w:sz w:val="24"/>
        </w:rPr>
        <w:t xml:space="preserve"> </w:t>
      </w:r>
    </w:p>
    <w:p w14:paraId="3AAA5D02" w14:textId="77777777" w:rsidR="00353D93" w:rsidRPr="00FB4F4F" w:rsidRDefault="00353D93" w:rsidP="00353D93">
      <w:pPr>
        <w:rPr>
          <w:rFonts w:eastAsia="SimSun" w:cs="Times New Roman"/>
          <w:b/>
          <w:bCs/>
          <w:sz w:val="24"/>
          <w:szCs w:val="24"/>
        </w:rPr>
      </w:pPr>
      <w:r w:rsidRPr="00FB4F4F">
        <w:rPr>
          <w:rFonts w:cs="Times New Roman"/>
          <w:noProof/>
        </w:rPr>
        <w:lastRenderedPageBreak/>
        <w:drawing>
          <wp:inline distT="0" distB="0" distL="0" distR="0" wp14:anchorId="38A673FA" wp14:editId="1A4A8D9F">
            <wp:extent cx="5943600" cy="5507936"/>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3"/>
                    <a:stretch>
                      <a:fillRect/>
                    </a:stretch>
                  </pic:blipFill>
                  <pic:spPr>
                    <a:xfrm>
                      <a:off x="0" y="0"/>
                      <a:ext cx="5943600" cy="5507936"/>
                    </a:xfrm>
                    <a:prstGeom prst="rect">
                      <a:avLst/>
                    </a:prstGeom>
                  </pic:spPr>
                </pic:pic>
              </a:graphicData>
            </a:graphic>
          </wp:inline>
        </w:drawing>
      </w:r>
      <w:r w:rsidRPr="00FB4F4F" w:rsidDel="00974D09">
        <w:rPr>
          <w:rFonts w:eastAsia="SimSun" w:cs="Times New Roman"/>
          <w:b/>
          <w:bCs/>
          <w:sz w:val="24"/>
          <w:szCs w:val="24"/>
        </w:rPr>
        <w:t xml:space="preserve"> </w:t>
      </w:r>
    </w:p>
    <w:p w14:paraId="3E70A5BD" w14:textId="6C8DC0E7" w:rsidR="00353D93" w:rsidRPr="00FB4F4F" w:rsidRDefault="00353D93" w:rsidP="001F6768">
      <w:pPr>
        <w:spacing w:line="480" w:lineRule="auto"/>
        <w:jc w:val="left"/>
        <w:rPr>
          <w:rFonts w:cs="Times New Roman"/>
        </w:rPr>
      </w:pPr>
      <w:r w:rsidRPr="00FB4F4F">
        <w:rPr>
          <w:rFonts w:eastAsia="SimSun" w:cs="Times New Roman"/>
          <w:b/>
          <w:sz w:val="24"/>
          <w:szCs w:val="24"/>
        </w:rPr>
        <w:t xml:space="preserve">Fig. S7 | Comparison of negative ITs wind work across the fully coupled simulation, LLC4320 and the observation-based estimate. </w:t>
      </w:r>
      <w:r w:rsidRPr="00FB4F4F">
        <w:rPr>
          <w:rFonts w:eastAsia="SimSun" w:cs="Times New Roman"/>
          <w:sz w:val="24"/>
          <w:szCs w:val="24"/>
        </w:rPr>
        <w:t>Spatial distributions of the magnitude of negative ITs wind work from (a) the coupled ocean-atmosphere simulation, (b) LLC4320, and (c) the GDP-based observation estimate, shown on a logarithmic scale. Only grid points with negative wind work are included.</w:t>
      </w:r>
    </w:p>
    <w:sectPr w:rsidR="00353D93" w:rsidRPr="00FB4F4F" w:rsidSect="00C0599E">
      <w:footerReference w:type="default" r:id="rId14"/>
      <w:pgSz w:w="11906" w:h="16838"/>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16F47" w14:textId="77777777" w:rsidR="000551F1" w:rsidRDefault="000551F1" w:rsidP="00353D93">
      <w:r>
        <w:separator/>
      </w:r>
    </w:p>
  </w:endnote>
  <w:endnote w:type="continuationSeparator" w:id="0">
    <w:p w14:paraId="775C40C7" w14:textId="77777777" w:rsidR="000551F1" w:rsidRDefault="000551F1" w:rsidP="00353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10735107"/>
      <w:docPartObj>
        <w:docPartGallery w:val="Page Numbers (Bottom of Page)"/>
        <w:docPartUnique/>
      </w:docPartObj>
    </w:sdtPr>
    <w:sdtContent>
      <w:p w14:paraId="651DD470" w14:textId="7130D717" w:rsidR="00381D9D" w:rsidRPr="00C0599E" w:rsidRDefault="00381D9D">
        <w:pPr>
          <w:pStyle w:val="Footer"/>
          <w:jc w:val="center"/>
          <w:rPr>
            <w:rFonts w:cs="Times New Roman"/>
          </w:rPr>
        </w:pPr>
        <w:r w:rsidRPr="00C0599E">
          <w:rPr>
            <w:rFonts w:cs="Times New Roman"/>
          </w:rPr>
          <w:fldChar w:fldCharType="begin"/>
        </w:r>
        <w:r w:rsidRPr="00C0599E">
          <w:rPr>
            <w:rFonts w:cs="Times New Roman"/>
          </w:rPr>
          <w:instrText>PAGE   \* MERGEFORMAT</w:instrText>
        </w:r>
        <w:r w:rsidRPr="00C0599E">
          <w:rPr>
            <w:rFonts w:cs="Times New Roman"/>
          </w:rPr>
          <w:fldChar w:fldCharType="separate"/>
        </w:r>
        <w:r w:rsidRPr="00C0599E">
          <w:rPr>
            <w:rFonts w:cs="Times New Roman"/>
            <w:lang w:val="zh-CN"/>
          </w:rPr>
          <w:t>2</w:t>
        </w:r>
        <w:r w:rsidRPr="00C0599E">
          <w:rPr>
            <w:rFonts w:cs="Times New Roman"/>
          </w:rPr>
          <w:fldChar w:fldCharType="end"/>
        </w:r>
      </w:p>
    </w:sdtContent>
  </w:sdt>
  <w:p w14:paraId="4794942C" w14:textId="77777777" w:rsidR="00381D9D" w:rsidRDefault="00381D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F71AE" w14:textId="77777777" w:rsidR="000551F1" w:rsidRDefault="000551F1" w:rsidP="00353D93">
      <w:r>
        <w:separator/>
      </w:r>
    </w:p>
  </w:footnote>
  <w:footnote w:type="continuationSeparator" w:id="0">
    <w:p w14:paraId="0B713D5E" w14:textId="77777777" w:rsidR="000551F1" w:rsidRDefault="000551F1" w:rsidP="00353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F18"/>
    <w:rsid w:val="0002143A"/>
    <w:rsid w:val="000551F1"/>
    <w:rsid w:val="00092EB3"/>
    <w:rsid w:val="00096D10"/>
    <w:rsid w:val="001F6768"/>
    <w:rsid w:val="00213199"/>
    <w:rsid w:val="002571AE"/>
    <w:rsid w:val="002A7C80"/>
    <w:rsid w:val="002F4710"/>
    <w:rsid w:val="00353D93"/>
    <w:rsid w:val="00381D9D"/>
    <w:rsid w:val="003B4B60"/>
    <w:rsid w:val="00423E06"/>
    <w:rsid w:val="00444DB2"/>
    <w:rsid w:val="00462F09"/>
    <w:rsid w:val="00552170"/>
    <w:rsid w:val="005B1AF8"/>
    <w:rsid w:val="005C6024"/>
    <w:rsid w:val="00643303"/>
    <w:rsid w:val="007D7865"/>
    <w:rsid w:val="008E3132"/>
    <w:rsid w:val="009D292D"/>
    <w:rsid w:val="00A4293B"/>
    <w:rsid w:val="00A56E47"/>
    <w:rsid w:val="00AC1B55"/>
    <w:rsid w:val="00AF6F18"/>
    <w:rsid w:val="00BF153F"/>
    <w:rsid w:val="00C0599E"/>
    <w:rsid w:val="00C73A95"/>
    <w:rsid w:val="00CB1920"/>
    <w:rsid w:val="00D1178D"/>
    <w:rsid w:val="00DD253D"/>
    <w:rsid w:val="00E46493"/>
    <w:rsid w:val="00EC6684"/>
    <w:rsid w:val="00F01083"/>
    <w:rsid w:val="00FB4F4F"/>
    <w:rsid w:val="00FD0871"/>
    <w:rsid w:val="00FE5E05"/>
    <w:rsid w:val="00FF46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449270"/>
  <w14:defaultImageDpi w14:val="32767"/>
  <w15:chartTrackingRefBased/>
  <w15:docId w15:val="{218C4759-5E87-4C10-B7CD-9C86ADB7F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99E"/>
    <w:pPr>
      <w:widowControl w:val="0"/>
      <w:jc w:val="both"/>
    </w:pPr>
    <w:rPr>
      <w:rFonts w:ascii="Times New Roman" w:hAnsi="Times New Roman" w:cs="Times New Roman (Body CS)"/>
    </w:rPr>
  </w:style>
  <w:style w:type="paragraph" w:styleId="Heading1">
    <w:name w:val="heading 1"/>
    <w:basedOn w:val="Normal"/>
    <w:next w:val="Normal"/>
    <w:link w:val="Heading1Char"/>
    <w:uiPriority w:val="9"/>
    <w:qFormat/>
    <w:rsid w:val="00AF6F1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AF6F1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AF6F1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AF6F1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AF6F1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AF6F18"/>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AF6F18"/>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AF6F18"/>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AF6F1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F18"/>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AF6F18"/>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AF6F18"/>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AF6F18"/>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AF6F18"/>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AF6F18"/>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AF6F18"/>
    <w:rPr>
      <w:rFonts w:cstheme="majorBidi"/>
      <w:b/>
      <w:bCs/>
      <w:color w:val="595959" w:themeColor="text1" w:themeTint="A6"/>
    </w:rPr>
  </w:style>
  <w:style w:type="character" w:customStyle="1" w:styleId="Heading8Char">
    <w:name w:val="Heading 8 Char"/>
    <w:basedOn w:val="DefaultParagraphFont"/>
    <w:link w:val="Heading8"/>
    <w:uiPriority w:val="9"/>
    <w:semiHidden/>
    <w:rsid w:val="00AF6F18"/>
    <w:rPr>
      <w:rFonts w:cstheme="majorBidi"/>
      <w:color w:val="595959" w:themeColor="text1" w:themeTint="A6"/>
    </w:rPr>
  </w:style>
  <w:style w:type="character" w:customStyle="1" w:styleId="Heading9Char">
    <w:name w:val="Heading 9 Char"/>
    <w:basedOn w:val="DefaultParagraphFont"/>
    <w:link w:val="Heading9"/>
    <w:uiPriority w:val="9"/>
    <w:semiHidden/>
    <w:rsid w:val="00AF6F18"/>
    <w:rPr>
      <w:rFonts w:eastAsiaTheme="majorEastAsia" w:cstheme="majorBidi"/>
      <w:color w:val="595959" w:themeColor="text1" w:themeTint="A6"/>
    </w:rPr>
  </w:style>
  <w:style w:type="paragraph" w:styleId="Title">
    <w:name w:val="Title"/>
    <w:basedOn w:val="Normal"/>
    <w:next w:val="Normal"/>
    <w:link w:val="TitleChar"/>
    <w:uiPriority w:val="10"/>
    <w:qFormat/>
    <w:rsid w:val="00AF6F18"/>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6F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6F1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6F1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AF6F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F6F18"/>
    <w:rPr>
      <w:i/>
      <w:iCs/>
      <w:color w:val="404040" w:themeColor="text1" w:themeTint="BF"/>
    </w:rPr>
  </w:style>
  <w:style w:type="paragraph" w:styleId="ListParagraph">
    <w:name w:val="List Paragraph"/>
    <w:basedOn w:val="Normal"/>
    <w:uiPriority w:val="34"/>
    <w:qFormat/>
    <w:rsid w:val="00AF6F18"/>
    <w:pPr>
      <w:ind w:left="720"/>
      <w:contextualSpacing/>
    </w:pPr>
  </w:style>
  <w:style w:type="character" w:styleId="IntenseEmphasis">
    <w:name w:val="Intense Emphasis"/>
    <w:basedOn w:val="DefaultParagraphFont"/>
    <w:uiPriority w:val="21"/>
    <w:qFormat/>
    <w:rsid w:val="00AF6F18"/>
    <w:rPr>
      <w:i/>
      <w:iCs/>
      <w:color w:val="0F4761" w:themeColor="accent1" w:themeShade="BF"/>
    </w:rPr>
  </w:style>
  <w:style w:type="paragraph" w:styleId="IntenseQuote">
    <w:name w:val="Intense Quote"/>
    <w:basedOn w:val="Normal"/>
    <w:next w:val="Normal"/>
    <w:link w:val="IntenseQuoteChar"/>
    <w:uiPriority w:val="30"/>
    <w:qFormat/>
    <w:rsid w:val="00AF6F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6F18"/>
    <w:rPr>
      <w:i/>
      <w:iCs/>
      <w:color w:val="0F4761" w:themeColor="accent1" w:themeShade="BF"/>
    </w:rPr>
  </w:style>
  <w:style w:type="character" w:styleId="IntenseReference">
    <w:name w:val="Intense Reference"/>
    <w:basedOn w:val="DefaultParagraphFont"/>
    <w:uiPriority w:val="32"/>
    <w:qFormat/>
    <w:rsid w:val="00AF6F18"/>
    <w:rPr>
      <w:b/>
      <w:bCs/>
      <w:smallCaps/>
      <w:color w:val="0F4761" w:themeColor="accent1" w:themeShade="BF"/>
      <w:spacing w:val="5"/>
    </w:rPr>
  </w:style>
  <w:style w:type="paragraph" w:styleId="Header">
    <w:name w:val="header"/>
    <w:basedOn w:val="Normal"/>
    <w:link w:val="HeaderChar"/>
    <w:uiPriority w:val="99"/>
    <w:unhideWhenUsed/>
    <w:rsid w:val="00353D93"/>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53D93"/>
    <w:rPr>
      <w:sz w:val="18"/>
      <w:szCs w:val="18"/>
    </w:rPr>
  </w:style>
  <w:style w:type="paragraph" w:styleId="Footer">
    <w:name w:val="footer"/>
    <w:basedOn w:val="Normal"/>
    <w:link w:val="FooterChar"/>
    <w:uiPriority w:val="99"/>
    <w:unhideWhenUsed/>
    <w:rsid w:val="00353D9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53D93"/>
    <w:rPr>
      <w:sz w:val="18"/>
      <w:szCs w:val="18"/>
    </w:rPr>
  </w:style>
  <w:style w:type="character" w:styleId="LineNumber">
    <w:name w:val="line number"/>
    <w:basedOn w:val="DefaultParagraphFont"/>
    <w:uiPriority w:val="99"/>
    <w:semiHidden/>
    <w:unhideWhenUsed/>
    <w:rsid w:val="00353D93"/>
  </w:style>
  <w:style w:type="paragraph" w:styleId="Revision">
    <w:name w:val="Revision"/>
    <w:hidden/>
    <w:uiPriority w:val="99"/>
    <w:semiHidden/>
    <w:rsid w:val="00FD0871"/>
  </w:style>
  <w:style w:type="character" w:styleId="CommentReference">
    <w:name w:val="annotation reference"/>
    <w:basedOn w:val="DefaultParagraphFont"/>
    <w:uiPriority w:val="99"/>
    <w:semiHidden/>
    <w:unhideWhenUsed/>
    <w:rsid w:val="003B4B60"/>
    <w:rPr>
      <w:sz w:val="16"/>
      <w:szCs w:val="16"/>
    </w:rPr>
  </w:style>
  <w:style w:type="paragraph" w:styleId="CommentText">
    <w:name w:val="annotation text"/>
    <w:basedOn w:val="Normal"/>
    <w:link w:val="CommentTextChar"/>
    <w:uiPriority w:val="99"/>
    <w:semiHidden/>
    <w:unhideWhenUsed/>
    <w:rsid w:val="003B4B60"/>
    <w:rPr>
      <w:sz w:val="20"/>
      <w:szCs w:val="20"/>
    </w:rPr>
  </w:style>
  <w:style w:type="character" w:customStyle="1" w:styleId="CommentTextChar">
    <w:name w:val="Comment Text Char"/>
    <w:basedOn w:val="DefaultParagraphFont"/>
    <w:link w:val="CommentText"/>
    <w:uiPriority w:val="99"/>
    <w:semiHidden/>
    <w:rsid w:val="003B4B60"/>
    <w:rPr>
      <w:rFonts w:ascii="Times New Roman" w:hAnsi="Times New Roman" w:cs="Times New Roman (Body CS)"/>
      <w:sz w:val="20"/>
      <w:szCs w:val="20"/>
    </w:rPr>
  </w:style>
  <w:style w:type="paragraph" w:styleId="CommentSubject">
    <w:name w:val="annotation subject"/>
    <w:basedOn w:val="CommentText"/>
    <w:next w:val="CommentText"/>
    <w:link w:val="CommentSubjectChar"/>
    <w:uiPriority w:val="99"/>
    <w:semiHidden/>
    <w:unhideWhenUsed/>
    <w:rsid w:val="003B4B60"/>
    <w:rPr>
      <w:b/>
      <w:bCs/>
    </w:rPr>
  </w:style>
  <w:style w:type="character" w:customStyle="1" w:styleId="CommentSubjectChar">
    <w:name w:val="Comment Subject Char"/>
    <w:basedOn w:val="CommentTextChar"/>
    <w:link w:val="CommentSubject"/>
    <w:uiPriority w:val="99"/>
    <w:semiHidden/>
    <w:rsid w:val="003B4B60"/>
    <w:rPr>
      <w:rFonts w:ascii="Times New Roman" w:hAnsi="Times New Roman" w:cs="Times New Roman (Body CS)"/>
      <w:b/>
      <w:bCs/>
      <w:sz w:val="20"/>
      <w:szCs w:val="20"/>
    </w:rPr>
  </w:style>
  <w:style w:type="paragraph" w:styleId="BalloonText">
    <w:name w:val="Balloon Text"/>
    <w:basedOn w:val="Normal"/>
    <w:link w:val="BalloonTextChar"/>
    <w:uiPriority w:val="99"/>
    <w:semiHidden/>
    <w:unhideWhenUsed/>
    <w:rsid w:val="002571AE"/>
    <w:rPr>
      <w:sz w:val="18"/>
      <w:szCs w:val="18"/>
    </w:rPr>
  </w:style>
  <w:style w:type="character" w:customStyle="1" w:styleId="BalloonTextChar">
    <w:name w:val="Balloon Text Char"/>
    <w:basedOn w:val="DefaultParagraphFont"/>
    <w:link w:val="BalloonText"/>
    <w:uiPriority w:val="99"/>
    <w:semiHidden/>
    <w:rsid w:val="002571AE"/>
    <w:rPr>
      <w:rFonts w:ascii="Times New Roman" w:hAnsi="Times New Roman" w:cs="Times New Roman (Body 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24DCF-DE93-4329-9E69-A652F21AA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2047</Words>
  <Characters>11668</Characters>
  <Application>Microsoft Office Word</Application>
  <DocSecurity>0</DocSecurity>
  <Lines>97</Lines>
  <Paragraphs>27</Paragraphs>
  <ScaleCrop>false</ScaleCrop>
  <Company/>
  <LinksUpToDate>false</LinksUpToDate>
  <CharactersWithSpaces>13688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yuxun liu</dc:creator>
  <cp:keywords/>
  <dc:description/>
  <cp:lastModifiedBy>Zhiyu Liu</cp:lastModifiedBy>
  <cp:revision>6</cp:revision>
  <dcterms:created xsi:type="dcterms:W3CDTF">2026-09-27T08:23:00Z</dcterms:created>
  <dcterms:modified xsi:type="dcterms:W3CDTF">2026-09-30T03:39:00Z</dcterms:modified>
</cp:coreProperties>
</file>