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8085" w14:textId="77777777" w:rsidR="00BB353A" w:rsidRPr="00BB353A" w:rsidRDefault="00BB353A" w:rsidP="00BB353A">
      <w:pPr>
        <w:pStyle w:val="Ttulo1"/>
        <w:spacing w:line="480" w:lineRule="auto"/>
        <w:rPr>
          <w:lang w:val="en-US"/>
        </w:rPr>
      </w:pPr>
      <w:r w:rsidRPr="00BB353A">
        <w:rPr>
          <w:rFonts w:ascii="Arial" w:hAnsi="Arial"/>
          <w:lang w:val="en-US"/>
        </w:rPr>
        <w:t>Supplementary material</w:t>
      </w:r>
    </w:p>
    <w:p w14:paraId="26444ED3" w14:textId="77777777" w:rsidR="00BB353A" w:rsidRDefault="00BB353A" w:rsidP="00BB353A">
      <w:pPr>
        <w:keepNext/>
        <w:spacing w:line="480" w:lineRule="auto"/>
      </w:pPr>
      <w:r>
        <w:rPr>
          <w:b/>
        </w:rPr>
        <w:t>Supplementary Figure S1. Selection of the analytical sample</w:t>
      </w:r>
    </w:p>
    <w:p w14:paraId="2590CCB2" w14:textId="77777777" w:rsidR="00BB353A" w:rsidRDefault="00BB353A" w:rsidP="00BB353A">
      <w:pPr>
        <w:spacing w:line="480" w:lineRule="auto"/>
        <w:jc w:val="center"/>
      </w:pPr>
      <w:r w:rsidRPr="00F77C90">
        <w:rPr>
          <w:noProof/>
        </w:rPr>
        <w:drawing>
          <wp:inline distT="0" distB="0" distL="0" distR="0" wp14:anchorId="1813CB7D" wp14:editId="4A724484">
            <wp:extent cx="4654542" cy="6114473"/>
            <wp:effectExtent l="0" t="0" r="0" b="0"/>
            <wp:docPr id="5894396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4396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73179" cy="613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98C8D" w14:textId="77777777" w:rsidR="00BB353A" w:rsidRPr="00FA4257" w:rsidRDefault="00BB353A" w:rsidP="00BB353A">
      <w:pPr>
        <w:spacing w:line="480" w:lineRule="auto"/>
        <w:rPr>
          <w:iCs/>
          <w:sz w:val="18"/>
          <w:szCs w:val="18"/>
        </w:rPr>
      </w:pPr>
      <w:r w:rsidRPr="00FA4257">
        <w:rPr>
          <w:iCs/>
          <w:sz w:val="18"/>
          <w:szCs w:val="18"/>
        </w:rPr>
        <w:t>Note: The combined exclusion count reflects sequential application of fasting-duration, blood-pressure, pregnancy, anthropometric, and core-biomarker eligibility criteria.</w:t>
      </w:r>
    </w:p>
    <w:p w14:paraId="6C61C66D" w14:textId="77777777" w:rsidR="00BB353A" w:rsidRDefault="00BB353A" w:rsidP="00BB353A">
      <w:pPr>
        <w:keepNext/>
        <w:spacing w:line="480" w:lineRule="auto"/>
        <w:rPr>
          <w:b/>
        </w:rPr>
        <w:sectPr w:rsidR="00BB353A" w:rsidSect="00BB353A">
          <w:pgSz w:w="12240" w:h="15840"/>
          <w:pgMar w:top="864" w:right="936" w:bottom="864" w:left="936" w:header="720" w:footer="720" w:gutter="0"/>
          <w:lnNumType w:countBy="1" w:restart="continuous"/>
          <w:cols w:space="720"/>
          <w:docGrid w:linePitch="360"/>
        </w:sectPr>
      </w:pPr>
    </w:p>
    <w:p w14:paraId="7E062F31" w14:textId="77777777" w:rsidR="00BB353A" w:rsidRDefault="00BB353A" w:rsidP="00BB353A">
      <w:pPr>
        <w:keepNext/>
        <w:spacing w:line="480" w:lineRule="auto"/>
      </w:pPr>
      <w:r>
        <w:rPr>
          <w:b/>
        </w:rPr>
        <w:lastRenderedPageBreak/>
        <w:t>Supplementary Table S1. Distribution of CKM syndrome stages by 10-year age group and sex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08"/>
        <w:gridCol w:w="821"/>
        <w:gridCol w:w="1149"/>
        <w:gridCol w:w="1275"/>
        <w:gridCol w:w="1242"/>
        <w:gridCol w:w="1242"/>
        <w:gridCol w:w="1242"/>
        <w:gridCol w:w="1242"/>
        <w:gridCol w:w="1237"/>
      </w:tblGrid>
      <w:tr w:rsidR="00BB353A" w14:paraId="18A79813" w14:textId="77777777" w:rsidTr="008A6642">
        <w:trPr>
          <w:tblHeader/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4D64B5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3"/>
              </w:rPr>
              <w:t>Sex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1D61FA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3"/>
              </w:rPr>
              <w:t>Age, years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446EB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3"/>
              </w:rPr>
              <w:t>Unweighted n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58337A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3"/>
              </w:rPr>
              <w:t>Population, millions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BBB6BA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3"/>
              </w:rPr>
              <w:t>Stage 0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5DA428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3"/>
              </w:rPr>
              <w:t>Stage 1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6F8148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3"/>
              </w:rPr>
              <w:t>Stage 2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BF5D08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3"/>
              </w:rPr>
              <w:t>Stage 3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60C663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3"/>
              </w:rPr>
              <w:t>Stage 4</w:t>
            </w:r>
          </w:p>
        </w:tc>
      </w:tr>
      <w:tr w:rsidR="00BB353A" w14:paraId="6C1D9EE5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81D366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Women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97E4FB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20–29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384913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977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583A3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9.89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BE216D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24.2 (19.8–28.7)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153D7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37.5 (32.7–42.2)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E31900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36.8 (32.2–41.4)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4305FE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0.1 (0.0–0.2)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49B7D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1.4 (0.4–2.5)</w:t>
            </w:r>
          </w:p>
        </w:tc>
      </w:tr>
      <w:tr w:rsidR="00BB353A" w14:paraId="7EC62160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65AC74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Women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5C25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30–39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4C980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1,317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7064DD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9.30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DA277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9.2 (6.8–11.6)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29988A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30.8 (26.9–34.7)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CDAD7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57.4 (53.2–61.6)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848513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0.0 (0.0–0.0)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F1F163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2.6 (1.2–3.9)</w:t>
            </w:r>
          </w:p>
        </w:tc>
      </w:tr>
      <w:tr w:rsidR="00BB353A" w14:paraId="5BDCE0C9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FB6BD8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Women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64FCA1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40–49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3CB16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1,343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6EEBD3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9.13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59DFF5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5.5 (3.1–8.0)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F19FD4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20.3 (16.9–23.8)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8D828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71.9 (67.9–75.8)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D527D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0.0 (0.0–0.0)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666928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2.2 (1.3–3.2)</w:t>
            </w:r>
          </w:p>
        </w:tc>
      </w:tr>
      <w:tr w:rsidR="00BB353A" w14:paraId="4959B2DB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A85885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Women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58D23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50–59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85510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1,020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82A3EF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7.08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D7BD3F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2.1 (1.1–3.2)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84074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16.6 (12.6–20.6)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8367E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75.3 (70.7–79.9)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EF3161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1.0 (0.0–2.1)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46132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4.9 (2.8–7.0)</w:t>
            </w:r>
          </w:p>
        </w:tc>
      </w:tr>
      <w:tr w:rsidR="00BB353A" w14:paraId="1A02E5DA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2F66C9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Women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86DDB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60–69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F4DE9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761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0C45A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5.24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D83E95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0.7 (0.1–1.3)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E58EBB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14.4 (8.8–19.9)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A1630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70.3 (63.8–76.8)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615EEE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7.8 (3.9–11.7)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83CAAB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6.9 (4.6–9.2)</w:t>
            </w:r>
          </w:p>
        </w:tc>
      </w:tr>
      <w:tr w:rsidR="00BB353A" w14:paraId="3AD74DB6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38ACF7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Women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50789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70–79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2F123F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420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DBC91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2.67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BF294A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1.8 (0.5–3.1)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9FC7EF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8.0 (2.2–13.9)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C603A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49.8 (41.6–58.0)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87D43F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31.3 (23.3–39.3)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E64AFB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9.1 (5.2–13.0)</w:t>
            </w:r>
          </w:p>
        </w:tc>
      </w:tr>
      <w:tr w:rsidR="00BB353A" w14:paraId="6EBE0071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CD0061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Women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946B1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≥80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DD5A1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167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D65DE1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1.31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DC50B0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1.9 (0.0–4.1)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10428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8.9 (2.0–15.8)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D4558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81.9 (73.5–90.4)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E145B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1.4 (0.0–2.9)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3CC0D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5.9 (1.8–10.1)</w:t>
            </w:r>
          </w:p>
        </w:tc>
      </w:tr>
      <w:tr w:rsidR="00BB353A" w14:paraId="337642D4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23EC2F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28879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20–29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E66E64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828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25D78E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9.25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CB4BB5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28.1 (23.0–33.2)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2458E3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20.9 (16.8–25.1)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72D92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48.9 (43.7–54.2)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17B18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0.0 (0.0–0.0)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DC1DF6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2.0 (0.6–3.3)</w:t>
            </w:r>
          </w:p>
        </w:tc>
      </w:tr>
      <w:tr w:rsidR="00BB353A" w14:paraId="15931ACB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E9E66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3F91AA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30–39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C3DBB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903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D17EE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7.88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FD77C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12.2 (8.2–16.2)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E9A2D4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23.4 (18.9–27.8)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18710F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60.5 (55.3–65.7)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B648AF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0.0 (0.0–0.1)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0F1B3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3.9 (1.7–6.1)</w:t>
            </w:r>
          </w:p>
        </w:tc>
      </w:tr>
      <w:tr w:rsidR="00BB353A" w14:paraId="4DEA913F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77981D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137D7B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40–49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C1B591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942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5F6C5E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7.40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CD332F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5.8 (3.6–8.1)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314E2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19.5 (14.8–24.2)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909505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71.5 (66.5–76.5)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B1D30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0.4 (0.0–0.8)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F8C6A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2.8 (1.1–4.6)</w:t>
            </w:r>
          </w:p>
        </w:tc>
      </w:tr>
      <w:tr w:rsidR="00BB353A" w14:paraId="460B031E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D2F2C8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B8B4C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50–59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FC1321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754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76B4D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5.99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04DD33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4.9 (2.9–6.9)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A6A460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14.6 (10.2–19.0)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FCCF38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73.6 (68.6–78.7)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A650BE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2.6 (1.0–4.2)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7441BE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4.2 (1.9–6.5)</w:t>
            </w:r>
          </w:p>
        </w:tc>
      </w:tr>
      <w:tr w:rsidR="00BB353A" w14:paraId="4033A56E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8381B9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14584B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60–69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8C1708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570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5C42F4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3.76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817B90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4.8 (2.4–7.2)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6DEC9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13.0 (6.8–19.2)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1A86A5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63.7 (56.7–70.8)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AC3258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11.1 (7.3–15.0)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1441F8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7.3 (3.9–10.7)</w:t>
            </w:r>
          </w:p>
        </w:tc>
      </w:tr>
      <w:tr w:rsidR="00BB353A" w14:paraId="4A84063B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E3ABD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002CF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70–79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C9E470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368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4D54F5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2.29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C124A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1.8 (0.5–3.1)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A7F8DA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6.0 (2.0–10.0)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02A965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35.8 (25.7–46.0)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297E9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47.2 (37.3–57.1)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EABDE6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9.1 (3.9–14.3)</w:t>
            </w:r>
          </w:p>
        </w:tc>
      </w:tr>
      <w:tr w:rsidR="00BB353A" w14:paraId="563E0299" w14:textId="77777777" w:rsidTr="008A6642">
        <w:trPr>
          <w:jc w:val="center"/>
        </w:trPr>
        <w:tc>
          <w:tcPr>
            <w:tcW w:w="108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EFF201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Men</w:t>
            </w:r>
          </w:p>
        </w:tc>
        <w:tc>
          <w:tcPr>
            <w:tcW w:w="10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23F1C6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≥80</w:t>
            </w:r>
          </w:p>
        </w:tc>
        <w:tc>
          <w:tcPr>
            <w:tcW w:w="129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FEF17F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152</w:t>
            </w:r>
          </w:p>
        </w:tc>
        <w:tc>
          <w:tcPr>
            <w:tcW w:w="1512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839AA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0.98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D11318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5.1 (1.2–9.0)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D6676A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8.9 (0.4–17.3)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4A5CB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80.0 (70.4–89.6)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D2F700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0.2 (0.0–0.7)</w:t>
            </w:r>
          </w:p>
        </w:tc>
        <w:tc>
          <w:tcPr>
            <w:tcW w:w="165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5A88C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3"/>
              </w:rPr>
              <w:t>5.8 (2.0–9.6)</w:t>
            </w:r>
          </w:p>
        </w:tc>
      </w:tr>
    </w:tbl>
    <w:p w14:paraId="23F68C4A" w14:textId="77777777" w:rsidR="00BB353A" w:rsidRDefault="00BB353A" w:rsidP="00BB353A">
      <w:pPr>
        <w:spacing w:line="480" w:lineRule="auto"/>
        <w:rPr>
          <w:i/>
        </w:rPr>
      </w:pPr>
    </w:p>
    <w:p w14:paraId="4470AB27" w14:textId="77777777" w:rsidR="00BB353A" w:rsidRPr="00FA4257" w:rsidRDefault="00BB353A" w:rsidP="00BB353A">
      <w:pPr>
        <w:spacing w:line="480" w:lineRule="auto"/>
        <w:rPr>
          <w:iCs/>
          <w:sz w:val="18"/>
          <w:szCs w:val="18"/>
        </w:rPr>
      </w:pPr>
      <w:r w:rsidRPr="00FA4257">
        <w:rPr>
          <w:iCs/>
          <w:sz w:val="18"/>
          <w:szCs w:val="18"/>
        </w:rPr>
        <w:t>Note: Stage-specific values are weighted prevalence estimates, % (95% CI). Population estimates use recalibrated fasting-biochemical-subsample weights. Participants were assigned hierarchically to their highest qualifying CKM stage. Percentages may not sum to 100% because of rounding. CI=confidence interval; CKM=cardiovascular–kidney–metabolic.</w:t>
      </w:r>
    </w:p>
    <w:p w14:paraId="3162E0D1" w14:textId="77777777" w:rsidR="00BB353A" w:rsidRDefault="00BB353A" w:rsidP="00BB353A">
      <w:pPr>
        <w:keepNext/>
        <w:spacing w:line="480" w:lineRule="auto"/>
        <w:rPr>
          <w:b/>
        </w:rPr>
        <w:sectPr w:rsidR="00BB353A" w:rsidSect="00BB353A">
          <w:pgSz w:w="12240" w:h="15840"/>
          <w:pgMar w:top="864" w:right="936" w:bottom="864" w:left="936" w:header="720" w:footer="720" w:gutter="0"/>
          <w:lnNumType w:countBy="1" w:restart="continuous"/>
          <w:cols w:space="720"/>
          <w:docGrid w:linePitch="360"/>
        </w:sectPr>
      </w:pPr>
    </w:p>
    <w:p w14:paraId="3957901D" w14:textId="77777777" w:rsidR="00BB353A" w:rsidRDefault="00BB353A" w:rsidP="00BB353A">
      <w:pPr>
        <w:keepNext/>
        <w:spacing w:line="480" w:lineRule="auto"/>
      </w:pPr>
      <w:r>
        <w:rPr>
          <w:b/>
        </w:rPr>
        <w:lastRenderedPageBreak/>
        <w:t>Supplementary Table S2. PREVENT-CVD risk among eligible adults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066"/>
        <w:gridCol w:w="3292"/>
      </w:tblGrid>
      <w:tr w:rsidR="00BB353A" w14:paraId="7BEA4243" w14:textId="77777777" w:rsidTr="008A6642">
        <w:trPr>
          <w:tblHeader/>
          <w:jc w:val="center"/>
        </w:trPr>
        <w:tc>
          <w:tcPr>
            <w:tcW w:w="82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40685F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6"/>
              </w:rPr>
              <w:t>Measure</w:t>
            </w:r>
          </w:p>
        </w:tc>
        <w:tc>
          <w:tcPr>
            <w:tcW w:w="374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F0FB6D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6"/>
              </w:rPr>
              <w:t>Weighted estimate</w:t>
            </w:r>
          </w:p>
        </w:tc>
      </w:tr>
      <w:tr w:rsidR="00BB353A" w14:paraId="19C2C78D" w14:textId="77777777" w:rsidTr="008A6642">
        <w:trPr>
          <w:jc w:val="center"/>
        </w:trPr>
        <w:tc>
          <w:tcPr>
            <w:tcW w:w="82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FCF0FC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6"/>
              </w:rPr>
              <w:t>Eligible unweighted sample</w:t>
            </w:r>
          </w:p>
        </w:tc>
        <w:tc>
          <w:tcPr>
            <w:tcW w:w="374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B5DBE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6"/>
              </w:rPr>
              <w:t>7,043</w:t>
            </w:r>
          </w:p>
        </w:tc>
      </w:tr>
      <w:tr w:rsidR="00BB353A" w14:paraId="3C27071C" w14:textId="77777777" w:rsidTr="008A6642">
        <w:trPr>
          <w:jc w:val="center"/>
        </w:trPr>
        <w:tc>
          <w:tcPr>
            <w:tcW w:w="82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6E2564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6"/>
              </w:rPr>
              <w:t>Median 10-year total CVD risk, % (</w:t>
            </w:r>
            <w:proofErr w:type="spellStart"/>
            <w:r w:rsidRPr="002822D2">
              <w:rPr>
                <w:color w:val="000000" w:themeColor="text1"/>
                <w:sz w:val="16"/>
              </w:rPr>
              <w:t>IQR</w:t>
            </w:r>
            <w:proofErr w:type="spellEnd"/>
            <w:r w:rsidRPr="002822D2">
              <w:rPr>
                <w:color w:val="000000" w:themeColor="text1"/>
                <w:sz w:val="16"/>
              </w:rPr>
              <w:t>)</w:t>
            </w:r>
          </w:p>
        </w:tc>
        <w:tc>
          <w:tcPr>
            <w:tcW w:w="374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9D5DDE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6"/>
              </w:rPr>
              <w:t>2.9 (1.2–7.9)</w:t>
            </w:r>
          </w:p>
        </w:tc>
      </w:tr>
      <w:tr w:rsidR="00BB353A" w14:paraId="6DE3087F" w14:textId="77777777" w:rsidTr="008A6642">
        <w:trPr>
          <w:jc w:val="center"/>
        </w:trPr>
        <w:tc>
          <w:tcPr>
            <w:tcW w:w="82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488195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6"/>
              </w:rPr>
              <w:t>Risk &lt;5%, %</w:t>
            </w:r>
          </w:p>
        </w:tc>
        <w:tc>
          <w:tcPr>
            <w:tcW w:w="374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A004C0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6"/>
              </w:rPr>
              <w:t>63.1</w:t>
            </w:r>
          </w:p>
        </w:tc>
      </w:tr>
      <w:tr w:rsidR="00BB353A" w14:paraId="3441378A" w14:textId="77777777" w:rsidTr="008A6642">
        <w:trPr>
          <w:jc w:val="center"/>
        </w:trPr>
        <w:tc>
          <w:tcPr>
            <w:tcW w:w="82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C9ECAB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6"/>
              </w:rPr>
              <w:t>Risk 5% to &lt;10%, %</w:t>
            </w:r>
          </w:p>
        </w:tc>
        <w:tc>
          <w:tcPr>
            <w:tcW w:w="374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89319E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6"/>
              </w:rPr>
              <w:t>16.6</w:t>
            </w:r>
          </w:p>
        </w:tc>
      </w:tr>
      <w:tr w:rsidR="00BB353A" w14:paraId="405E8B22" w14:textId="77777777" w:rsidTr="008A6642">
        <w:trPr>
          <w:jc w:val="center"/>
        </w:trPr>
        <w:tc>
          <w:tcPr>
            <w:tcW w:w="82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FC8B5D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6"/>
              </w:rPr>
              <w:t>Risk 10% to &lt;20%, %</w:t>
            </w:r>
          </w:p>
        </w:tc>
        <w:tc>
          <w:tcPr>
            <w:tcW w:w="374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7B4DA5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6"/>
              </w:rPr>
              <w:t>14.7</w:t>
            </w:r>
          </w:p>
        </w:tc>
      </w:tr>
      <w:tr w:rsidR="00BB353A" w14:paraId="164B570C" w14:textId="77777777" w:rsidTr="008A6642">
        <w:trPr>
          <w:jc w:val="center"/>
        </w:trPr>
        <w:tc>
          <w:tcPr>
            <w:tcW w:w="820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0C692D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6"/>
              </w:rPr>
              <w:t>Risk ≥20%, %</w:t>
            </w:r>
          </w:p>
        </w:tc>
        <w:tc>
          <w:tcPr>
            <w:tcW w:w="374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2BA450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6"/>
              </w:rPr>
              <w:t>5.6</w:t>
            </w:r>
          </w:p>
        </w:tc>
      </w:tr>
    </w:tbl>
    <w:p w14:paraId="635733DC" w14:textId="77777777" w:rsidR="00BB353A" w:rsidRDefault="00BB353A" w:rsidP="00BB353A">
      <w:pPr>
        <w:spacing w:line="480" w:lineRule="auto"/>
        <w:rPr>
          <w:i/>
          <w:sz w:val="20"/>
          <w:szCs w:val="20"/>
        </w:rPr>
      </w:pPr>
    </w:p>
    <w:p w14:paraId="236D6A39" w14:textId="77777777" w:rsidR="00BB353A" w:rsidRPr="00FA4257" w:rsidRDefault="00BB353A" w:rsidP="00BB353A">
      <w:pPr>
        <w:keepNext/>
        <w:spacing w:line="480" w:lineRule="auto"/>
        <w:jc w:val="left"/>
        <w:rPr>
          <w:b/>
          <w:iCs/>
          <w:sz w:val="18"/>
          <w:szCs w:val="18"/>
        </w:rPr>
        <w:sectPr w:rsidR="00BB353A" w:rsidRPr="00FA4257" w:rsidSect="00BB353A">
          <w:pgSz w:w="12240" w:h="15840"/>
          <w:pgMar w:top="864" w:right="936" w:bottom="864" w:left="936" w:header="720" w:footer="720" w:gutter="0"/>
          <w:lnNumType w:countBy="1" w:restart="continuous"/>
          <w:cols w:space="720"/>
          <w:docGrid w:linePitch="360"/>
        </w:sectPr>
      </w:pPr>
      <w:r w:rsidRPr="00FA4257">
        <w:rPr>
          <w:iCs/>
          <w:sz w:val="18"/>
          <w:szCs w:val="18"/>
        </w:rPr>
        <w:t xml:space="preserve">CVD=cardiovascular disease; </w:t>
      </w:r>
      <w:proofErr w:type="spellStart"/>
      <w:r w:rsidRPr="00FA4257">
        <w:rPr>
          <w:iCs/>
          <w:sz w:val="18"/>
          <w:szCs w:val="18"/>
        </w:rPr>
        <w:t>IQR</w:t>
      </w:r>
      <w:proofErr w:type="spellEnd"/>
      <w:r w:rsidRPr="00FA4257">
        <w:rPr>
          <w:iCs/>
          <w:sz w:val="18"/>
          <w:szCs w:val="18"/>
        </w:rPr>
        <w:t>=interquartile range.</w:t>
      </w:r>
    </w:p>
    <w:p w14:paraId="3790C461" w14:textId="77777777" w:rsidR="00BB353A" w:rsidRDefault="00BB353A" w:rsidP="00BB353A">
      <w:pPr>
        <w:keepNext/>
        <w:spacing w:line="480" w:lineRule="auto"/>
      </w:pPr>
      <w:r>
        <w:rPr>
          <w:b/>
        </w:rPr>
        <w:lastRenderedPageBreak/>
        <w:t>Supplementary Table S3. Sensitivity analyses of CKM stage prevalence</w:t>
      </w:r>
    </w:p>
    <w:p w14:paraId="47CA9581" w14:textId="77777777" w:rsidR="00BB353A" w:rsidRPr="002822D2" w:rsidRDefault="00BB353A" w:rsidP="00BB353A">
      <w:pPr>
        <w:keepNext/>
        <w:spacing w:line="480" w:lineRule="auto"/>
        <w:rPr>
          <w:color w:val="000000" w:themeColor="text1"/>
        </w:rPr>
      </w:pPr>
      <w:r w:rsidRPr="002822D2">
        <w:rPr>
          <w:b/>
          <w:color w:val="000000" w:themeColor="text1"/>
        </w:rPr>
        <w:t>Panel A. Alternative operational definitions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70"/>
        <w:gridCol w:w="1221"/>
        <w:gridCol w:w="1221"/>
        <w:gridCol w:w="1221"/>
        <w:gridCol w:w="1214"/>
        <w:gridCol w:w="1214"/>
        <w:gridCol w:w="1397"/>
      </w:tblGrid>
      <w:tr w:rsidR="00BB353A" w:rsidRPr="002822D2" w14:paraId="77FC7A54" w14:textId="77777777" w:rsidTr="008A6642">
        <w:trPr>
          <w:tblHeader/>
          <w:jc w:val="center"/>
        </w:trPr>
        <w:tc>
          <w:tcPr>
            <w:tcW w:w="446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D64EA7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4"/>
              </w:rPr>
              <w:t>Specification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943FDF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4"/>
              </w:rPr>
              <w:t>Stage 0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633AB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4"/>
              </w:rPr>
              <w:t>Stage 1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D10748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4"/>
              </w:rPr>
              <w:t>Stage 2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11057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4"/>
              </w:rPr>
              <w:t>Stage 3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0C45F5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4"/>
              </w:rPr>
              <w:t>Stage 4</w:t>
            </w:r>
          </w:p>
        </w:tc>
        <w:tc>
          <w:tcPr>
            <w:tcW w:w="208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E49A33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4"/>
              </w:rPr>
              <w:t>CKM stages 1–4</w:t>
            </w:r>
          </w:p>
        </w:tc>
      </w:tr>
      <w:tr w:rsidR="00BB353A" w:rsidRPr="002822D2" w14:paraId="78A2E2CE" w14:textId="77777777" w:rsidTr="008A6642">
        <w:trPr>
          <w:jc w:val="center"/>
        </w:trPr>
        <w:tc>
          <w:tcPr>
            <w:tcW w:w="446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EDE69F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Primary study-specific operational definition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B53036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10.4 (9.4–11.5)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07684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21.3 (20.0–22.6)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382B6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60.8 (59.2–62.4)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E616CA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3.7 (3.0–4.3)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050D56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3.8 (3.2–4.3)</w:t>
            </w:r>
          </w:p>
        </w:tc>
        <w:tc>
          <w:tcPr>
            <w:tcW w:w="208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DD80C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89.6 (88.5–90.6)</w:t>
            </w:r>
          </w:p>
        </w:tc>
      </w:tr>
      <w:tr w:rsidR="00BB353A" w:rsidRPr="002822D2" w14:paraId="1BCBACEA" w14:textId="77777777" w:rsidTr="008A6642">
        <w:trPr>
          <w:jc w:val="center"/>
        </w:trPr>
        <w:tc>
          <w:tcPr>
            <w:tcW w:w="446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E3EABB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Triglycerides ≥150 mg/dL independently qualify for stage 2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B0BF0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8.2 (7.2–9.2)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9C769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15.2 (14.1–16.4)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7F1211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69.1 (67.6–70.7)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E4F66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3.7 (3.0–4.3)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CF021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3.8 (3.2–4.3)</w:t>
            </w:r>
          </w:p>
        </w:tc>
        <w:tc>
          <w:tcPr>
            <w:tcW w:w="208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251CB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91.8 (90.8–92.8)</w:t>
            </w:r>
          </w:p>
        </w:tc>
      </w:tr>
      <w:tr w:rsidR="00BB353A" w:rsidRPr="002822D2" w14:paraId="722112CD" w14:textId="77777777" w:rsidTr="008A6642">
        <w:trPr>
          <w:jc w:val="center"/>
        </w:trPr>
        <w:tc>
          <w:tcPr>
            <w:tcW w:w="446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B56053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PREVENT-CVD predictors truncated to nearest validated boundary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3D4FC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10.4 (9.4–11.5)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2985D6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21.3 (20.0–22.6)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00641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59.7 (58.1–61.3)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0BCDA6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4.8 (4.1–5.5)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DD1B3D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3.8 (3.2–4.3)</w:t>
            </w:r>
          </w:p>
        </w:tc>
        <w:tc>
          <w:tcPr>
            <w:tcW w:w="208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6AED5F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89.6 (88.5–90.6)</w:t>
            </w:r>
          </w:p>
        </w:tc>
      </w:tr>
      <w:tr w:rsidR="00BB353A" w:rsidRPr="002822D2" w14:paraId="12607E31" w14:textId="77777777" w:rsidTr="008A6642">
        <w:trPr>
          <w:jc w:val="center"/>
        </w:trPr>
        <w:tc>
          <w:tcPr>
            <w:tcW w:w="4464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DB32A3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Waist circumference ≥88 cm in women and ≥102 cm in men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329445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13.6 (12.4–14.8)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6EFB0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22.0 (20.7–23.3)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A1EF59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56.9 (55.2–58.5)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680A11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3.7 (3.0–4.3)</w:t>
            </w:r>
          </w:p>
        </w:tc>
        <w:tc>
          <w:tcPr>
            <w:tcW w:w="1800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56F4C1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3.8 (3.2–4.3)</w:t>
            </w:r>
          </w:p>
        </w:tc>
        <w:tc>
          <w:tcPr>
            <w:tcW w:w="208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F8945D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4"/>
              </w:rPr>
              <w:t>86.4 (85.2–87.6)</w:t>
            </w:r>
          </w:p>
        </w:tc>
      </w:tr>
    </w:tbl>
    <w:p w14:paraId="1AD5DF71" w14:textId="77777777" w:rsidR="00BB353A" w:rsidRPr="002822D2" w:rsidRDefault="00BB353A" w:rsidP="00BB353A">
      <w:pPr>
        <w:keepNext/>
        <w:spacing w:line="480" w:lineRule="auto"/>
        <w:rPr>
          <w:b/>
          <w:color w:val="000000" w:themeColor="text1"/>
        </w:rPr>
      </w:pPr>
    </w:p>
    <w:p w14:paraId="19E9AA06" w14:textId="77777777" w:rsidR="00BB353A" w:rsidRPr="002822D2" w:rsidRDefault="00BB353A" w:rsidP="00BB353A">
      <w:pPr>
        <w:keepNext/>
        <w:spacing w:line="480" w:lineRule="auto"/>
        <w:rPr>
          <w:color w:val="000000" w:themeColor="text1"/>
        </w:rPr>
      </w:pPr>
      <w:r w:rsidRPr="002822D2">
        <w:rPr>
          <w:b/>
          <w:color w:val="000000" w:themeColor="text1"/>
        </w:rPr>
        <w:t>Panel B. Alternative definitions of clinical cardiovascular disease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261"/>
        <w:gridCol w:w="3097"/>
      </w:tblGrid>
      <w:tr w:rsidR="00BB353A" w:rsidRPr="002822D2" w14:paraId="6936BB67" w14:textId="77777777" w:rsidTr="008A6642">
        <w:trPr>
          <w:tblHeader/>
          <w:jc w:val="center"/>
        </w:trPr>
        <w:tc>
          <w:tcPr>
            <w:tcW w:w="96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2C75F5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5"/>
              </w:rPr>
              <w:t>Definition</w:t>
            </w:r>
          </w:p>
        </w:tc>
        <w:tc>
          <w:tcPr>
            <w:tcW w:w="388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B60050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5"/>
              </w:rPr>
              <w:t>Stage 4 prevalence, % (95% CI)</w:t>
            </w:r>
          </w:p>
        </w:tc>
      </w:tr>
      <w:tr w:rsidR="00BB353A" w:rsidRPr="002822D2" w14:paraId="7621EBB2" w14:textId="77777777" w:rsidTr="008A6642">
        <w:trPr>
          <w:jc w:val="center"/>
        </w:trPr>
        <w:tc>
          <w:tcPr>
            <w:tcW w:w="96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C03D0D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Full definition: myocardial infarction, stroke, angina, or heart failure</w:t>
            </w:r>
          </w:p>
        </w:tc>
        <w:tc>
          <w:tcPr>
            <w:tcW w:w="388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F3055F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3.8 (3.2–4.3)</w:t>
            </w:r>
          </w:p>
        </w:tc>
      </w:tr>
      <w:tr w:rsidR="00BB353A" w:rsidRPr="002822D2" w14:paraId="480D3C1E" w14:textId="77777777" w:rsidTr="008A6642">
        <w:trPr>
          <w:jc w:val="center"/>
        </w:trPr>
        <w:tc>
          <w:tcPr>
            <w:tcW w:w="96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5BF1DF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Restricted definition: myocardial infarction or stroke</w:t>
            </w:r>
          </w:p>
        </w:tc>
        <w:tc>
          <w:tcPr>
            <w:tcW w:w="388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AA231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1.9 (1.5–2.2)</w:t>
            </w:r>
          </w:p>
        </w:tc>
      </w:tr>
      <w:tr w:rsidR="00BB353A" w:rsidRPr="002822D2" w14:paraId="0D9148FF" w14:textId="77777777" w:rsidTr="008A6642">
        <w:trPr>
          <w:jc w:val="center"/>
        </w:trPr>
        <w:tc>
          <w:tcPr>
            <w:tcW w:w="96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C83094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Angina or heart failure without reported myocardial infarction or stroke</w:t>
            </w:r>
          </w:p>
        </w:tc>
        <w:tc>
          <w:tcPr>
            <w:tcW w:w="388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FC63E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1.9 (1.5–2.3)</w:t>
            </w:r>
          </w:p>
        </w:tc>
      </w:tr>
    </w:tbl>
    <w:p w14:paraId="19AA1B55" w14:textId="77777777" w:rsidR="00BB353A" w:rsidRPr="002822D2" w:rsidRDefault="00BB353A" w:rsidP="00BB353A">
      <w:pPr>
        <w:keepNext/>
        <w:spacing w:line="480" w:lineRule="auto"/>
        <w:rPr>
          <w:b/>
          <w:color w:val="000000" w:themeColor="text1"/>
        </w:rPr>
      </w:pPr>
    </w:p>
    <w:p w14:paraId="2DE7444D" w14:textId="77777777" w:rsidR="00BB353A" w:rsidRPr="002822D2" w:rsidRDefault="00BB353A" w:rsidP="00BB353A">
      <w:pPr>
        <w:keepNext/>
        <w:spacing w:line="480" w:lineRule="auto"/>
        <w:rPr>
          <w:color w:val="000000" w:themeColor="text1"/>
        </w:rPr>
      </w:pPr>
      <w:r w:rsidRPr="002822D2">
        <w:rPr>
          <w:b/>
          <w:color w:val="000000" w:themeColor="text1"/>
        </w:rPr>
        <w:t>Panel C. Survey-weighting specifications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46"/>
        <w:gridCol w:w="1861"/>
        <w:gridCol w:w="1729"/>
        <w:gridCol w:w="1824"/>
        <w:gridCol w:w="1998"/>
      </w:tblGrid>
      <w:tr w:rsidR="00BB353A" w:rsidRPr="002822D2" w14:paraId="3482B254" w14:textId="77777777" w:rsidTr="008A6642">
        <w:trPr>
          <w:tblHeader/>
          <w:jc w:val="center"/>
        </w:trPr>
        <w:tc>
          <w:tcPr>
            <w:tcW w:w="417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340F33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5"/>
              </w:rPr>
              <w:t>Weighting specification</w:t>
            </w:r>
          </w:p>
        </w:tc>
        <w:tc>
          <w:tcPr>
            <w:tcW w:w="24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37C71C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5"/>
              </w:rPr>
              <w:t>Analytical population, millions</w:t>
            </w:r>
          </w:p>
        </w:tc>
        <w:tc>
          <w:tcPr>
            <w:tcW w:w="24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DE3DC3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5"/>
              </w:rPr>
              <w:t>CKM stages 1–4</w:t>
            </w:r>
          </w:p>
        </w:tc>
        <w:tc>
          <w:tcPr>
            <w:tcW w:w="24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F42B57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5"/>
              </w:rPr>
              <w:t>Metabolic syndrome</w:t>
            </w:r>
          </w:p>
        </w:tc>
        <w:tc>
          <w:tcPr>
            <w:tcW w:w="273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2FB014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b/>
                <w:color w:val="000000" w:themeColor="text1"/>
                <w:sz w:val="15"/>
              </w:rPr>
              <w:t>Advanced CKM stages 3–4</w:t>
            </w:r>
          </w:p>
        </w:tc>
      </w:tr>
      <w:tr w:rsidR="00BB353A" w:rsidRPr="002822D2" w14:paraId="66616CED" w14:textId="77777777" w:rsidTr="008A6642">
        <w:trPr>
          <w:jc w:val="center"/>
        </w:trPr>
        <w:tc>
          <w:tcPr>
            <w:tcW w:w="417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0009CC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Official fasting-glucose subsample weight</w:t>
            </w:r>
          </w:p>
        </w:tc>
        <w:tc>
          <w:tcPr>
            <w:tcW w:w="24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84A350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66.63</w:t>
            </w:r>
          </w:p>
        </w:tc>
        <w:tc>
          <w:tcPr>
            <w:tcW w:w="24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7A037D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89.9 (88.8–90.9)</w:t>
            </w:r>
          </w:p>
        </w:tc>
        <w:tc>
          <w:tcPr>
            <w:tcW w:w="24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E49A90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55.9 (54.2–57.6)</w:t>
            </w:r>
          </w:p>
        </w:tc>
        <w:tc>
          <w:tcPr>
            <w:tcW w:w="273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0A8372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7.6 (6.8–8.4)</w:t>
            </w:r>
          </w:p>
        </w:tc>
      </w:tr>
      <w:tr w:rsidR="00BB353A" w:rsidRPr="002822D2" w14:paraId="72CD4062" w14:textId="77777777" w:rsidTr="008A6642">
        <w:trPr>
          <w:jc w:val="center"/>
        </w:trPr>
        <w:tc>
          <w:tcPr>
            <w:tcW w:w="417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9CA8FF" w14:textId="77777777" w:rsidR="00BB353A" w:rsidRPr="002822D2" w:rsidRDefault="00BB353A" w:rsidP="008A6642">
            <w:pPr>
              <w:spacing w:after="0" w:line="240" w:lineRule="auto" w:before="0"/>
              <w:jc w:val="left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Recalibrated analytical weight</w:t>
            </w:r>
          </w:p>
        </w:tc>
        <w:tc>
          <w:tcPr>
            <w:tcW w:w="24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0C23DE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82.16</w:t>
            </w:r>
          </w:p>
        </w:tc>
        <w:tc>
          <w:tcPr>
            <w:tcW w:w="24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C8BE55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89.6 (88.5–90.6)</w:t>
            </w:r>
          </w:p>
        </w:tc>
        <w:tc>
          <w:tcPr>
            <w:tcW w:w="2448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3AB60B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55.2 (53.6–56.9)</w:t>
            </w:r>
          </w:p>
        </w:tc>
        <w:tc>
          <w:tcPr>
            <w:tcW w:w="2736" w:type="dxa"/>
            <w:shd w:val="clear" w:color="auto" w:fill="auto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66A4CD" w14:textId="77777777" w:rsidR="00BB353A" w:rsidRPr="002822D2" w:rsidRDefault="00BB353A" w:rsidP="008A6642">
            <w:pPr>
              <w:spacing w:after="0" w:line="240" w:lineRule="auto" w:before="0"/>
              <w:jc w:val="center"/>
              <w:rPr>
                <w:color w:val="000000" w:themeColor="text1"/>
              </w:rPr>
            </w:pPr>
            <w:r w:rsidRPr="002822D2">
              <w:rPr>
                <w:color w:val="000000" w:themeColor="text1"/>
                <w:sz w:val="15"/>
              </w:rPr>
              <w:t>7.5 (6.6–8.3)</w:t>
            </w:r>
          </w:p>
        </w:tc>
      </w:tr>
    </w:tbl>
    <w:p w14:paraId="472BEFCE" w14:textId="77777777" w:rsidR="00BB353A" w:rsidRPr="002822D2" w:rsidRDefault="00BB353A" w:rsidP="00BB353A">
      <w:pPr>
        <w:spacing w:line="480" w:lineRule="auto"/>
        <w:rPr>
          <w:i/>
          <w:color w:val="000000" w:themeColor="text1"/>
        </w:rPr>
      </w:pPr>
    </w:p>
    <w:p w14:paraId="7B9B8394" w14:textId="77777777" w:rsidR="00BB353A" w:rsidRPr="00FA4257" w:rsidRDefault="00BB353A" w:rsidP="00BB353A">
      <w:pPr>
        <w:spacing w:line="480" w:lineRule="auto"/>
        <w:rPr>
          <w:iCs/>
          <w:color w:val="000000" w:themeColor="text1"/>
          <w:sz w:val="18"/>
          <w:szCs w:val="18"/>
        </w:rPr>
      </w:pPr>
      <w:r w:rsidRPr="00FA4257">
        <w:rPr>
          <w:iCs/>
          <w:color w:val="000000" w:themeColor="text1"/>
          <w:sz w:val="18"/>
          <w:szCs w:val="18"/>
        </w:rPr>
        <w:t xml:space="preserve">Note: Values are weighted prevalence estimates, % (95% CI), unless otherwise indicated. The primary operational definition used waist thresholds of ≥80 cm in women and ≥90 cm in men; triglycerides ≥150 mg/dL and low HDL-C contributed to stage 2 only as components of metabolic syndrome; PREVENT-CVD was estimated only within its validated predictor ranges; and clinical cardiovascular disease included self-reported myocardial infarction, stroke, angina, or heart failure. Advanced CKM syndrome comprises stages 3–4. All confidence intervals used Taylor series linearization with grand-mean adjustment for 40 singleton strata. </w:t>
      </w:r>
      <w:r w:rsidRPr="00FA4257">
        <w:rPr>
          <w:iCs/>
          <w:color w:val="000000" w:themeColor="text1"/>
          <w:sz w:val="18"/>
          <w:szCs w:val="18"/>
        </w:rPr>
        <w:lastRenderedPageBreak/>
        <w:t>CI=confidence interval; CKM=cardiovascular–kidney–metabolic; CVD=cardiovascular disease; HDL-C=high-density lipoprotein cholesterol.</w:t>
      </w:r>
    </w:p>
    <w:p w14:paraId="6048C3C1" w14:textId="77777777" w:rsidR="00552E3C" w:rsidRDefault="00552E3C"/>
    <w:sectPr w:rsidR="00552E3C" w:rsidSect="00BB353A">
      <w:pgSz w:w="12240" w:h="15840"/>
      <w:pgMar w:top="864" w:right="936" w:bottom="864" w:left="936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53A"/>
    <w:rsid w:val="004C376F"/>
    <w:rsid w:val="00552E3C"/>
    <w:rsid w:val="005A7D2E"/>
    <w:rsid w:val="005C405B"/>
    <w:rsid w:val="00664809"/>
    <w:rsid w:val="00BB353A"/>
    <w:rsid w:val="00E9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48F5C4"/>
  <w15:chartTrackingRefBased/>
  <w15:docId w15:val="{97A6316E-0DAB-4B48-987E-F4E4CFA5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53A"/>
    <w:pPr>
      <w:spacing w:after="100" w:line="360" w:lineRule="auto"/>
      <w:jc w:val="both"/>
    </w:pPr>
    <w:rPr>
      <w:rFonts w:ascii="Arial" w:eastAsiaTheme="minorEastAsia" w:hAnsi="Arial"/>
      <w:color w:val="000000"/>
      <w:kern w:val="0"/>
      <w:sz w:val="23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B353A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_tradnl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353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_tradnl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353A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_tradnl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353A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_tradnl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353A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_tradnl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353A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_tradnl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353A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_tradnl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353A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_tradnl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353A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_tradn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353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353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353A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353A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353A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353A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353A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353A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353A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BB353A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s-ES_tradnl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B353A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BB353A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_tradnl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B353A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BB353A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s-ES_tradnl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B353A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BB353A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color w:val="auto"/>
      <w:kern w:val="2"/>
      <w:sz w:val="24"/>
      <w:szCs w:val="24"/>
      <w:lang w:val="es-ES_tradn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B353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3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s-ES_tradnl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353A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BB353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BB353A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nea">
    <w:name w:val="line number"/>
    <w:basedOn w:val="Fuentedeprrafopredeter"/>
    <w:uiPriority w:val="99"/>
    <w:semiHidden/>
    <w:unhideWhenUsed/>
    <w:rsid w:val="00BB3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727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Silva</dc:creator>
  <cp:keywords/>
  <dc:description/>
  <cp:lastModifiedBy>Ruben Silva</cp:lastModifiedBy>
  <cp:revision>1</cp:revision>
  <dcterms:created xsi:type="dcterms:W3CDTF">2026-09-28T20:23:00Z</dcterms:created>
  <dcterms:modified xsi:type="dcterms:W3CDTF">2026-09-28T20:24:00Z</dcterms:modified>
</cp:coreProperties>
</file>