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CA3859" w14:textId="77777777" w:rsidR="00010947" w:rsidRPr="0095204C" w:rsidRDefault="00000000" w:rsidP="0095204C">
      <w:pPr>
        <w:spacing w:after="200" w:line="240" w:lineRule="auto"/>
        <w:rPr>
          <w:rFonts w:ascii="Merriweather" w:hAnsi="Merriweather"/>
        </w:rPr>
      </w:pPr>
      <w:r w:rsidRPr="0095204C">
        <w:rPr>
          <w:rFonts w:ascii="Merriweather" w:hAnsi="Merriweather" w:cs="Times New Roman"/>
          <w:b/>
        </w:rPr>
        <w:t>Appendix S1. Search strategies</w:t>
      </w:r>
    </w:p>
    <w:p w14:paraId="1BE07CDC" w14:textId="14B75409" w:rsidR="00010947" w:rsidRPr="0095204C" w:rsidRDefault="00000000" w:rsidP="0095204C">
      <w:pPr>
        <w:spacing w:line="240" w:lineRule="auto"/>
        <w:rPr>
          <w:rFonts w:ascii="Merriweather" w:hAnsi="Merriweather"/>
          <w:sz w:val="20"/>
          <w:szCs w:val="20"/>
        </w:rPr>
      </w:pPr>
      <w:r w:rsidRPr="0095204C">
        <w:rPr>
          <w:rFonts w:ascii="Merriweather" w:hAnsi="Merriweather" w:cs="Times New Roman"/>
          <w:i/>
          <w:sz w:val="20"/>
          <w:szCs w:val="20"/>
        </w:rPr>
        <w:t xml:space="preserve"> Closing the Gap Between Public Health and Clinical Care: A Health Systems Analysis </w:t>
      </w:r>
      <w:r w:rsidR="0095204C" w:rsidRPr="0095204C">
        <w:rPr>
          <w:rFonts w:ascii="Merriweather" w:hAnsi="Merriweather" w:cs="Times New Roman"/>
          <w:i/>
          <w:sz w:val="20"/>
          <w:szCs w:val="20"/>
        </w:rPr>
        <w:t>of Institutional</w:t>
      </w:r>
      <w:r w:rsidRPr="0095204C">
        <w:rPr>
          <w:rFonts w:ascii="Merriweather" w:hAnsi="Merriweather" w:cs="Times New Roman"/>
          <w:i/>
          <w:sz w:val="20"/>
          <w:szCs w:val="20"/>
        </w:rPr>
        <w:t xml:space="preserve"> Public Health Unit Model</w:t>
      </w:r>
      <w:r w:rsidR="0095204C" w:rsidRPr="0095204C">
        <w:rPr>
          <w:rFonts w:ascii="Merriweather" w:hAnsi="Merriweather" w:cs="Times New Roman"/>
          <w:i/>
          <w:sz w:val="20"/>
          <w:szCs w:val="20"/>
        </w:rPr>
        <w:t xml:space="preserve"> in Ghana</w:t>
      </w:r>
      <w:r w:rsidRPr="0095204C">
        <w:rPr>
          <w:rFonts w:ascii="Merriweather" w:hAnsi="Merriweather" w:cs="Times New Roman"/>
          <w:i/>
          <w:sz w:val="20"/>
          <w:szCs w:val="20"/>
        </w:rPr>
        <w:t>.</w:t>
      </w:r>
    </w:p>
    <w:p w14:paraId="66F37DEE" w14:textId="77777777" w:rsidR="00010947" w:rsidRPr="0095204C" w:rsidRDefault="00000000" w:rsidP="0095204C">
      <w:pPr>
        <w:spacing w:before="240" w:line="240" w:lineRule="auto"/>
        <w:rPr>
          <w:rFonts w:ascii="Merriweather" w:hAnsi="Merriweather"/>
          <w:sz w:val="20"/>
          <w:szCs w:val="20"/>
        </w:rPr>
      </w:pPr>
      <w:r w:rsidRPr="0095204C">
        <w:rPr>
          <w:rFonts w:ascii="Merriweather" w:hAnsi="Merriweather" w:cs="Times New Roman"/>
          <w:b/>
          <w:sz w:val="20"/>
          <w:szCs w:val="20"/>
        </w:rPr>
        <w:t>S1.1 Eligibility criteria (both searches)</w:t>
      </w:r>
    </w:p>
    <w:p w14:paraId="2632F5D8" w14:textId="77777777" w:rsidR="00010947" w:rsidRPr="0095204C" w:rsidRDefault="00000000" w:rsidP="0095204C">
      <w:pPr>
        <w:pStyle w:val="ListBullet"/>
        <w:spacing w:after="60" w:line="240" w:lineRule="auto"/>
        <w:rPr>
          <w:rFonts w:ascii="Merriweather" w:hAnsi="Merriweather"/>
          <w:sz w:val="20"/>
          <w:szCs w:val="20"/>
        </w:rPr>
      </w:pPr>
      <w:r w:rsidRPr="0095204C">
        <w:rPr>
          <w:rFonts w:ascii="Merriweather" w:hAnsi="Merriweather" w:cs="Times New Roman"/>
          <w:b/>
          <w:bCs/>
          <w:sz w:val="20"/>
          <w:szCs w:val="20"/>
        </w:rPr>
        <w:t>Population/context</w:t>
      </w:r>
      <w:r w:rsidRPr="0095204C">
        <w:rPr>
          <w:rFonts w:ascii="Merriweather" w:hAnsi="Merriweather" w:cs="Times New Roman"/>
          <w:sz w:val="20"/>
          <w:szCs w:val="20"/>
        </w:rPr>
        <w:t>: hospitals or health facilities (including facility-anchored programmes) in Ghana or sub-Saharan Africa.</w:t>
      </w:r>
    </w:p>
    <w:p w14:paraId="0C0E25E8" w14:textId="1227EC87" w:rsidR="00010947" w:rsidRPr="0095204C" w:rsidRDefault="00000000" w:rsidP="0095204C">
      <w:pPr>
        <w:pStyle w:val="ListBullet"/>
        <w:spacing w:after="60" w:line="240" w:lineRule="auto"/>
        <w:rPr>
          <w:rFonts w:ascii="Merriweather" w:hAnsi="Merriweather"/>
          <w:sz w:val="20"/>
          <w:szCs w:val="20"/>
        </w:rPr>
      </w:pPr>
      <w:r w:rsidRPr="0095204C">
        <w:rPr>
          <w:rFonts w:ascii="Merriweather" w:hAnsi="Merriweather" w:cs="Times New Roman"/>
          <w:b/>
          <w:bCs/>
          <w:sz w:val="20"/>
          <w:szCs w:val="20"/>
        </w:rPr>
        <w:t>Concept</w:t>
      </w:r>
      <w:r w:rsidRPr="0095204C">
        <w:rPr>
          <w:rFonts w:ascii="Merriweather" w:hAnsi="Merriweather" w:cs="Times New Roman"/>
          <w:sz w:val="20"/>
          <w:szCs w:val="20"/>
        </w:rPr>
        <w:t>: (A) public health unit/department model; (B) integration of clinical care with public health functions (health promotion, disease surveillance, prevention, screening, noncommunicable disease control, communicable–noncommunicable programme collaboration, outbreak response).</w:t>
      </w:r>
    </w:p>
    <w:p w14:paraId="15D0DEDF" w14:textId="77777777" w:rsidR="00010947" w:rsidRPr="0095204C" w:rsidRDefault="00000000" w:rsidP="0095204C">
      <w:pPr>
        <w:pStyle w:val="ListBullet"/>
        <w:spacing w:after="60" w:line="240" w:lineRule="auto"/>
        <w:rPr>
          <w:rFonts w:ascii="Merriweather" w:hAnsi="Merriweather"/>
          <w:sz w:val="20"/>
          <w:szCs w:val="20"/>
        </w:rPr>
      </w:pPr>
      <w:r w:rsidRPr="0095204C">
        <w:rPr>
          <w:rFonts w:ascii="Merriweather" w:hAnsi="Merriweather" w:cs="Times New Roman"/>
          <w:b/>
          <w:bCs/>
          <w:sz w:val="20"/>
          <w:szCs w:val="20"/>
        </w:rPr>
        <w:t>Study types</w:t>
      </w:r>
      <w:r w:rsidRPr="0095204C">
        <w:rPr>
          <w:rFonts w:ascii="Merriweather" w:hAnsi="Merriweather" w:cs="Times New Roman"/>
          <w:sz w:val="20"/>
          <w:szCs w:val="20"/>
        </w:rPr>
        <w:t>: primary quantitative, qualitative and mixed-methods studies; systematic and scoping reviews; programme evaluations and structured programme descriptions.</w:t>
      </w:r>
    </w:p>
    <w:p w14:paraId="0902BD39" w14:textId="77777777" w:rsidR="00010947" w:rsidRPr="0095204C" w:rsidRDefault="00000000" w:rsidP="0095204C">
      <w:pPr>
        <w:pStyle w:val="ListBullet"/>
        <w:spacing w:after="60" w:line="240" w:lineRule="auto"/>
        <w:rPr>
          <w:rFonts w:ascii="Merriweather" w:hAnsi="Merriweather"/>
          <w:sz w:val="20"/>
          <w:szCs w:val="20"/>
        </w:rPr>
      </w:pPr>
      <w:r w:rsidRPr="0095204C">
        <w:rPr>
          <w:rFonts w:ascii="Merriweather" w:hAnsi="Merriweather" w:cs="Times New Roman"/>
          <w:b/>
          <w:bCs/>
          <w:sz w:val="20"/>
          <w:szCs w:val="20"/>
        </w:rPr>
        <w:t>Language and publication type</w:t>
      </w:r>
      <w:r w:rsidRPr="0095204C">
        <w:rPr>
          <w:rFonts w:ascii="Merriweather" w:hAnsi="Merriweather" w:cs="Times New Roman"/>
          <w:sz w:val="20"/>
          <w:szCs w:val="20"/>
        </w:rPr>
        <w:t>: English-language, peer-reviewed journal articles.</w:t>
      </w:r>
    </w:p>
    <w:p w14:paraId="4921EDA0" w14:textId="77777777" w:rsidR="00010947" w:rsidRPr="0095204C" w:rsidRDefault="00000000" w:rsidP="0095204C">
      <w:pPr>
        <w:pStyle w:val="ListBullet"/>
        <w:spacing w:after="60" w:line="240" w:lineRule="auto"/>
        <w:rPr>
          <w:rFonts w:ascii="Merriweather" w:hAnsi="Merriweather"/>
          <w:sz w:val="20"/>
          <w:szCs w:val="20"/>
        </w:rPr>
      </w:pPr>
      <w:r w:rsidRPr="0095204C">
        <w:rPr>
          <w:rFonts w:ascii="Merriweather" w:hAnsi="Merriweather" w:cs="Times New Roman"/>
          <w:b/>
          <w:bCs/>
          <w:sz w:val="20"/>
          <w:szCs w:val="20"/>
        </w:rPr>
        <w:t>Exclusions</w:t>
      </w:r>
      <w:r w:rsidRPr="0095204C">
        <w:rPr>
          <w:rFonts w:ascii="Merriweather" w:hAnsi="Merriweather" w:cs="Times New Roman"/>
          <w:sz w:val="20"/>
          <w:szCs w:val="20"/>
        </w:rPr>
        <w:t>: editorials and commentaries without data; study protocols without results; non-English publications; studies without a facility-level component; purely community-based interventions with no facility linkage.</w:t>
      </w:r>
    </w:p>
    <w:p w14:paraId="35A5FCA0" w14:textId="77777777" w:rsidR="00010947" w:rsidRPr="0095204C" w:rsidRDefault="00000000" w:rsidP="0095204C">
      <w:pPr>
        <w:spacing w:line="240" w:lineRule="auto"/>
        <w:rPr>
          <w:rFonts w:ascii="Merriweather" w:hAnsi="Merriweather"/>
          <w:sz w:val="20"/>
          <w:szCs w:val="20"/>
        </w:rPr>
      </w:pPr>
      <w:r w:rsidRPr="0095204C">
        <w:rPr>
          <w:rFonts w:ascii="Merriweather" w:hAnsi="Merriweather" w:cs="Times New Roman"/>
          <w:sz w:val="20"/>
          <w:szCs w:val="20"/>
        </w:rPr>
        <w:br w:type="page"/>
      </w:r>
    </w:p>
    <w:p w14:paraId="3BD95660" w14:textId="6F542198" w:rsidR="00010947" w:rsidRPr="0095204C" w:rsidRDefault="00000000" w:rsidP="0095204C">
      <w:pPr>
        <w:spacing w:before="240" w:line="240" w:lineRule="auto"/>
        <w:rPr>
          <w:rFonts w:ascii="Merriweather" w:hAnsi="Merriweather"/>
          <w:sz w:val="20"/>
          <w:szCs w:val="20"/>
        </w:rPr>
      </w:pPr>
      <w:r w:rsidRPr="0095204C">
        <w:rPr>
          <w:rFonts w:ascii="Merriweather" w:hAnsi="Merriweather" w:cs="Times New Roman"/>
          <w:b/>
          <w:sz w:val="20"/>
          <w:szCs w:val="20"/>
        </w:rPr>
        <w:lastRenderedPageBreak/>
        <w:t>S1.2 Search A: public health unit model</w:t>
      </w:r>
    </w:p>
    <w:p w14:paraId="1BD368F5" w14:textId="29C9BB04" w:rsidR="00010947" w:rsidRPr="0095204C" w:rsidRDefault="00000000" w:rsidP="0095204C">
      <w:pPr>
        <w:spacing w:line="240" w:lineRule="auto"/>
        <w:rPr>
          <w:rFonts w:ascii="Merriweather" w:hAnsi="Merriweather"/>
          <w:sz w:val="20"/>
          <w:szCs w:val="20"/>
        </w:rPr>
      </w:pPr>
      <w:r w:rsidRPr="0095204C">
        <w:rPr>
          <w:rFonts w:ascii="Merriweather" w:hAnsi="Merriweather" w:cs="Times New Roman"/>
          <w:sz w:val="20"/>
          <w:szCs w:val="20"/>
        </w:rPr>
        <w:t xml:space="preserve">Objective: to identify </w:t>
      </w:r>
      <w:r w:rsidR="0095204C" w:rsidRPr="0095204C">
        <w:rPr>
          <w:rFonts w:ascii="Merriweather" w:hAnsi="Merriweather" w:cs="Times New Roman"/>
          <w:sz w:val="20"/>
          <w:szCs w:val="20"/>
        </w:rPr>
        <w:t xml:space="preserve">evidence of </w:t>
      </w:r>
      <w:r w:rsidRPr="0095204C">
        <w:rPr>
          <w:rFonts w:ascii="Merriweather" w:hAnsi="Merriweather" w:cs="Times New Roman"/>
          <w:sz w:val="20"/>
          <w:szCs w:val="20"/>
        </w:rPr>
        <w:t>institutional public health unit model in hospitals (Objective 2).</w:t>
      </w:r>
    </w:p>
    <w:p w14:paraId="186E4ECE" w14:textId="77777777" w:rsidR="00010947" w:rsidRPr="0095204C" w:rsidRDefault="00000000" w:rsidP="0095204C">
      <w:pPr>
        <w:spacing w:after="40" w:line="240" w:lineRule="auto"/>
        <w:rPr>
          <w:rFonts w:ascii="Merriweather" w:hAnsi="Merriweather"/>
          <w:sz w:val="20"/>
          <w:szCs w:val="20"/>
        </w:rPr>
      </w:pPr>
      <w:r w:rsidRPr="0095204C">
        <w:rPr>
          <w:rFonts w:ascii="Merriweather" w:hAnsi="Merriweather" w:cs="Times New Roman"/>
          <w:b/>
          <w:sz w:val="20"/>
          <w:szCs w:val="20"/>
        </w:rPr>
        <w:t>Search A — 6 records retrieved</w:t>
      </w:r>
    </w:p>
    <w:p w14:paraId="5AD1F978" w14:textId="77777777" w:rsidR="00010947" w:rsidRPr="0095204C" w:rsidRDefault="00000000" w:rsidP="0095204C">
      <w:pPr>
        <w:spacing w:before="40" w:after="160" w:line="240" w:lineRule="auto"/>
        <w:ind w:left="432"/>
        <w:rPr>
          <w:rFonts w:ascii="Merriweather" w:hAnsi="Merriweather"/>
          <w:sz w:val="20"/>
          <w:szCs w:val="20"/>
        </w:rPr>
      </w:pPr>
      <w:r w:rsidRPr="0095204C">
        <w:rPr>
          <w:rFonts w:ascii="Merriweather" w:hAnsi="Merriweather" w:cs="Times New Roman"/>
          <w:sz w:val="20"/>
          <w:szCs w:val="20"/>
        </w:rPr>
        <w:t>("Ghana"[Mesh] OR Ghana[tw]) AND (("public health unit"[tw] OR "public health units"[tw] OR "public health department"[tw] OR "department of public health"[tw] OR "public health division"[tw] OR "public health directorate"[tw]) AND (hospital[tw] OR hospitals[tw] OR facility[tw]))</w:t>
      </w:r>
    </w:p>
    <w:p w14:paraId="25D3BCA6" w14:textId="77777777" w:rsidR="00010947" w:rsidRPr="0095204C" w:rsidRDefault="00000000" w:rsidP="0095204C">
      <w:pPr>
        <w:spacing w:before="240" w:line="240" w:lineRule="auto"/>
        <w:rPr>
          <w:rFonts w:ascii="Merriweather" w:hAnsi="Merriweather"/>
          <w:sz w:val="20"/>
          <w:szCs w:val="20"/>
        </w:rPr>
      </w:pPr>
      <w:r w:rsidRPr="0095204C">
        <w:rPr>
          <w:rFonts w:ascii="Merriweather" w:hAnsi="Merriweather" w:cs="Times New Roman"/>
          <w:b/>
          <w:sz w:val="20"/>
          <w:szCs w:val="20"/>
        </w:rPr>
        <w:t>S1.3 Facility mapping for Search A</w:t>
      </w:r>
    </w:p>
    <w:p w14:paraId="46F90399" w14:textId="2CE8D7B4" w:rsidR="00010947" w:rsidRPr="0095204C" w:rsidRDefault="00000000" w:rsidP="0095204C">
      <w:pPr>
        <w:spacing w:line="240" w:lineRule="auto"/>
        <w:rPr>
          <w:rFonts w:ascii="Merriweather" w:hAnsi="Merriweather"/>
          <w:sz w:val="20"/>
          <w:szCs w:val="20"/>
        </w:rPr>
      </w:pPr>
      <w:r w:rsidRPr="0095204C">
        <w:rPr>
          <w:rFonts w:ascii="Merriweather" w:hAnsi="Merriweather" w:cs="Times New Roman"/>
          <w:sz w:val="20"/>
          <w:szCs w:val="20"/>
        </w:rPr>
        <w:t>Hospital public health units are seldom described in journal articles, Search A was supplemented by a documentary mapping of hospitals (</w:t>
      </w:r>
      <w:r w:rsidR="0095204C" w:rsidRPr="0095204C">
        <w:rPr>
          <w:rFonts w:ascii="Merriweather" w:hAnsi="Merriweather" w:cs="Times New Roman"/>
          <w:sz w:val="20"/>
          <w:szCs w:val="20"/>
        </w:rPr>
        <w:t xml:space="preserve">July </w:t>
      </w:r>
      <w:r w:rsidRPr="0095204C">
        <w:rPr>
          <w:rFonts w:ascii="Merriweather" w:hAnsi="Merriweather" w:cs="Times New Roman"/>
          <w:sz w:val="20"/>
          <w:szCs w:val="20"/>
        </w:rPr>
        <w:t>2026). Inclusion required facility-specific evidence of a named Public Health Unit or equivalent department (Box S2).</w:t>
      </w:r>
    </w:p>
    <w:tbl>
      <w:tblPr>
        <w:tblW w:w="0" w:type="auto"/>
        <w:tblBorders>
          <w:top w:val="single" w:sz="6" w:space="4" w:color="000000"/>
          <w:left w:val="single" w:sz="6" w:space="4" w:color="000000"/>
          <w:bottom w:val="single" w:sz="6" w:space="4" w:color="000000"/>
          <w:right w:val="single" w:sz="6" w:space="4" w:color="000000"/>
        </w:tblBorders>
        <w:tblLook w:val="04A0" w:firstRow="1" w:lastRow="0" w:firstColumn="1" w:lastColumn="0" w:noHBand="0" w:noVBand="1"/>
      </w:tblPr>
      <w:tblGrid>
        <w:gridCol w:w="9360"/>
      </w:tblGrid>
      <w:tr w:rsidR="00010947" w:rsidRPr="0095204C" w14:paraId="0CAE220F" w14:textId="77777777">
        <w:tc>
          <w:tcPr>
            <w:tcW w:w="9360" w:type="dxa"/>
          </w:tcPr>
          <w:p w14:paraId="5A0BCF82" w14:textId="77777777" w:rsidR="00010947" w:rsidRPr="0095204C" w:rsidRDefault="00000000" w:rsidP="0095204C">
            <w:pPr>
              <w:spacing w:line="240" w:lineRule="auto"/>
              <w:rPr>
                <w:rFonts w:ascii="Merriweather" w:hAnsi="Merriweather"/>
                <w:sz w:val="20"/>
                <w:szCs w:val="20"/>
              </w:rPr>
            </w:pPr>
            <w:r w:rsidRPr="0095204C">
              <w:rPr>
                <w:rFonts w:ascii="Merriweather" w:hAnsi="Merriweather" w:cs="Times New Roman"/>
                <w:b/>
                <w:sz w:val="20"/>
                <w:szCs w:val="20"/>
              </w:rPr>
              <w:t>BOX S1. Sources consulted for the facility mapping.</w:t>
            </w:r>
          </w:p>
          <w:p w14:paraId="1224A0A5" w14:textId="77777777" w:rsidR="00010947" w:rsidRPr="0095204C" w:rsidRDefault="00000000" w:rsidP="0095204C">
            <w:pPr>
              <w:pStyle w:val="ListBullet"/>
              <w:spacing w:after="40" w:line="240" w:lineRule="auto"/>
              <w:rPr>
                <w:rFonts w:ascii="Merriweather" w:hAnsi="Merriweather"/>
                <w:sz w:val="20"/>
                <w:szCs w:val="20"/>
              </w:rPr>
            </w:pPr>
            <w:r w:rsidRPr="0095204C">
              <w:rPr>
                <w:rFonts w:ascii="Merriweather" w:hAnsi="Merriweather" w:cs="Times New Roman"/>
                <w:sz w:val="20"/>
                <w:szCs w:val="20"/>
              </w:rPr>
              <w:t>Hospital websites (public, CHAG, and quasi-government), including department listings and annual reports.</w:t>
            </w:r>
          </w:p>
          <w:p w14:paraId="22339B6E" w14:textId="77777777" w:rsidR="00010947" w:rsidRPr="0095204C" w:rsidRDefault="00000000" w:rsidP="0095204C">
            <w:pPr>
              <w:pStyle w:val="ListBullet"/>
              <w:spacing w:after="40" w:line="240" w:lineRule="auto"/>
              <w:rPr>
                <w:rFonts w:ascii="Merriweather" w:hAnsi="Merriweather"/>
                <w:sz w:val="20"/>
                <w:szCs w:val="20"/>
              </w:rPr>
            </w:pPr>
            <w:r w:rsidRPr="0095204C">
              <w:rPr>
                <w:rFonts w:ascii="Merriweather" w:hAnsi="Merriweather" w:cs="Times New Roman"/>
                <w:sz w:val="20"/>
                <w:szCs w:val="20"/>
              </w:rPr>
              <w:t>Ghana Health Service and Ministry of Health websites and published reports.</w:t>
            </w:r>
          </w:p>
          <w:p w14:paraId="30DE9B5C" w14:textId="77777777" w:rsidR="00010947" w:rsidRPr="0095204C" w:rsidRDefault="00000000" w:rsidP="0095204C">
            <w:pPr>
              <w:pStyle w:val="ListBullet"/>
              <w:spacing w:after="40" w:line="240" w:lineRule="auto"/>
              <w:rPr>
                <w:rFonts w:ascii="Merriweather" w:hAnsi="Merriweather"/>
                <w:sz w:val="20"/>
                <w:szCs w:val="20"/>
              </w:rPr>
            </w:pPr>
            <w:r w:rsidRPr="0095204C">
              <w:rPr>
                <w:rFonts w:ascii="Merriweather" w:hAnsi="Merriweather" w:cs="Times New Roman"/>
                <w:sz w:val="20"/>
                <w:szCs w:val="20"/>
              </w:rPr>
              <w:t>Regional and district health directorate web pages.</w:t>
            </w:r>
          </w:p>
          <w:p w14:paraId="66FAEE70" w14:textId="7BA7CCBC" w:rsidR="00010947" w:rsidRPr="0095204C" w:rsidRDefault="00000000" w:rsidP="0095204C">
            <w:pPr>
              <w:pStyle w:val="ListBullet"/>
              <w:spacing w:after="40" w:line="240" w:lineRule="auto"/>
              <w:rPr>
                <w:rFonts w:ascii="Merriweather" w:hAnsi="Merriweather"/>
                <w:sz w:val="20"/>
                <w:szCs w:val="20"/>
              </w:rPr>
            </w:pPr>
            <w:r w:rsidRPr="0095204C">
              <w:rPr>
                <w:rFonts w:ascii="Merriweather" w:hAnsi="Merriweather" w:cs="Times New Roman"/>
                <w:sz w:val="20"/>
                <w:szCs w:val="20"/>
              </w:rPr>
              <w:t>news outlets, including Ghana News Agency reporting.</w:t>
            </w:r>
          </w:p>
          <w:p w14:paraId="439A2C9B" w14:textId="77777777" w:rsidR="00010947" w:rsidRPr="0095204C" w:rsidRDefault="00000000" w:rsidP="0095204C">
            <w:pPr>
              <w:pStyle w:val="ListBullet"/>
              <w:spacing w:after="40" w:line="240" w:lineRule="auto"/>
              <w:rPr>
                <w:rFonts w:ascii="Merriweather" w:hAnsi="Merriweather"/>
                <w:sz w:val="20"/>
                <w:szCs w:val="20"/>
              </w:rPr>
            </w:pPr>
            <w:r w:rsidRPr="0095204C">
              <w:rPr>
                <w:rFonts w:ascii="Merriweather" w:hAnsi="Merriweather" w:cs="Times New Roman"/>
                <w:sz w:val="20"/>
                <w:szCs w:val="20"/>
              </w:rPr>
              <w:t>Public health theses and student affiliation reports.</w:t>
            </w:r>
          </w:p>
        </w:tc>
      </w:tr>
    </w:tbl>
    <w:p w14:paraId="0F5D5492" w14:textId="77777777" w:rsidR="00010947" w:rsidRPr="0095204C" w:rsidRDefault="00010947" w:rsidP="0095204C">
      <w:pPr>
        <w:spacing w:after="40" w:line="240" w:lineRule="auto"/>
        <w:rPr>
          <w:rFonts w:ascii="Merriweather" w:hAnsi="Merriweather"/>
          <w:sz w:val="20"/>
          <w:szCs w:val="20"/>
        </w:rPr>
      </w:pPr>
    </w:p>
    <w:tbl>
      <w:tblPr>
        <w:tblW w:w="0" w:type="auto"/>
        <w:tblBorders>
          <w:top w:val="single" w:sz="6" w:space="4" w:color="000000"/>
          <w:left w:val="single" w:sz="6" w:space="4" w:color="000000"/>
          <w:bottom w:val="single" w:sz="6" w:space="4" w:color="000000"/>
          <w:right w:val="single" w:sz="6" w:space="4" w:color="000000"/>
        </w:tblBorders>
        <w:tblLook w:val="04A0" w:firstRow="1" w:lastRow="0" w:firstColumn="1" w:lastColumn="0" w:noHBand="0" w:noVBand="1"/>
      </w:tblPr>
      <w:tblGrid>
        <w:gridCol w:w="9360"/>
      </w:tblGrid>
      <w:tr w:rsidR="00010947" w:rsidRPr="0095204C" w14:paraId="25A946D3" w14:textId="77777777">
        <w:tc>
          <w:tcPr>
            <w:tcW w:w="9360" w:type="dxa"/>
          </w:tcPr>
          <w:p w14:paraId="0A822495" w14:textId="77777777" w:rsidR="00010947" w:rsidRPr="0095204C" w:rsidRDefault="00000000" w:rsidP="0095204C">
            <w:pPr>
              <w:spacing w:line="240" w:lineRule="auto"/>
              <w:rPr>
                <w:rFonts w:ascii="Merriweather" w:hAnsi="Merriweather"/>
                <w:sz w:val="20"/>
                <w:szCs w:val="20"/>
              </w:rPr>
            </w:pPr>
            <w:r w:rsidRPr="0095204C">
              <w:rPr>
                <w:rFonts w:ascii="Merriweather" w:hAnsi="Merriweather" w:cs="Times New Roman"/>
                <w:b/>
                <w:sz w:val="20"/>
                <w:szCs w:val="20"/>
              </w:rPr>
              <w:t>BOX S2. Hospitals with a documented public health unit.</w:t>
            </w:r>
          </w:p>
          <w:p w14:paraId="3DC21CCE" w14:textId="77777777" w:rsidR="00010947" w:rsidRPr="0095204C" w:rsidRDefault="00000000" w:rsidP="0095204C">
            <w:pPr>
              <w:spacing w:after="80" w:line="240" w:lineRule="auto"/>
              <w:rPr>
                <w:rFonts w:ascii="Merriweather" w:hAnsi="Merriweather"/>
                <w:sz w:val="20"/>
                <w:szCs w:val="20"/>
              </w:rPr>
            </w:pPr>
            <w:r w:rsidRPr="0095204C">
              <w:rPr>
                <w:rFonts w:ascii="Merriweather" w:hAnsi="Merriweather"/>
                <w:sz w:val="20"/>
                <w:szCs w:val="20"/>
              </w:rPr>
              <w:t xml:space="preserve">Forty hospitals had a documented named public health unit: 13 high </w:t>
            </w:r>
            <w:proofErr w:type="gramStart"/>
            <w:r w:rsidRPr="0095204C">
              <w:rPr>
                <w:rFonts w:ascii="Merriweather" w:hAnsi="Merriweather"/>
                <w:sz w:val="20"/>
                <w:szCs w:val="20"/>
              </w:rPr>
              <w:t>certainty</w:t>
            </w:r>
            <w:proofErr w:type="gramEnd"/>
            <w:r w:rsidRPr="0095204C">
              <w:rPr>
                <w:rFonts w:ascii="Merriweather" w:hAnsi="Merriweather"/>
                <w:sz w:val="20"/>
                <w:szCs w:val="20"/>
              </w:rPr>
              <w:t xml:space="preserve"> (official hospital/GHS source or ≥3 peer-reviewed "&lt;hospital&gt; Public Health Unit" affiliations), 25 moderate certainty (credible published source), and 2 low certainty (indirect or ambiguous evidence). A further ~75 hospitals were checked with no facility-specific evidence found. One additional facility, La General Hospital (Accra), has a public health department documented only in redevelopment plans and is counted separately as planned, not operational.</w:t>
            </w:r>
          </w:p>
          <w:p w14:paraId="5AD7D8E9" w14:textId="77777777" w:rsidR="00010947" w:rsidRPr="0095204C" w:rsidRDefault="00000000" w:rsidP="0095204C">
            <w:pPr>
              <w:spacing w:after="80" w:line="240" w:lineRule="auto"/>
              <w:rPr>
                <w:rFonts w:ascii="Merriweather" w:hAnsi="Merriweather"/>
                <w:sz w:val="20"/>
                <w:szCs w:val="20"/>
              </w:rPr>
            </w:pPr>
            <w:r w:rsidRPr="0095204C">
              <w:rPr>
                <w:rFonts w:ascii="Merriweather" w:hAnsi="Merriweather" w:cs="Times New Roman"/>
                <w:sz w:val="20"/>
                <w:szCs w:val="20"/>
              </w:rPr>
              <w:t>Policy anchors: the GHS Guidelines for Public Health Units in Hospitals (2020); and the 2017 CHAG directive instructing all 38 Catholic hospitals to establish public health units.</w:t>
            </w:r>
          </w:p>
        </w:tc>
      </w:tr>
    </w:tbl>
    <w:p w14:paraId="6A0EE0DF" w14:textId="77777777" w:rsidR="00010947" w:rsidRPr="0095204C" w:rsidRDefault="00010947" w:rsidP="0095204C">
      <w:pPr>
        <w:spacing w:after="40" w:line="240" w:lineRule="auto"/>
        <w:rPr>
          <w:rFonts w:ascii="Merriweather" w:hAnsi="Merriweather"/>
          <w:sz w:val="20"/>
          <w:szCs w:val="20"/>
        </w:rPr>
      </w:pPr>
    </w:p>
    <w:p w14:paraId="57D5AB25" w14:textId="77777777" w:rsidR="00010947" w:rsidRPr="0095204C" w:rsidRDefault="00000000" w:rsidP="0095204C">
      <w:pPr>
        <w:spacing w:line="240" w:lineRule="auto"/>
        <w:rPr>
          <w:rFonts w:ascii="Merriweather" w:hAnsi="Merriweather"/>
          <w:sz w:val="20"/>
          <w:szCs w:val="20"/>
        </w:rPr>
      </w:pPr>
      <w:r w:rsidRPr="0095204C">
        <w:rPr>
          <w:rFonts w:ascii="Merriweather" w:hAnsi="Merriweather" w:cs="Times New Roman"/>
          <w:sz w:val="20"/>
          <w:szCs w:val="20"/>
        </w:rPr>
        <w:br w:type="page"/>
      </w:r>
    </w:p>
    <w:p w14:paraId="3B138601" w14:textId="77777777" w:rsidR="00010947" w:rsidRPr="0095204C" w:rsidRDefault="00000000" w:rsidP="0095204C">
      <w:pPr>
        <w:spacing w:before="240" w:line="240" w:lineRule="auto"/>
        <w:rPr>
          <w:rFonts w:ascii="Merriweather" w:hAnsi="Merriweather"/>
          <w:sz w:val="20"/>
          <w:szCs w:val="20"/>
        </w:rPr>
      </w:pPr>
      <w:r w:rsidRPr="0095204C">
        <w:rPr>
          <w:rFonts w:ascii="Merriweather" w:hAnsi="Merriweather" w:cs="Times New Roman"/>
          <w:b/>
          <w:sz w:val="20"/>
          <w:szCs w:val="20"/>
        </w:rPr>
        <w:lastRenderedPageBreak/>
        <w:t>S1.4 Search B: clinical–public-health integration (narrative review)</w:t>
      </w:r>
    </w:p>
    <w:p w14:paraId="7708ACDA" w14:textId="77777777" w:rsidR="00010947" w:rsidRPr="0095204C" w:rsidRDefault="00000000" w:rsidP="0095204C">
      <w:pPr>
        <w:spacing w:line="240" w:lineRule="auto"/>
        <w:rPr>
          <w:rFonts w:ascii="Merriweather" w:hAnsi="Merriweather"/>
          <w:sz w:val="20"/>
          <w:szCs w:val="20"/>
        </w:rPr>
      </w:pPr>
      <w:r w:rsidRPr="0095204C">
        <w:rPr>
          <w:rFonts w:ascii="Merriweather" w:hAnsi="Merriweather" w:cs="Times New Roman"/>
          <w:sz w:val="20"/>
          <w:szCs w:val="20"/>
        </w:rPr>
        <w:t>Objective: to identify peer-reviewed evidence on the integration of clinical care and public health functions at hospital level in Ghana and sub-Saharan Africa (Objective 3), for mapping to the WHO health systems building blocks (Objective 4).</w:t>
      </w:r>
    </w:p>
    <w:p w14:paraId="22DC14E4" w14:textId="77777777" w:rsidR="00010947" w:rsidRPr="0095204C" w:rsidRDefault="00000000" w:rsidP="0095204C">
      <w:pPr>
        <w:spacing w:after="40" w:line="240" w:lineRule="auto"/>
        <w:rPr>
          <w:rFonts w:ascii="Merriweather" w:hAnsi="Merriweather"/>
          <w:sz w:val="20"/>
          <w:szCs w:val="20"/>
        </w:rPr>
      </w:pPr>
      <w:r w:rsidRPr="0095204C">
        <w:rPr>
          <w:rFonts w:ascii="Merriweather" w:hAnsi="Merriweather" w:cs="Times New Roman"/>
          <w:b/>
          <w:sz w:val="20"/>
          <w:szCs w:val="20"/>
        </w:rPr>
        <w:t>Search B1 (Ghana, hospital integration) — 59 records retrieved</w:t>
      </w:r>
    </w:p>
    <w:p w14:paraId="701A45AB" w14:textId="77777777" w:rsidR="00010947" w:rsidRPr="0095204C" w:rsidRDefault="00000000" w:rsidP="0095204C">
      <w:pPr>
        <w:spacing w:before="40" w:after="160" w:line="240" w:lineRule="auto"/>
        <w:ind w:left="432"/>
        <w:rPr>
          <w:rFonts w:ascii="Merriweather" w:hAnsi="Merriweather"/>
          <w:sz w:val="20"/>
          <w:szCs w:val="20"/>
        </w:rPr>
      </w:pPr>
      <w:r w:rsidRPr="0095204C">
        <w:rPr>
          <w:rFonts w:ascii="Merriweather" w:hAnsi="Merriweather" w:cs="Times New Roman"/>
          <w:sz w:val="20"/>
          <w:szCs w:val="20"/>
        </w:rPr>
        <w:t>("Ghana"[Mesh] OR Ghana[tw]) AND (hospital*[tw] OR "health facilit*"[tw] OR "district hospital*"[tw]) AND (integrat*[tw] AND ("public health"[tw] OR surveillance[tw] OR prevention[tw] OR "health promotion"[tw]))</w:t>
      </w:r>
    </w:p>
    <w:p w14:paraId="3AEF9EF7" w14:textId="77777777" w:rsidR="00010947" w:rsidRPr="0095204C" w:rsidRDefault="00000000" w:rsidP="0095204C">
      <w:pPr>
        <w:spacing w:after="40" w:line="240" w:lineRule="auto"/>
        <w:rPr>
          <w:rFonts w:ascii="Merriweather" w:hAnsi="Merriweather"/>
          <w:sz w:val="20"/>
          <w:szCs w:val="20"/>
        </w:rPr>
      </w:pPr>
      <w:r w:rsidRPr="0095204C">
        <w:rPr>
          <w:rFonts w:ascii="Merriweather" w:hAnsi="Merriweather" w:cs="Times New Roman"/>
          <w:b/>
          <w:sz w:val="20"/>
          <w:szCs w:val="20"/>
        </w:rPr>
        <w:t>Search B2 (sub-Saharan Africa, integration reviews) — 103 records retrieved</w:t>
      </w:r>
    </w:p>
    <w:p w14:paraId="15B24E83" w14:textId="77777777" w:rsidR="00010947" w:rsidRPr="0095204C" w:rsidRDefault="00000000" w:rsidP="0095204C">
      <w:pPr>
        <w:spacing w:before="40" w:after="160" w:line="240" w:lineRule="auto"/>
        <w:ind w:left="432"/>
        <w:rPr>
          <w:rFonts w:ascii="Merriweather" w:hAnsi="Merriweather"/>
          <w:sz w:val="20"/>
          <w:szCs w:val="20"/>
        </w:rPr>
      </w:pPr>
      <w:r w:rsidRPr="0095204C">
        <w:rPr>
          <w:rFonts w:ascii="Merriweather" w:hAnsi="Merriweather" w:cs="Times New Roman"/>
          <w:sz w:val="20"/>
          <w:szCs w:val="20"/>
        </w:rPr>
        <w:t>("Africa South of the Sahara"[Mesh]) AND (integrat*[tw] AND ("public health"[tw] OR "clinical care"[tw])) AND (hospital*[tw] OR facilit*[tw]) AND (systematic review[pt] OR review[pt] OR "systematic"[tw])</w:t>
      </w:r>
    </w:p>
    <w:p w14:paraId="747AB6D4" w14:textId="77777777" w:rsidR="00010947" w:rsidRPr="0095204C" w:rsidRDefault="00000000" w:rsidP="0095204C">
      <w:pPr>
        <w:spacing w:after="40" w:line="240" w:lineRule="auto"/>
        <w:rPr>
          <w:rFonts w:ascii="Merriweather" w:hAnsi="Merriweather"/>
          <w:sz w:val="20"/>
          <w:szCs w:val="20"/>
        </w:rPr>
      </w:pPr>
      <w:r w:rsidRPr="0095204C">
        <w:rPr>
          <w:rFonts w:ascii="Merriweather" w:hAnsi="Merriweather" w:cs="Times New Roman"/>
          <w:b/>
          <w:sz w:val="20"/>
          <w:szCs w:val="20"/>
        </w:rPr>
        <w:t>Search B3 (sub-Saharan Africa, clinical–public health) — 22 records retrieved</w:t>
      </w:r>
    </w:p>
    <w:p w14:paraId="22C4C88C" w14:textId="77777777" w:rsidR="00010947" w:rsidRPr="0095204C" w:rsidRDefault="00000000" w:rsidP="0095204C">
      <w:pPr>
        <w:spacing w:before="40" w:after="160" w:line="240" w:lineRule="auto"/>
        <w:ind w:left="432"/>
        <w:rPr>
          <w:rFonts w:ascii="Merriweather" w:hAnsi="Merriweather"/>
          <w:sz w:val="20"/>
          <w:szCs w:val="20"/>
        </w:rPr>
      </w:pPr>
      <w:r w:rsidRPr="0095204C">
        <w:rPr>
          <w:rFonts w:ascii="Merriweather" w:hAnsi="Merriweather" w:cs="Times New Roman"/>
          <w:sz w:val="20"/>
          <w:szCs w:val="20"/>
        </w:rPr>
        <w:t>("Africa South of the Sahara"[Mesh]) AND ("public health"[tw] AND ("clinical care"[tw] OR "clinical service*"[tw]) AND integrat*[tw])</w:t>
      </w:r>
    </w:p>
    <w:p w14:paraId="724E5B21" w14:textId="77777777" w:rsidR="00010947" w:rsidRPr="0095204C" w:rsidRDefault="00000000" w:rsidP="0095204C">
      <w:pPr>
        <w:spacing w:after="40" w:line="240" w:lineRule="auto"/>
        <w:rPr>
          <w:rFonts w:ascii="Merriweather" w:hAnsi="Merriweather"/>
          <w:sz w:val="20"/>
          <w:szCs w:val="20"/>
        </w:rPr>
      </w:pPr>
      <w:r w:rsidRPr="0095204C">
        <w:rPr>
          <w:rFonts w:ascii="Merriweather" w:hAnsi="Merriweather" w:cs="Times New Roman"/>
          <w:b/>
          <w:sz w:val="20"/>
          <w:szCs w:val="20"/>
        </w:rPr>
        <w:t>Search B4 (Ghana, surveillance and health promotion) — 100 records retrieved</w:t>
      </w:r>
    </w:p>
    <w:p w14:paraId="430AEAA3" w14:textId="77777777" w:rsidR="00010947" w:rsidRPr="0095204C" w:rsidRDefault="00000000" w:rsidP="0095204C">
      <w:pPr>
        <w:spacing w:before="40" w:after="160" w:line="240" w:lineRule="auto"/>
        <w:ind w:left="432"/>
        <w:rPr>
          <w:rFonts w:ascii="Merriweather" w:hAnsi="Merriweather"/>
          <w:sz w:val="20"/>
          <w:szCs w:val="20"/>
        </w:rPr>
      </w:pPr>
      <w:r w:rsidRPr="0095204C">
        <w:rPr>
          <w:rFonts w:ascii="Merriweather" w:hAnsi="Merriweather" w:cs="Times New Roman"/>
          <w:sz w:val="20"/>
          <w:szCs w:val="20"/>
        </w:rPr>
        <w:t>("Ghana"[Mesh] OR Ghana[tw]) AND (hospital*[tw] OR facilit*[tw]) AND (surveillance[tw] OR "health promotion"[tw] OR "disease control"[tw] OR "disease prevention"[tw] OR "public health"[tw])</w:t>
      </w:r>
    </w:p>
    <w:p w14:paraId="14D84D67" w14:textId="77777777" w:rsidR="00010947" w:rsidRPr="0095204C" w:rsidRDefault="00000000" w:rsidP="0095204C">
      <w:pPr>
        <w:spacing w:before="240" w:line="240" w:lineRule="auto"/>
        <w:rPr>
          <w:rFonts w:ascii="Merriweather" w:hAnsi="Merriweather"/>
          <w:sz w:val="20"/>
          <w:szCs w:val="20"/>
        </w:rPr>
      </w:pPr>
      <w:r w:rsidRPr="0095204C">
        <w:rPr>
          <w:rFonts w:ascii="Merriweather" w:hAnsi="Merriweather" w:cs="Times New Roman"/>
          <w:b/>
          <w:sz w:val="20"/>
          <w:szCs w:val="20"/>
        </w:rPr>
        <w:t>S1.5 Databases and platforms</w:t>
      </w:r>
    </w:p>
    <w:p w14:paraId="491E2842" w14:textId="0AAD19CC" w:rsidR="00010947" w:rsidRPr="0095204C" w:rsidRDefault="00000000" w:rsidP="0095204C">
      <w:pPr>
        <w:pStyle w:val="ListBullet"/>
        <w:spacing w:after="60" w:line="240" w:lineRule="auto"/>
        <w:rPr>
          <w:rFonts w:ascii="Merriweather" w:hAnsi="Merriweather"/>
          <w:sz w:val="20"/>
          <w:szCs w:val="20"/>
        </w:rPr>
      </w:pPr>
      <w:r w:rsidRPr="0095204C">
        <w:rPr>
          <w:rFonts w:ascii="Merriweather" w:hAnsi="Merriweather" w:cs="Times New Roman"/>
          <w:b/>
          <w:bCs/>
          <w:sz w:val="20"/>
          <w:szCs w:val="20"/>
        </w:rPr>
        <w:t>PubMed/MEDLINE</w:t>
      </w:r>
      <w:r w:rsidRPr="0095204C">
        <w:rPr>
          <w:rFonts w:ascii="Merriweather" w:hAnsi="Merriweather" w:cs="Times New Roman"/>
          <w:sz w:val="20"/>
          <w:szCs w:val="20"/>
        </w:rPr>
        <w:t xml:space="preserve">: Searches A and B executed </w:t>
      </w:r>
      <w:r w:rsidR="0095204C" w:rsidRPr="0095204C">
        <w:rPr>
          <w:rFonts w:ascii="Merriweather" w:hAnsi="Merriweather" w:cs="Times New Roman"/>
          <w:sz w:val="20"/>
          <w:szCs w:val="20"/>
        </w:rPr>
        <w:t>June 2026</w:t>
      </w:r>
      <w:r w:rsidRPr="0095204C">
        <w:rPr>
          <w:rFonts w:ascii="Merriweather" w:hAnsi="Merriweather" w:cs="Times New Roman"/>
          <w:sz w:val="20"/>
          <w:szCs w:val="20"/>
        </w:rPr>
        <w:t>. PubMed/MEDLINE indexes key African journals (e.g., Ghana Medical Journal, Pan African Medical Journal), providing partial Africa-focused coverage.</w:t>
      </w:r>
    </w:p>
    <w:p w14:paraId="0CFCE077" w14:textId="77777777" w:rsidR="0095204C" w:rsidRPr="0095204C" w:rsidRDefault="00000000" w:rsidP="0095204C">
      <w:pPr>
        <w:pStyle w:val="ListBullet"/>
        <w:spacing w:before="40" w:after="160" w:line="240" w:lineRule="auto"/>
        <w:ind w:left="432"/>
        <w:rPr>
          <w:rFonts w:ascii="Merriweather" w:hAnsi="Merriweather"/>
          <w:sz w:val="20"/>
          <w:szCs w:val="20"/>
        </w:rPr>
      </w:pPr>
      <w:r w:rsidRPr="0095204C">
        <w:rPr>
          <w:rFonts w:ascii="Merriweather" w:hAnsi="Merriweather" w:cs="Times New Roman"/>
          <w:b/>
          <w:bCs/>
          <w:sz w:val="20"/>
          <w:szCs w:val="20"/>
        </w:rPr>
        <w:t>African Index Medicus (WHO AFRO) and African Journals Online (AJOL):</w:t>
      </w:r>
      <w:r w:rsidRPr="0095204C">
        <w:rPr>
          <w:rFonts w:ascii="Merriweather" w:hAnsi="Merriweather" w:cs="Times New Roman"/>
          <w:sz w:val="20"/>
          <w:szCs w:val="20"/>
        </w:rPr>
        <w:t xml:space="preserve"> protocol-specified Africa-focused sources. </w:t>
      </w:r>
    </w:p>
    <w:p w14:paraId="554DC4A2" w14:textId="2B8E4BC0" w:rsidR="00010947" w:rsidRPr="0095204C" w:rsidRDefault="00000000" w:rsidP="0095204C">
      <w:pPr>
        <w:pStyle w:val="ListBullet"/>
        <w:spacing w:before="40" w:after="160" w:line="240" w:lineRule="auto"/>
        <w:ind w:left="432"/>
        <w:rPr>
          <w:rFonts w:ascii="Merriweather" w:hAnsi="Merriweather"/>
          <w:sz w:val="20"/>
          <w:szCs w:val="20"/>
        </w:rPr>
      </w:pPr>
      <w:r w:rsidRPr="0095204C">
        <w:rPr>
          <w:rFonts w:ascii="Merriweather" w:hAnsi="Merriweather" w:cs="Times New Roman"/>
          <w:sz w:val="20"/>
          <w:szCs w:val="20"/>
        </w:rPr>
        <w:t>(Ghana OR "sub-Saharan Africa" OR Africa) AND (hospital OR facility OR "health facility") AND (integrat* OR "public health unit" OR surveillance OR "health promotion" OR prevention)</w:t>
      </w:r>
    </w:p>
    <w:p w14:paraId="033E23B4" w14:textId="2FD65E98" w:rsidR="0095204C" w:rsidRPr="0095204C" w:rsidRDefault="00000000" w:rsidP="0095204C">
      <w:pPr>
        <w:pStyle w:val="ListBullet"/>
        <w:spacing w:after="60" w:line="240" w:lineRule="auto"/>
        <w:rPr>
          <w:rFonts w:ascii="Merriweather" w:hAnsi="Merriweather"/>
          <w:sz w:val="20"/>
          <w:szCs w:val="20"/>
        </w:rPr>
      </w:pPr>
      <w:r w:rsidRPr="0095204C">
        <w:rPr>
          <w:rFonts w:ascii="Merriweather" w:hAnsi="Merriweather" w:cs="Times New Roman"/>
          <w:b/>
          <w:bCs/>
          <w:sz w:val="20"/>
          <w:szCs w:val="20"/>
        </w:rPr>
        <w:t>HINARI (Research4Life):</w:t>
      </w:r>
      <w:r w:rsidRPr="0095204C">
        <w:rPr>
          <w:rFonts w:ascii="Merriweather" w:hAnsi="Merriweather" w:cs="Times New Roman"/>
          <w:sz w:val="20"/>
          <w:szCs w:val="20"/>
        </w:rPr>
        <w:t xml:space="preserve"> used as a full-text access route for included records, not as a bibliographic database.</w:t>
      </w:r>
    </w:p>
    <w:p w14:paraId="6F471392" w14:textId="5C3BF54B" w:rsidR="00010947" w:rsidRPr="0095204C" w:rsidRDefault="00000000">
      <w:pPr>
        <w:spacing w:before="240"/>
        <w:rPr>
          <w:rFonts w:ascii="Merriweather" w:hAnsi="Merriweather"/>
          <w:sz w:val="20"/>
          <w:szCs w:val="20"/>
        </w:rPr>
      </w:pPr>
      <w:r w:rsidRPr="0095204C">
        <w:rPr>
          <w:rFonts w:ascii="Merriweather" w:hAnsi="Merriweather" w:cs="Times New Roman"/>
          <w:b/>
          <w:sz w:val="20"/>
          <w:szCs w:val="20"/>
        </w:rPr>
        <w:t>S1.6 Study selection</w:t>
      </w:r>
    </w:p>
    <w:p w14:paraId="14C6AB19" w14:textId="77777777" w:rsidR="00010947" w:rsidRPr="0095204C" w:rsidRDefault="00000000" w:rsidP="0095204C">
      <w:pPr>
        <w:pStyle w:val="ListBullet"/>
        <w:spacing w:after="60" w:line="240" w:lineRule="auto"/>
        <w:rPr>
          <w:rFonts w:ascii="Merriweather" w:hAnsi="Merriweather"/>
          <w:sz w:val="20"/>
          <w:szCs w:val="20"/>
        </w:rPr>
      </w:pPr>
      <w:r w:rsidRPr="0095204C">
        <w:rPr>
          <w:rFonts w:ascii="Merriweather" w:hAnsi="Merriweather" w:cs="Times New Roman"/>
          <w:sz w:val="20"/>
          <w:szCs w:val="20"/>
        </w:rPr>
        <w:t>Across Searches A and B, 290 records were retrieved (6 + 59 + 103 + 22 + 100); 278 unique records remained after removal of duplicates.</w:t>
      </w:r>
    </w:p>
    <w:p w14:paraId="249E9681" w14:textId="7695D959" w:rsidR="00010947" w:rsidRPr="0095204C" w:rsidRDefault="00000000" w:rsidP="0095204C">
      <w:pPr>
        <w:pStyle w:val="ListBullet"/>
        <w:spacing w:after="60" w:line="240" w:lineRule="auto"/>
        <w:rPr>
          <w:rFonts w:ascii="Merriweather" w:hAnsi="Merriweather"/>
          <w:sz w:val="20"/>
          <w:szCs w:val="20"/>
        </w:rPr>
      </w:pPr>
      <w:r w:rsidRPr="0095204C">
        <w:rPr>
          <w:rFonts w:ascii="Merriweather" w:hAnsi="Merriweather" w:cs="Times New Roman"/>
          <w:sz w:val="20"/>
          <w:szCs w:val="20"/>
        </w:rPr>
        <w:t xml:space="preserve">Title screening retained 16 records for abstract review. Eleven papers met the eligibility criteria and were included as new rows in Table 1 (rows 14–24, marked †); six records were excluded, with reasons given in S1.7. </w:t>
      </w:r>
    </w:p>
    <w:p w14:paraId="7300A415" w14:textId="77777777" w:rsidR="00010947" w:rsidRPr="0095204C" w:rsidRDefault="00000000" w:rsidP="0095204C">
      <w:pPr>
        <w:pStyle w:val="ListBullet"/>
        <w:spacing w:after="60" w:line="240" w:lineRule="auto"/>
        <w:rPr>
          <w:rFonts w:ascii="Merriweather" w:hAnsi="Merriweather"/>
          <w:sz w:val="20"/>
          <w:szCs w:val="20"/>
        </w:rPr>
      </w:pPr>
      <w:r w:rsidRPr="0095204C">
        <w:rPr>
          <w:rFonts w:ascii="Merriweather" w:hAnsi="Merriweather" w:cs="Times New Roman"/>
          <w:sz w:val="20"/>
          <w:szCs w:val="20"/>
        </w:rPr>
        <w:t>Full texts of included records were retrieved through institutional access and HINARI/Research4Life, and key findings were verified against the published abstracts.</w:t>
      </w:r>
    </w:p>
    <w:p w14:paraId="7AA3B5EF" w14:textId="77777777" w:rsidR="00010947" w:rsidRPr="0095204C" w:rsidRDefault="00000000" w:rsidP="0095204C">
      <w:pPr>
        <w:spacing w:line="240" w:lineRule="auto"/>
        <w:rPr>
          <w:rFonts w:ascii="Merriweather" w:hAnsi="Merriweather"/>
          <w:sz w:val="20"/>
          <w:szCs w:val="20"/>
        </w:rPr>
      </w:pPr>
      <w:r w:rsidRPr="0095204C">
        <w:rPr>
          <w:rFonts w:ascii="Merriweather" w:hAnsi="Merriweather" w:cs="Times New Roman"/>
          <w:i/>
          <w:sz w:val="20"/>
          <w:szCs w:val="20"/>
        </w:rPr>
        <w:t>Selection flow: 290 records identified → 278 unique after deduplication → 16 abstracts screened → 11 papers included in Table 1 (rows 14–24, marked †).</w:t>
      </w:r>
    </w:p>
    <w:p w14:paraId="758778D9" w14:textId="77777777" w:rsidR="00010947" w:rsidRPr="0095204C" w:rsidRDefault="00000000">
      <w:pPr>
        <w:spacing w:before="240"/>
        <w:rPr>
          <w:rFonts w:ascii="Merriweather" w:hAnsi="Merriweather"/>
          <w:sz w:val="20"/>
          <w:szCs w:val="20"/>
        </w:rPr>
      </w:pPr>
      <w:r w:rsidRPr="0095204C">
        <w:rPr>
          <w:rFonts w:ascii="Merriweather" w:hAnsi="Merriweather" w:cs="Times New Roman"/>
          <w:b/>
          <w:sz w:val="20"/>
          <w:szCs w:val="20"/>
        </w:rPr>
        <w:t>S1.7 Screening log — excluded at abstract stage</w:t>
      </w:r>
    </w:p>
    <w:p w14:paraId="693413BE" w14:textId="77777777" w:rsidR="00010947" w:rsidRPr="0095204C" w:rsidRDefault="00000000" w:rsidP="0095204C">
      <w:pPr>
        <w:pStyle w:val="ListBullet"/>
        <w:spacing w:after="60" w:line="240" w:lineRule="auto"/>
        <w:rPr>
          <w:rFonts w:ascii="Merriweather" w:hAnsi="Merriweather"/>
          <w:sz w:val="20"/>
          <w:szCs w:val="20"/>
        </w:rPr>
      </w:pPr>
      <w:r w:rsidRPr="0095204C">
        <w:rPr>
          <w:rFonts w:ascii="Merriweather" w:hAnsi="Merriweather" w:cs="Times New Roman"/>
          <w:sz w:val="20"/>
          <w:szCs w:val="20"/>
        </w:rPr>
        <w:lastRenderedPageBreak/>
        <w:t>Mukala Mayoyo F et al., 2021 (PMID 34610507): excluded — French-language full text.</w:t>
      </w:r>
    </w:p>
    <w:p w14:paraId="0DE6440E" w14:textId="77777777" w:rsidR="00010947" w:rsidRPr="0095204C" w:rsidRDefault="00000000" w:rsidP="0095204C">
      <w:pPr>
        <w:pStyle w:val="ListBullet"/>
        <w:spacing w:after="60" w:line="240" w:lineRule="auto"/>
        <w:rPr>
          <w:rFonts w:ascii="Merriweather" w:hAnsi="Merriweather"/>
          <w:sz w:val="20"/>
          <w:szCs w:val="20"/>
        </w:rPr>
      </w:pPr>
      <w:r w:rsidRPr="0095204C">
        <w:rPr>
          <w:rFonts w:ascii="Merriweather" w:hAnsi="Merriweather" w:cs="Times New Roman"/>
          <w:sz w:val="20"/>
          <w:szCs w:val="20"/>
        </w:rPr>
        <w:t>Lodonu-Senoo J et al., 2026 (PMID 40885796): excluded — study protocol, no results.</w:t>
      </w:r>
    </w:p>
    <w:p w14:paraId="55CD935E" w14:textId="77777777" w:rsidR="00010947" w:rsidRPr="0095204C" w:rsidRDefault="00000000" w:rsidP="0095204C">
      <w:pPr>
        <w:pStyle w:val="ListBullet"/>
        <w:spacing w:after="60" w:line="240" w:lineRule="auto"/>
        <w:rPr>
          <w:rFonts w:ascii="Merriweather" w:hAnsi="Merriweather"/>
          <w:sz w:val="20"/>
          <w:szCs w:val="20"/>
        </w:rPr>
      </w:pPr>
      <w:r w:rsidRPr="0095204C">
        <w:rPr>
          <w:rFonts w:ascii="Merriweather" w:hAnsi="Merriweather" w:cs="Times New Roman"/>
          <w:sz w:val="20"/>
          <w:szCs w:val="20"/>
        </w:rPr>
        <w:t>Kwakye AO et al., 2025 (PMID 40857156): excluded — community-based without facility integration component.</w:t>
      </w:r>
    </w:p>
    <w:p w14:paraId="4A9B6586" w14:textId="77777777" w:rsidR="00010947" w:rsidRPr="0095204C" w:rsidRDefault="00000000" w:rsidP="0095204C">
      <w:pPr>
        <w:pStyle w:val="ListBullet"/>
        <w:spacing w:after="60" w:line="240" w:lineRule="auto"/>
        <w:rPr>
          <w:rFonts w:ascii="Merriweather" w:hAnsi="Merriweather"/>
          <w:sz w:val="20"/>
          <w:szCs w:val="20"/>
        </w:rPr>
      </w:pPr>
      <w:r w:rsidRPr="0095204C">
        <w:rPr>
          <w:rFonts w:ascii="Merriweather" w:hAnsi="Merriweather" w:cs="Times New Roman"/>
          <w:sz w:val="20"/>
          <w:szCs w:val="20"/>
        </w:rPr>
        <w:t>Adomako BYB et al., 2020 (PMID 32313334): excluded — tuberculosis surveillance system evaluation; background relevance only, no integration assessment.</w:t>
      </w:r>
    </w:p>
    <w:p w14:paraId="4692A07E" w14:textId="77777777" w:rsidR="00010947" w:rsidRPr="0095204C" w:rsidRDefault="00000000" w:rsidP="0095204C">
      <w:pPr>
        <w:pStyle w:val="ListBullet"/>
        <w:spacing w:after="60" w:line="240" w:lineRule="auto"/>
        <w:rPr>
          <w:rFonts w:ascii="Merriweather" w:hAnsi="Merriweather"/>
          <w:sz w:val="20"/>
          <w:szCs w:val="20"/>
        </w:rPr>
      </w:pPr>
      <w:r w:rsidRPr="0095204C">
        <w:rPr>
          <w:rFonts w:ascii="Merriweather" w:hAnsi="Merriweather" w:cs="Times New Roman"/>
          <w:sz w:val="20"/>
          <w:szCs w:val="20"/>
        </w:rPr>
        <w:t>Adokiya MN et al., 2016 (PMID 27602320): excluded — companion reporting-completeness analysis to the included Adokiya et al., 2015; noted as background.</w:t>
      </w:r>
    </w:p>
    <w:p w14:paraId="0223E150" w14:textId="77777777" w:rsidR="00010947" w:rsidRPr="0095204C" w:rsidRDefault="00000000" w:rsidP="0095204C">
      <w:pPr>
        <w:pStyle w:val="ListBullet"/>
        <w:spacing w:after="60" w:line="240" w:lineRule="auto"/>
        <w:rPr>
          <w:rFonts w:ascii="Merriweather" w:hAnsi="Merriweather"/>
          <w:sz w:val="20"/>
          <w:szCs w:val="20"/>
        </w:rPr>
      </w:pPr>
      <w:r w:rsidRPr="0095204C">
        <w:rPr>
          <w:rFonts w:ascii="Merriweather" w:hAnsi="Merriweather" w:cs="Times New Roman"/>
          <w:sz w:val="20"/>
          <w:szCs w:val="20"/>
        </w:rPr>
        <w:t>Issah K et al., 2015 (PMID 26738470): excluded — Ebola preparedness assessment, no clinical–public-health integration analysis.</w:t>
      </w:r>
    </w:p>
    <w:p w14:paraId="35875DE1" w14:textId="77777777" w:rsidR="00010947" w:rsidRPr="0095204C" w:rsidRDefault="00000000" w:rsidP="0095204C">
      <w:pPr>
        <w:spacing w:line="240" w:lineRule="auto"/>
        <w:rPr>
          <w:rFonts w:ascii="Merriweather" w:hAnsi="Merriweather"/>
          <w:sz w:val="20"/>
          <w:szCs w:val="20"/>
        </w:rPr>
      </w:pPr>
      <w:r w:rsidRPr="0095204C">
        <w:rPr>
          <w:rFonts w:ascii="Merriweather" w:hAnsi="Merriweather" w:cs="Times New Roman"/>
          <w:sz w:val="20"/>
          <w:szCs w:val="20"/>
        </w:rPr>
        <w:t>Additional relevant background identified but not tabulated (scope decision): Fernández LG et al., 2022 (community hypertension models, scoping review); Lafort Y et al., 2018 (diagonal approach, Mozambique); Akutey TV et al., 2018 (community pharmacy NCD screening, Ghana); Adusei A et al., 2025 (mental health integration, Ghana).</w:t>
      </w:r>
    </w:p>
    <w:p w14:paraId="252953D7" w14:textId="77777777" w:rsidR="00010947" w:rsidRPr="0095204C" w:rsidRDefault="00000000">
      <w:pPr>
        <w:spacing w:before="240"/>
        <w:rPr>
          <w:rFonts w:ascii="Merriweather" w:hAnsi="Merriweather"/>
          <w:sz w:val="20"/>
          <w:szCs w:val="20"/>
        </w:rPr>
      </w:pPr>
      <w:r w:rsidRPr="0095204C">
        <w:rPr>
          <w:rFonts w:ascii="Merriweather" w:hAnsi="Merriweather" w:cs="Times New Roman"/>
          <w:b/>
          <w:sz w:val="20"/>
          <w:szCs w:val="20"/>
        </w:rPr>
        <w:t>S1.8 Data extraction and synthesis</w:t>
      </w:r>
    </w:p>
    <w:p w14:paraId="3D821415" w14:textId="77777777" w:rsidR="00010947" w:rsidRPr="0095204C" w:rsidRDefault="00000000" w:rsidP="0095204C">
      <w:pPr>
        <w:pStyle w:val="ListBullet"/>
        <w:spacing w:after="60" w:line="240" w:lineRule="auto"/>
        <w:rPr>
          <w:rFonts w:ascii="Merriweather" w:hAnsi="Merriweather"/>
          <w:sz w:val="20"/>
          <w:szCs w:val="20"/>
        </w:rPr>
      </w:pPr>
      <w:r w:rsidRPr="0095204C">
        <w:rPr>
          <w:rFonts w:ascii="Merriweather" w:hAnsi="Merriweather" w:cs="Times New Roman"/>
          <w:sz w:val="20"/>
          <w:szCs w:val="20"/>
        </w:rPr>
        <w:t>For each included study we extracted the author and year, country or region, study design, integration domain, key findings, gaps identified, and the relevant WHO health systems building block.</w:t>
      </w:r>
    </w:p>
    <w:p w14:paraId="42492D37" w14:textId="77777777" w:rsidR="00010947" w:rsidRPr="0095204C" w:rsidRDefault="00000000" w:rsidP="0095204C">
      <w:pPr>
        <w:pStyle w:val="ListBullet"/>
        <w:spacing w:after="60" w:line="240" w:lineRule="auto"/>
        <w:rPr>
          <w:rFonts w:ascii="Merriweather" w:hAnsi="Merriweather"/>
          <w:sz w:val="20"/>
          <w:szCs w:val="20"/>
        </w:rPr>
      </w:pPr>
      <w:r w:rsidRPr="0095204C">
        <w:rPr>
          <w:rFonts w:ascii="Merriweather" w:hAnsi="Merriweather" w:cs="Times New Roman"/>
          <w:sz w:val="20"/>
          <w:szCs w:val="20"/>
        </w:rPr>
        <w:t>Findings were mapped to the WHO building blocks (service delivery; health workforce; health information systems; medical products and technologies; financing; leadership and governance) and summarized by study. Recurring patterns — for example, weak facility–district feedback loops, donor-skewed vertical programming, and underdeveloped facility-level health promotion functions — were identified inductively and inform the assessment in Objective 4.</w:t>
      </w:r>
    </w:p>
    <w:p w14:paraId="0C586AAE" w14:textId="77777777" w:rsidR="00010947" w:rsidRPr="0095204C" w:rsidRDefault="00000000" w:rsidP="0095204C">
      <w:pPr>
        <w:pStyle w:val="ListBullet"/>
        <w:spacing w:after="60" w:line="240" w:lineRule="auto"/>
        <w:rPr>
          <w:rFonts w:ascii="Merriweather" w:hAnsi="Merriweather"/>
          <w:sz w:val="20"/>
          <w:szCs w:val="20"/>
        </w:rPr>
      </w:pPr>
      <w:r w:rsidRPr="0095204C">
        <w:rPr>
          <w:rFonts w:ascii="Merriweather" w:hAnsi="Merriweather" w:cs="Times New Roman"/>
          <w:sz w:val="20"/>
          <w:szCs w:val="20"/>
        </w:rPr>
        <w:t>Table 1 rows 1–13 derive from the authors’ earlier narrative synthesis and were retained unchanged; rows marked † (rows 14–24) were added through the searches reported here.</w:t>
      </w:r>
    </w:p>
    <w:p w14:paraId="37014491" w14:textId="77777777" w:rsidR="00010947" w:rsidRPr="0095204C" w:rsidRDefault="00000000">
      <w:pPr>
        <w:spacing w:before="240"/>
        <w:rPr>
          <w:rFonts w:ascii="Merriweather" w:hAnsi="Merriweather"/>
          <w:sz w:val="20"/>
          <w:szCs w:val="20"/>
        </w:rPr>
      </w:pPr>
      <w:r w:rsidRPr="0095204C">
        <w:rPr>
          <w:rFonts w:ascii="Merriweather" w:hAnsi="Merriweather" w:cs="Times New Roman"/>
          <w:b/>
          <w:sz w:val="20"/>
          <w:szCs w:val="20"/>
        </w:rPr>
        <w:t>S1.9 Limitations</w:t>
      </w:r>
    </w:p>
    <w:p w14:paraId="46B040B9" w14:textId="18A2A86F" w:rsidR="00010947" w:rsidRPr="0095204C" w:rsidRDefault="00000000" w:rsidP="0095204C">
      <w:pPr>
        <w:pStyle w:val="ListBullet"/>
        <w:spacing w:after="60" w:line="240" w:lineRule="auto"/>
        <w:rPr>
          <w:rFonts w:ascii="Merriweather" w:hAnsi="Merriweather"/>
          <w:sz w:val="20"/>
          <w:szCs w:val="20"/>
        </w:rPr>
      </w:pPr>
      <w:r w:rsidRPr="0095204C">
        <w:rPr>
          <w:rFonts w:ascii="Merriweather" w:hAnsi="Merriweather" w:cs="Times New Roman"/>
          <w:sz w:val="20"/>
          <w:szCs w:val="20"/>
        </w:rPr>
        <w:t xml:space="preserve">Narrative rather than systematic review: </w:t>
      </w:r>
      <w:r w:rsidR="0095204C" w:rsidRPr="0095204C">
        <w:rPr>
          <w:rFonts w:ascii="Merriweather" w:hAnsi="Merriweather" w:cs="Times New Roman"/>
          <w:sz w:val="20"/>
          <w:szCs w:val="20"/>
        </w:rPr>
        <w:t>single</w:t>
      </w:r>
      <w:r w:rsidRPr="0095204C">
        <w:rPr>
          <w:rFonts w:ascii="Merriweather" w:hAnsi="Merriweather" w:cs="Times New Roman"/>
          <w:sz w:val="20"/>
          <w:szCs w:val="20"/>
        </w:rPr>
        <w:t xml:space="preserve">-reviewer screening; no </w:t>
      </w:r>
      <w:r w:rsidR="0095204C" w:rsidRPr="0095204C">
        <w:rPr>
          <w:rFonts w:ascii="Merriweather" w:hAnsi="Merriweather" w:cs="Times New Roman"/>
          <w:sz w:val="20"/>
          <w:szCs w:val="20"/>
        </w:rPr>
        <w:t>rigorous</w:t>
      </w:r>
      <w:r w:rsidRPr="0095204C">
        <w:rPr>
          <w:rFonts w:ascii="Merriweather" w:hAnsi="Merriweather" w:cs="Times New Roman"/>
          <w:sz w:val="20"/>
          <w:szCs w:val="20"/>
        </w:rPr>
        <w:t xml:space="preserve"> </w:t>
      </w:r>
      <w:r w:rsidR="0095204C" w:rsidRPr="0095204C">
        <w:rPr>
          <w:rFonts w:ascii="Merriweather" w:hAnsi="Merriweather" w:cs="Times New Roman"/>
          <w:sz w:val="20"/>
          <w:szCs w:val="20"/>
        </w:rPr>
        <w:t xml:space="preserve">independent </w:t>
      </w:r>
      <w:r w:rsidRPr="0095204C">
        <w:rPr>
          <w:rFonts w:ascii="Merriweather" w:hAnsi="Merriweather" w:cs="Times New Roman"/>
          <w:sz w:val="20"/>
          <w:szCs w:val="20"/>
        </w:rPr>
        <w:t>screening or formal risk-of-bias appraisal.</w:t>
      </w:r>
    </w:p>
    <w:p w14:paraId="72AFCF12" w14:textId="77777777" w:rsidR="00010947" w:rsidRPr="0095204C" w:rsidRDefault="00000000" w:rsidP="0095204C">
      <w:pPr>
        <w:pStyle w:val="ListBullet"/>
        <w:spacing w:after="60" w:line="240" w:lineRule="auto"/>
        <w:rPr>
          <w:rFonts w:ascii="Merriweather" w:hAnsi="Merriweather"/>
          <w:sz w:val="20"/>
          <w:szCs w:val="20"/>
        </w:rPr>
      </w:pPr>
      <w:r w:rsidRPr="0095204C">
        <w:rPr>
          <w:rFonts w:ascii="Merriweather" w:hAnsi="Merriweather" w:cs="Times New Roman"/>
          <w:sz w:val="20"/>
          <w:szCs w:val="20"/>
        </w:rPr>
        <w:t>Only PubMed/MEDLINE querying was completed on the search date; African Index Medicus and AJOL searches are specified but pending execution, so some African-published literature may be missed until completed.</w:t>
      </w:r>
    </w:p>
    <w:p w14:paraId="5DA7EBE2" w14:textId="77777777" w:rsidR="00010947" w:rsidRPr="0095204C" w:rsidRDefault="00000000" w:rsidP="0095204C">
      <w:pPr>
        <w:pStyle w:val="ListBullet"/>
        <w:spacing w:after="60" w:line="240" w:lineRule="auto"/>
        <w:rPr>
          <w:rFonts w:ascii="Merriweather" w:hAnsi="Merriweather"/>
          <w:sz w:val="20"/>
          <w:szCs w:val="20"/>
        </w:rPr>
      </w:pPr>
      <w:r w:rsidRPr="0095204C">
        <w:rPr>
          <w:rFonts w:ascii="Merriweather" w:hAnsi="Merriweather" w:cs="Times New Roman"/>
          <w:sz w:val="20"/>
          <w:szCs w:val="20"/>
        </w:rPr>
        <w:t>English-language restriction excludes relevant Francophone and Lusophone evidence.</w:t>
      </w:r>
    </w:p>
    <w:p w14:paraId="0E11312B" w14:textId="77777777" w:rsidR="00010947" w:rsidRPr="0095204C" w:rsidRDefault="00000000" w:rsidP="0095204C">
      <w:pPr>
        <w:pStyle w:val="ListBullet"/>
        <w:spacing w:after="60" w:line="240" w:lineRule="auto"/>
        <w:rPr>
          <w:rFonts w:ascii="Merriweather" w:hAnsi="Merriweather"/>
          <w:sz w:val="20"/>
          <w:szCs w:val="20"/>
        </w:rPr>
      </w:pPr>
      <w:r w:rsidRPr="0095204C">
        <w:rPr>
          <w:rFonts w:ascii="Merriweather" w:hAnsi="Merriweather" w:cs="Times New Roman"/>
          <w:sz w:val="20"/>
          <w:szCs w:val="20"/>
        </w:rPr>
        <w:t>Grey literature mapping for Search A was documentary rather than exhaustive; district-level units without a web presence are likely undercounted.</w:t>
      </w:r>
    </w:p>
    <w:p w14:paraId="4497FFF5" w14:textId="50EC57ED" w:rsidR="00010947" w:rsidRPr="0095204C" w:rsidRDefault="00000000" w:rsidP="0095204C">
      <w:pPr>
        <w:pStyle w:val="ListBullet"/>
        <w:spacing w:after="60" w:line="240" w:lineRule="auto"/>
        <w:rPr>
          <w:rFonts w:ascii="Merriweather" w:hAnsi="Merriweather"/>
          <w:sz w:val="20"/>
          <w:szCs w:val="20"/>
        </w:rPr>
      </w:pPr>
      <w:r w:rsidRPr="0095204C">
        <w:rPr>
          <w:rFonts w:ascii="Merriweather" w:hAnsi="Merriweather" w:cs="Times New Roman"/>
          <w:sz w:val="20"/>
          <w:szCs w:val="20"/>
        </w:rPr>
        <w:t xml:space="preserve">Rows 1–13 of Table 1 were verified against primary-source metadata, abstracts, and DOI/publisher records in </w:t>
      </w:r>
      <w:r w:rsidR="0095204C" w:rsidRPr="0095204C">
        <w:rPr>
          <w:rFonts w:ascii="Merriweather" w:hAnsi="Merriweather" w:cs="Times New Roman"/>
          <w:sz w:val="20"/>
          <w:szCs w:val="20"/>
        </w:rPr>
        <w:t xml:space="preserve">July </w:t>
      </w:r>
      <w:r w:rsidRPr="0095204C">
        <w:rPr>
          <w:rFonts w:ascii="Merriweather" w:hAnsi="Merriweather" w:cs="Times New Roman"/>
          <w:sz w:val="20"/>
          <w:szCs w:val="20"/>
        </w:rPr>
        <w:t>2026; full texts were not systematically re-read, and several details are flagged for full-text confirmation before submission (see Table 1 audit notes).</w:t>
      </w:r>
    </w:p>
    <w:sectPr w:rsidR="00010947" w:rsidRPr="0095204C" w:rsidSect="00034616">
      <w:footerReference w:type="default" r:id="rId8"/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9EB7AB" w14:textId="77777777" w:rsidR="001A6133" w:rsidRDefault="001A6133">
      <w:pPr>
        <w:spacing w:after="0" w:line="240" w:lineRule="auto"/>
      </w:pPr>
      <w:r>
        <w:separator/>
      </w:r>
    </w:p>
  </w:endnote>
  <w:endnote w:type="continuationSeparator" w:id="0">
    <w:p w14:paraId="595412AB" w14:textId="77777777" w:rsidR="001A6133" w:rsidRDefault="001A61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Merriweather">
    <w:panose1 w:val="00000500000000000000"/>
    <w:charset w:val="4D"/>
    <w:family w:val="auto"/>
    <w:pitch w:val="variable"/>
    <w:sig w:usb0="20000207" w:usb1="00000002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FD0E1F" w14:textId="77777777" w:rsidR="00010947" w:rsidRDefault="00000000">
    <w:pPr>
      <w:pStyle w:val="Footer"/>
      <w:jc w:val="center"/>
    </w:pPr>
    <w:r>
      <w:fldChar w:fldCharType="begin"/>
    </w:r>
    <w:r>
      <w:instrText>PAGE</w:instrText>
    </w:r>
    <w:r w:rsidR="0095204C">
      <w:fldChar w:fldCharType="separate"/>
    </w:r>
    <w:r w:rsidR="0095204C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25951B" w14:textId="77777777" w:rsidR="001A6133" w:rsidRDefault="001A6133">
      <w:pPr>
        <w:spacing w:after="0" w:line="240" w:lineRule="auto"/>
      </w:pPr>
      <w:r>
        <w:separator/>
      </w:r>
    </w:p>
  </w:footnote>
  <w:footnote w:type="continuationSeparator" w:id="0">
    <w:p w14:paraId="022F8084" w14:textId="77777777" w:rsidR="001A6133" w:rsidRDefault="001A613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8955869">
    <w:abstractNumId w:val="8"/>
  </w:num>
  <w:num w:numId="2" w16cid:durableId="1364281058">
    <w:abstractNumId w:val="6"/>
  </w:num>
  <w:num w:numId="3" w16cid:durableId="563874650">
    <w:abstractNumId w:val="5"/>
  </w:num>
  <w:num w:numId="4" w16cid:durableId="1186165209">
    <w:abstractNumId w:val="4"/>
  </w:num>
  <w:num w:numId="5" w16cid:durableId="1989505231">
    <w:abstractNumId w:val="7"/>
  </w:num>
  <w:num w:numId="6" w16cid:durableId="1660040736">
    <w:abstractNumId w:val="3"/>
  </w:num>
  <w:num w:numId="7" w16cid:durableId="2013798589">
    <w:abstractNumId w:val="2"/>
  </w:num>
  <w:num w:numId="8" w16cid:durableId="1407920928">
    <w:abstractNumId w:val="1"/>
  </w:num>
  <w:num w:numId="9" w16cid:durableId="5157337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5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10947"/>
    <w:rsid w:val="00034616"/>
    <w:rsid w:val="0006063C"/>
    <w:rsid w:val="0015074B"/>
    <w:rsid w:val="001A6133"/>
    <w:rsid w:val="0029639D"/>
    <w:rsid w:val="00326F90"/>
    <w:rsid w:val="0095204C"/>
    <w:rsid w:val="00AA1D8D"/>
    <w:rsid w:val="00B47730"/>
    <w:rsid w:val="00BE7F65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451C055"/>
  <w14:defaultImageDpi w14:val="300"/>
  <w15:docId w15:val="{B4EC92FA-CD84-2B4F-B6CA-F6580DE1A2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 w:line="480" w:lineRule="auto"/>
    </w:pPr>
    <w:rPr>
      <w:rFonts w:ascii="Times New Roman" w:hAnsi="Times New Roman"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4</Pages>
  <Words>1266</Words>
  <Characters>7218</Characters>
  <Application>Microsoft Office Word</Application>
  <DocSecurity>0</DocSecurity>
  <Lines>60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8468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Thomas  Hinneh</cp:lastModifiedBy>
  <cp:revision>2</cp:revision>
  <dcterms:created xsi:type="dcterms:W3CDTF">2013-12-23T23:15:00Z</dcterms:created>
  <dcterms:modified xsi:type="dcterms:W3CDTF">2026-09-19T01:18:00Z</dcterms:modified>
  <cp:category/>
</cp:coreProperties>
</file>