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A7" w:rsidRDefault="008E26A7" w:rsidP="008E26A7">
      <w:pPr>
        <w:spacing w:line="480" w:lineRule="auto"/>
        <w:jc w:val="center"/>
        <w:rPr>
          <w:rFonts w:ascii="Times New Roman" w:hAnsi="Times New Roman" w:cs="Times New Roman"/>
          <w:b/>
          <w:sz w:val="24"/>
          <w:szCs w:val="24"/>
          <w:lang w:val="en-GB"/>
        </w:rPr>
      </w:pPr>
      <w:bookmarkStart w:id="0" w:name="_top"/>
      <w:bookmarkEnd w:id="0"/>
      <w:r w:rsidRPr="00270D07">
        <w:rPr>
          <w:rFonts w:ascii="Times New Roman" w:hAnsi="Times New Roman" w:cs="Times New Roman"/>
          <w:b/>
          <w:sz w:val="24"/>
          <w:szCs w:val="24"/>
          <w:lang w:val="en-GB"/>
        </w:rPr>
        <w:t>Frames and counter</w:t>
      </w:r>
      <w:r>
        <w:rPr>
          <w:rFonts w:ascii="Times New Roman" w:hAnsi="Times New Roman" w:cs="Times New Roman"/>
          <w:b/>
          <w:sz w:val="24"/>
          <w:szCs w:val="24"/>
          <w:lang w:val="en-GB"/>
        </w:rPr>
        <w:t>-</w:t>
      </w:r>
      <w:r w:rsidRPr="00270D07">
        <w:rPr>
          <w:rFonts w:ascii="Times New Roman" w:hAnsi="Times New Roman" w:cs="Times New Roman"/>
          <w:b/>
          <w:sz w:val="24"/>
          <w:szCs w:val="24"/>
          <w:lang w:val="en-GB"/>
        </w:rPr>
        <w:t>frames giving meaning to palliative care and eu</w:t>
      </w:r>
      <w:bookmarkStart w:id="1" w:name="_GoBack"/>
      <w:bookmarkEnd w:id="1"/>
      <w:r w:rsidRPr="00270D07">
        <w:rPr>
          <w:rFonts w:ascii="Times New Roman" w:hAnsi="Times New Roman" w:cs="Times New Roman"/>
          <w:b/>
          <w:sz w:val="24"/>
          <w:szCs w:val="24"/>
          <w:lang w:val="en-GB"/>
        </w:rPr>
        <w:t>thanasia in the</w:t>
      </w:r>
      <w:r w:rsidR="002B78C2">
        <w:rPr>
          <w:rFonts w:ascii="Times New Roman" w:hAnsi="Times New Roman" w:cs="Times New Roman"/>
          <w:b/>
          <w:sz w:val="24"/>
          <w:szCs w:val="24"/>
          <w:lang w:val="en-GB"/>
        </w:rPr>
        <w:t xml:space="preserve"> Netherlands</w:t>
      </w:r>
      <w:r w:rsidRPr="00270D07">
        <w:rPr>
          <w:rFonts w:ascii="Times New Roman" w:hAnsi="Times New Roman" w:cs="Times New Roman"/>
          <w:b/>
          <w:sz w:val="24"/>
          <w:szCs w:val="24"/>
          <w:lang w:val="en-GB"/>
        </w:rPr>
        <w:t xml:space="preserve"> </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Baldwin Van Gorp</w:t>
      </w:r>
      <w:r w:rsidRPr="005758D2">
        <w:rPr>
          <w:rFonts w:ascii="Times New Roman" w:hAnsi="Times New Roman" w:cs="Times New Roman"/>
          <w:sz w:val="24"/>
          <w:szCs w:val="24"/>
          <w:vertAlign w:val="superscript"/>
          <w:lang w:val="en-US"/>
        </w:rPr>
        <w:t>1</w:t>
      </w:r>
      <w:r w:rsidRPr="005758D2">
        <w:rPr>
          <w:rFonts w:ascii="Times New Roman" w:hAnsi="Times New Roman" w:cs="Times New Roman"/>
          <w:sz w:val="24"/>
          <w:szCs w:val="24"/>
          <w:lang w:val="en-US"/>
        </w:rPr>
        <w:t xml:space="preserve"> (*)</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Gert Olthuis</w:t>
      </w:r>
      <w:r w:rsidRPr="005758D2">
        <w:rPr>
          <w:rFonts w:ascii="Times New Roman" w:hAnsi="Times New Roman" w:cs="Times New Roman"/>
          <w:sz w:val="24"/>
          <w:szCs w:val="24"/>
          <w:vertAlign w:val="superscript"/>
          <w:lang w:val="en-US"/>
        </w:rPr>
        <w:t>2</w:t>
      </w:r>
    </w:p>
    <w:p w:rsidR="008E26A7" w:rsidRPr="005758D2" w:rsidRDefault="008E26A7" w:rsidP="008E26A7">
      <w:pPr>
        <w:jc w:val="center"/>
        <w:rPr>
          <w:rFonts w:ascii="Times New Roman" w:hAnsi="Times New Roman" w:cs="Times New Roman"/>
          <w:sz w:val="24"/>
          <w:szCs w:val="24"/>
          <w:lang w:val="en-US"/>
        </w:rPr>
      </w:pPr>
      <w:proofErr w:type="spellStart"/>
      <w:r w:rsidRPr="005758D2">
        <w:rPr>
          <w:rFonts w:ascii="Times New Roman" w:hAnsi="Times New Roman" w:cs="Times New Roman"/>
          <w:sz w:val="24"/>
          <w:szCs w:val="24"/>
          <w:lang w:val="en-US"/>
        </w:rPr>
        <w:t>Anneleen</w:t>
      </w:r>
      <w:proofErr w:type="spellEnd"/>
      <w:r w:rsidRPr="005758D2">
        <w:rPr>
          <w:rFonts w:ascii="Times New Roman" w:hAnsi="Times New Roman" w:cs="Times New Roman"/>
          <w:sz w:val="24"/>
          <w:szCs w:val="24"/>
          <w:lang w:val="en-US"/>
        </w:rPr>
        <w:t xml:space="preserve"> Vandekeybus</w:t>
      </w:r>
      <w:r w:rsidRPr="005758D2">
        <w:rPr>
          <w:rFonts w:ascii="Times New Roman" w:hAnsi="Times New Roman" w:cs="Times New Roman"/>
          <w:sz w:val="24"/>
          <w:szCs w:val="24"/>
          <w:vertAlign w:val="superscript"/>
          <w:lang w:val="en-US"/>
        </w:rPr>
        <w:t>1</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Jelle van Gurp</w:t>
      </w:r>
      <w:r w:rsidRPr="005758D2">
        <w:rPr>
          <w:rFonts w:ascii="Times New Roman" w:hAnsi="Times New Roman" w:cs="Times New Roman"/>
          <w:sz w:val="24"/>
          <w:szCs w:val="24"/>
          <w:vertAlign w:val="superscript"/>
          <w:lang w:val="en-US"/>
        </w:rPr>
        <w:t>2</w:t>
      </w:r>
    </w:p>
    <w:p w:rsidR="008E26A7" w:rsidRPr="005758D2" w:rsidRDefault="008E26A7" w:rsidP="008E26A7">
      <w:pPr>
        <w:jc w:val="center"/>
        <w:rPr>
          <w:rFonts w:ascii="Times New Roman" w:hAnsi="Times New Roman" w:cs="Times New Roman"/>
          <w:sz w:val="24"/>
          <w:szCs w:val="24"/>
          <w:lang w:val="en-US"/>
        </w:rPr>
      </w:pPr>
    </w:p>
    <w:p w:rsidR="008E26A7" w:rsidRPr="005758D2"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vertAlign w:val="superscript"/>
        </w:rPr>
        <w:t>1</w:t>
      </w:r>
      <w:r w:rsidRPr="005758D2">
        <w:rPr>
          <w:rFonts w:ascii="Times New Roman" w:hAnsi="Times New Roman" w:cs="Times New Roman"/>
          <w:sz w:val="24"/>
          <w:szCs w:val="24"/>
        </w:rPr>
        <w:t xml:space="preserve">Institute </w:t>
      </w:r>
      <w:proofErr w:type="spellStart"/>
      <w:r w:rsidRPr="005758D2">
        <w:rPr>
          <w:rFonts w:ascii="Times New Roman" w:hAnsi="Times New Roman" w:cs="Times New Roman"/>
          <w:sz w:val="24"/>
          <w:szCs w:val="24"/>
        </w:rPr>
        <w:t>for</w:t>
      </w:r>
      <w:proofErr w:type="spellEnd"/>
      <w:r w:rsidRPr="005758D2">
        <w:rPr>
          <w:rFonts w:ascii="Times New Roman" w:hAnsi="Times New Roman" w:cs="Times New Roman"/>
          <w:sz w:val="24"/>
          <w:szCs w:val="24"/>
        </w:rPr>
        <w:t xml:space="preserve"> Media Studies</w:t>
      </w:r>
    </w:p>
    <w:p w:rsidR="008E26A7" w:rsidRPr="005758D2"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rPr>
        <w:t>KU Leuven</w:t>
      </w:r>
    </w:p>
    <w:p w:rsidR="008E26A7" w:rsidRPr="005758D2"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rPr>
        <w:t>Parkstraat 45 box 3603</w:t>
      </w:r>
    </w:p>
    <w:p w:rsidR="008E26A7"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rPr>
        <w:t xml:space="preserve">3000 Leuven </w:t>
      </w:r>
    </w:p>
    <w:p w:rsidR="008E26A7" w:rsidRPr="005758D2"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rPr>
        <w:t>Belgium</w:t>
      </w:r>
    </w:p>
    <w:p w:rsidR="008E26A7" w:rsidRPr="005758D2" w:rsidRDefault="008E26A7" w:rsidP="008E26A7">
      <w:pPr>
        <w:jc w:val="center"/>
        <w:rPr>
          <w:rFonts w:ascii="Times New Roman" w:hAnsi="Times New Roman" w:cs="Times New Roman"/>
          <w:sz w:val="24"/>
          <w:szCs w:val="24"/>
        </w:rPr>
      </w:pP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vertAlign w:val="superscript"/>
          <w:lang w:val="en-US"/>
        </w:rPr>
        <w:t>2</w:t>
      </w:r>
      <w:r w:rsidRPr="005758D2">
        <w:rPr>
          <w:rFonts w:ascii="Times New Roman" w:hAnsi="Times New Roman" w:cs="Times New Roman"/>
          <w:sz w:val="24"/>
          <w:szCs w:val="24"/>
          <w:lang w:val="en-US"/>
        </w:rPr>
        <w:t>Radboud University Medical Center</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PO Box 9101</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6500 HB Nijmegen</w:t>
      </w:r>
    </w:p>
    <w:p w:rsidR="008E26A7" w:rsidRPr="005758D2" w:rsidRDefault="008E26A7" w:rsidP="008E26A7">
      <w:pPr>
        <w:jc w:val="center"/>
        <w:rPr>
          <w:rFonts w:ascii="Times New Roman" w:hAnsi="Times New Roman" w:cs="Times New Roman"/>
          <w:sz w:val="24"/>
          <w:szCs w:val="24"/>
          <w:lang w:val="en-US"/>
        </w:rPr>
      </w:pPr>
      <w:r w:rsidRPr="005758D2">
        <w:rPr>
          <w:rFonts w:ascii="Times New Roman" w:hAnsi="Times New Roman" w:cs="Times New Roman"/>
          <w:sz w:val="24"/>
          <w:szCs w:val="24"/>
          <w:lang w:val="en-US"/>
        </w:rPr>
        <w:t>The Netherlands</w:t>
      </w:r>
    </w:p>
    <w:p w:rsidR="008E26A7" w:rsidRPr="005758D2" w:rsidRDefault="008E26A7" w:rsidP="008E26A7">
      <w:pPr>
        <w:jc w:val="center"/>
        <w:rPr>
          <w:rFonts w:ascii="Times New Roman" w:hAnsi="Times New Roman" w:cs="Times New Roman"/>
          <w:sz w:val="24"/>
          <w:szCs w:val="24"/>
          <w:lang w:val="en-US"/>
        </w:rPr>
      </w:pPr>
    </w:p>
    <w:p w:rsidR="008E26A7" w:rsidRPr="005758D2" w:rsidRDefault="008E26A7" w:rsidP="008E26A7">
      <w:pPr>
        <w:jc w:val="center"/>
        <w:rPr>
          <w:rFonts w:ascii="Times New Roman" w:hAnsi="Times New Roman" w:cs="Times New Roman"/>
          <w:sz w:val="24"/>
          <w:szCs w:val="24"/>
        </w:rPr>
      </w:pPr>
      <w:r w:rsidRPr="005758D2">
        <w:rPr>
          <w:rFonts w:ascii="Times New Roman" w:hAnsi="Times New Roman" w:cs="Times New Roman"/>
          <w:sz w:val="24"/>
          <w:szCs w:val="24"/>
          <w:lang w:val="en-US"/>
        </w:rPr>
        <w:t>(*) correspondence to</w:t>
      </w:r>
      <w:r w:rsidRPr="005758D2">
        <w:rPr>
          <w:rFonts w:ascii="Times New Roman" w:hAnsi="Times New Roman" w:cs="Times New Roman"/>
          <w:sz w:val="24"/>
          <w:szCs w:val="24"/>
        </w:rPr>
        <w:t xml:space="preserve"> </w:t>
      </w:r>
      <w:hyperlink r:id="rId5" w:history="1">
        <w:r w:rsidRPr="005758D2">
          <w:rPr>
            <w:rStyle w:val="Hyperlink"/>
            <w:rFonts w:ascii="Times New Roman" w:hAnsi="Times New Roman" w:cs="Times New Roman"/>
            <w:sz w:val="24"/>
            <w:szCs w:val="24"/>
          </w:rPr>
          <w:t>baldwin.vangorp@kuleuven.be</w:t>
        </w:r>
      </w:hyperlink>
    </w:p>
    <w:p w:rsidR="008E26A7" w:rsidRDefault="008E26A7">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rsidR="008F6AAB" w:rsidRDefault="008F6AAB" w:rsidP="008F6AAB">
      <w:pPr>
        <w:spacing w:after="100" w:line="480" w:lineRule="auto"/>
        <w:rPr>
          <w:rFonts w:ascii="Times New Roman" w:hAnsi="Times New Roman" w:cs="Times New Roman"/>
          <w:b/>
          <w:sz w:val="24"/>
          <w:szCs w:val="24"/>
          <w:lang w:val="en-GB"/>
        </w:rPr>
      </w:pPr>
      <w:r w:rsidRPr="00E70AF9">
        <w:rPr>
          <w:rFonts w:ascii="Times New Roman" w:eastAsia="Calibri" w:hAnsi="Times New Roman" w:cs="Times New Roman"/>
          <w:b/>
          <w:sz w:val="24"/>
          <w:szCs w:val="24"/>
          <w:lang w:val="en-US"/>
        </w:rPr>
        <w:lastRenderedPageBreak/>
        <w:t>Annex 1:</w:t>
      </w:r>
      <w:r>
        <w:rPr>
          <w:rFonts w:ascii="Times New Roman" w:eastAsia="Calibri" w:hAnsi="Times New Roman" w:cs="Times New Roman"/>
          <w:sz w:val="24"/>
          <w:szCs w:val="24"/>
          <w:lang w:val="en-US"/>
        </w:rPr>
        <w:t xml:space="preserve"> </w:t>
      </w:r>
      <w:r w:rsidRPr="00270D07">
        <w:rPr>
          <w:rFonts w:ascii="Times New Roman" w:hAnsi="Times New Roman" w:cs="Times New Roman"/>
          <w:b/>
          <w:sz w:val="24"/>
          <w:szCs w:val="24"/>
          <w:lang w:val="en-GB"/>
        </w:rPr>
        <w:t>A concise socio-cultural history of palliative care and euthanasia in the Netherlands</w:t>
      </w:r>
    </w:p>
    <w:p w:rsidR="008F6AAB" w:rsidRPr="00E70AF9" w:rsidRDefault="008F6AAB" w:rsidP="008F6AAB">
      <w:pPr>
        <w:spacing w:after="100" w:line="480" w:lineRule="auto"/>
        <w:ind w:left="720" w:hanging="720"/>
        <w:rPr>
          <w:rFonts w:ascii="Times New Roman" w:eastAsia="Calibri" w:hAnsi="Times New Roman" w:cs="Times New Roman"/>
          <w:sz w:val="24"/>
          <w:szCs w:val="24"/>
          <w:lang w:val="en-US"/>
        </w:rPr>
      </w:pPr>
    </w:p>
    <w:p w:rsidR="008F6AAB" w:rsidRPr="00270D07" w:rsidRDefault="008F6AAB" w:rsidP="008F6AAB">
      <w:pPr>
        <w:spacing w:line="480" w:lineRule="auto"/>
        <w:rPr>
          <w:rFonts w:ascii="Times New Roman" w:hAnsi="Times New Roman" w:cs="Times New Roman"/>
          <w:sz w:val="24"/>
          <w:szCs w:val="24"/>
          <w:lang w:val="en-GB"/>
        </w:rPr>
      </w:pPr>
      <w:r w:rsidRPr="00270D07">
        <w:rPr>
          <w:rFonts w:ascii="Times New Roman" w:hAnsi="Times New Roman" w:cs="Times New Roman"/>
          <w:sz w:val="24"/>
          <w:szCs w:val="24"/>
          <w:lang w:val="en-GB"/>
        </w:rPr>
        <w:t>The Dutch euthanasia practice</w:t>
      </w:r>
      <w:r>
        <w:rPr>
          <w:rFonts w:ascii="Times New Roman" w:hAnsi="Times New Roman" w:cs="Times New Roman"/>
          <w:sz w:val="24"/>
          <w:szCs w:val="24"/>
          <w:lang w:val="en-GB"/>
        </w:rPr>
        <w:t xml:space="preserve"> [</w:t>
      </w:r>
      <w:hyperlink w:anchor="Gordijn" w:history="1">
        <w:r>
          <w:rPr>
            <w:rStyle w:val="Hyperlink"/>
            <w:rFonts w:ascii="Times New Roman" w:hAnsi="Times New Roman" w:cs="Times New Roman"/>
            <w:sz w:val="24"/>
            <w:szCs w:val="24"/>
            <w:lang w:val="en-GB"/>
          </w:rPr>
          <w:t>1</w:t>
        </w:r>
      </w:hyperlink>
      <w:r>
        <w:rPr>
          <w:rFonts w:ascii="Times New Roman" w:hAnsi="Times New Roman" w:cs="Times New Roman"/>
          <w:sz w:val="24"/>
          <w:szCs w:val="24"/>
          <w:lang w:val="en-GB"/>
        </w:rPr>
        <w:t xml:space="preserve">, </w:t>
      </w:r>
      <w:hyperlink w:anchor="TenHave" w:history="1">
        <w:r>
          <w:rPr>
            <w:rStyle w:val="Hyperlink"/>
            <w:rFonts w:ascii="Times New Roman" w:hAnsi="Times New Roman" w:cs="Times New Roman"/>
            <w:sz w:val="24"/>
            <w:szCs w:val="24"/>
            <w:lang w:val="en-GB"/>
          </w:rPr>
          <w:t>2</w:t>
        </w:r>
      </w:hyperlink>
      <w:r>
        <w:rPr>
          <w:rFonts w:ascii="Times New Roman" w:hAnsi="Times New Roman" w:cs="Times New Roman"/>
          <w:sz w:val="24"/>
          <w:szCs w:val="24"/>
          <w:lang w:val="en-GB"/>
        </w:rPr>
        <w:t xml:space="preserve">, </w:t>
      </w:r>
      <w:hyperlink w:anchor="Weyers" w:history="1">
        <w:r>
          <w:rPr>
            <w:rStyle w:val="Hyperlink"/>
            <w:rFonts w:ascii="Times New Roman" w:hAnsi="Times New Roman" w:cs="Times New Roman"/>
            <w:sz w:val="24"/>
            <w:szCs w:val="24"/>
            <w:lang w:val="en-GB"/>
          </w:rPr>
          <w:t>3</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gradually arose from a fading taboo of death and dying, as well as a critical stance towards medicine’s technological power during the 1960s in Dutch society. An increased openness to dying fitted a Dutch society which, at the time, was secularising rapidly and which, in general, had strong feelings regarding the value of candour</w:t>
      </w:r>
      <w:r>
        <w:rPr>
          <w:rFonts w:ascii="Times New Roman" w:hAnsi="Times New Roman" w:cs="Times New Roman"/>
          <w:sz w:val="24"/>
          <w:szCs w:val="24"/>
          <w:lang w:val="en-GB"/>
        </w:rPr>
        <w:t xml:space="preserve"> [</w:t>
      </w:r>
      <w:hyperlink w:anchor="Weyers" w:history="1">
        <w:r>
          <w:rPr>
            <w:rStyle w:val="Hyperlink"/>
            <w:rFonts w:ascii="Times New Roman" w:hAnsi="Times New Roman" w:cs="Times New Roman"/>
            <w:sz w:val="24"/>
            <w:szCs w:val="24"/>
            <w:lang w:val="en-GB"/>
          </w:rPr>
          <w:t>3</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It was the book of JH van den Berg, ‘Medical Power and Medical Ethics’ (1969, translated in 1978), that expressed a growing discomfort with physicians unsparingly applying medical technology to continue their patients’ lives</w:t>
      </w:r>
      <w:r>
        <w:rPr>
          <w:rFonts w:ascii="Times New Roman" w:hAnsi="Times New Roman" w:cs="Times New Roman"/>
          <w:sz w:val="24"/>
          <w:szCs w:val="24"/>
          <w:lang w:val="en-GB"/>
        </w:rPr>
        <w:t xml:space="preserve"> [</w:t>
      </w:r>
      <w:hyperlink w:anchor="Gordijn" w:history="1">
        <w:r>
          <w:rPr>
            <w:rStyle w:val="Hyperlink"/>
            <w:rFonts w:ascii="Times New Roman" w:hAnsi="Times New Roman" w:cs="Times New Roman"/>
            <w:sz w:val="24"/>
            <w:szCs w:val="24"/>
            <w:lang w:val="en-GB"/>
          </w:rPr>
          <w:t>1</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A patient’s life was still seen as valuable, but the medical interventions were subjected to the criterion of medical futility. Patients should obtain a bigger role in decision making, which is more concerned with their quality of life. Not only discussions about refraining from action arose, but also about the double effect that normal medical care can have when pain relief has the unintended side-effect of shortening life</w:t>
      </w:r>
      <w:r>
        <w:rPr>
          <w:rFonts w:ascii="Times New Roman" w:hAnsi="Times New Roman" w:cs="Times New Roman"/>
          <w:sz w:val="24"/>
          <w:szCs w:val="24"/>
          <w:lang w:val="en-GB"/>
        </w:rPr>
        <w:t xml:space="preserve"> [</w:t>
      </w:r>
      <w:hyperlink w:anchor="GordijnJanssens2000" w:history="1">
        <w:r>
          <w:rPr>
            <w:rStyle w:val="Hyperlink"/>
            <w:rFonts w:ascii="Times New Roman" w:hAnsi="Times New Roman" w:cs="Times New Roman"/>
            <w:sz w:val="24"/>
            <w:szCs w:val="24"/>
            <w:lang w:val="en-GB"/>
          </w:rPr>
          <w:t>4</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w:t>
      </w:r>
    </w:p>
    <w:p w:rsidR="008F6AAB" w:rsidRPr="00270D07" w:rsidRDefault="008F6AAB" w:rsidP="008F6AAB">
      <w:pPr>
        <w:spacing w:line="480" w:lineRule="auto"/>
        <w:ind w:firstLine="708"/>
        <w:rPr>
          <w:rFonts w:ascii="Times New Roman" w:hAnsi="Times New Roman" w:cs="Times New Roman"/>
          <w:sz w:val="24"/>
          <w:szCs w:val="24"/>
          <w:lang w:val="en-GB"/>
        </w:rPr>
      </w:pPr>
      <w:r w:rsidRPr="00270D07">
        <w:rPr>
          <w:rFonts w:ascii="Times New Roman" w:hAnsi="Times New Roman" w:cs="Times New Roman"/>
          <w:sz w:val="24"/>
          <w:szCs w:val="24"/>
          <w:lang w:val="en-GB"/>
        </w:rPr>
        <w:t>The 1970s produced a sample of exemplary law cases in which termination of life on request was discussed in court. The then committee of Procurators-General aimed to test the boundaries of the law and build a national prosecutorial policy</w:t>
      </w:r>
      <w:r>
        <w:rPr>
          <w:rFonts w:ascii="Times New Roman" w:hAnsi="Times New Roman" w:cs="Times New Roman"/>
          <w:sz w:val="24"/>
          <w:szCs w:val="24"/>
          <w:lang w:val="en-GB"/>
        </w:rPr>
        <w:t xml:space="preserve"> [</w:t>
      </w:r>
      <w:hyperlink w:anchor="Weyers" w:history="1">
        <w:r>
          <w:rPr>
            <w:rStyle w:val="Hyperlink"/>
            <w:rFonts w:ascii="Times New Roman" w:hAnsi="Times New Roman" w:cs="Times New Roman"/>
            <w:sz w:val="24"/>
            <w:szCs w:val="24"/>
            <w:lang w:val="en-GB"/>
          </w:rPr>
          <w:t>3</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At the same time, civil society joined the Dutch Society to support a Voluntary End-of-Life initiative. From these societal discussions emerged the conflict of duties (the </w:t>
      </w:r>
      <w:r w:rsidRPr="00270D07">
        <w:rPr>
          <w:rFonts w:ascii="Times New Roman" w:hAnsi="Times New Roman" w:cs="Times New Roman"/>
          <w:i/>
          <w:sz w:val="24"/>
          <w:szCs w:val="24"/>
          <w:lang w:val="en-GB"/>
        </w:rPr>
        <w:t>Force Majeure</w:t>
      </w:r>
      <w:r w:rsidRPr="00270D07">
        <w:rPr>
          <w:rFonts w:ascii="Times New Roman" w:hAnsi="Times New Roman" w:cs="Times New Roman"/>
          <w:sz w:val="24"/>
          <w:szCs w:val="24"/>
          <w:lang w:val="en-GB"/>
        </w:rPr>
        <w:t>) that was experienced by physicians: they have the duty to relieve the patient’s intolerable suffering, but, at the same time, must protect their lives</w:t>
      </w:r>
      <w:r>
        <w:rPr>
          <w:rFonts w:ascii="Times New Roman" w:hAnsi="Times New Roman" w:cs="Times New Roman"/>
          <w:sz w:val="24"/>
          <w:szCs w:val="24"/>
          <w:lang w:val="en-GB"/>
        </w:rPr>
        <w:t xml:space="preserve"> [</w:t>
      </w:r>
      <w:hyperlink w:anchor="Gordijn" w:history="1">
        <w:r>
          <w:rPr>
            <w:rStyle w:val="Hyperlink"/>
            <w:rFonts w:ascii="Times New Roman" w:hAnsi="Times New Roman" w:cs="Times New Roman"/>
            <w:sz w:val="24"/>
            <w:szCs w:val="24"/>
            <w:lang w:val="en-GB"/>
          </w:rPr>
          <w:t>1</w:t>
        </w:r>
      </w:hyperlink>
      <w:r>
        <w:rPr>
          <w:rFonts w:ascii="Times New Roman" w:hAnsi="Times New Roman" w:cs="Times New Roman"/>
          <w:sz w:val="24"/>
          <w:szCs w:val="24"/>
          <w:lang w:val="en-GB"/>
        </w:rPr>
        <w:t xml:space="preserve">, </w:t>
      </w:r>
      <w:hyperlink w:anchor="vanWijngaarden" w:history="1">
        <w:r>
          <w:rPr>
            <w:rStyle w:val="Hyperlink"/>
            <w:rFonts w:ascii="Times New Roman" w:hAnsi="Times New Roman" w:cs="Times New Roman"/>
            <w:sz w:val="24"/>
            <w:szCs w:val="24"/>
            <w:lang w:val="en-GB"/>
          </w:rPr>
          <w:t>5</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The Dutch Medical Association, at that time, stated that physicians could be trusted to work carefully in cases of intolerable suffering and produced a professional standard on terminating life on request</w:t>
      </w:r>
      <w:r>
        <w:rPr>
          <w:rFonts w:ascii="Times New Roman" w:hAnsi="Times New Roman" w:cs="Times New Roman"/>
          <w:sz w:val="24"/>
          <w:szCs w:val="24"/>
          <w:lang w:val="en-GB"/>
        </w:rPr>
        <w:t xml:space="preserve"> [</w:t>
      </w:r>
      <w:hyperlink w:anchor="Weyers" w:history="1">
        <w:r>
          <w:rPr>
            <w:rStyle w:val="Hyperlink"/>
            <w:rFonts w:ascii="Times New Roman" w:hAnsi="Times New Roman" w:cs="Times New Roman"/>
            <w:sz w:val="24"/>
            <w:szCs w:val="24"/>
            <w:lang w:val="en-GB"/>
          </w:rPr>
          <w:t>3</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All this, along with solid research on the practice of terminating life on request formed the basis </w:t>
      </w:r>
      <w:r>
        <w:rPr>
          <w:rFonts w:ascii="Times New Roman" w:hAnsi="Times New Roman" w:cs="Times New Roman"/>
          <w:sz w:val="24"/>
          <w:szCs w:val="24"/>
          <w:lang w:val="en-GB"/>
        </w:rPr>
        <w:t>of</w:t>
      </w:r>
      <w:r w:rsidRPr="00270D07">
        <w:rPr>
          <w:rFonts w:ascii="Times New Roman" w:hAnsi="Times New Roman" w:cs="Times New Roman"/>
          <w:sz w:val="24"/>
          <w:szCs w:val="24"/>
          <w:lang w:val="en-GB"/>
        </w:rPr>
        <w:t xml:space="preserve"> a gradual </w:t>
      </w:r>
      <w:r w:rsidRPr="00270D07">
        <w:rPr>
          <w:rFonts w:ascii="Times New Roman" w:hAnsi="Times New Roman" w:cs="Times New Roman"/>
          <w:sz w:val="24"/>
          <w:szCs w:val="24"/>
          <w:lang w:val="en-GB"/>
        </w:rPr>
        <w:lastRenderedPageBreak/>
        <w:t>transformation from a pragmatic tolerance of euthanasia into a legally codified practice</w:t>
      </w:r>
      <w:r>
        <w:rPr>
          <w:rFonts w:ascii="Times New Roman" w:hAnsi="Times New Roman" w:cs="Times New Roman"/>
          <w:sz w:val="24"/>
          <w:szCs w:val="24"/>
          <w:lang w:val="en-GB"/>
        </w:rPr>
        <w:t xml:space="preserve"> [</w:t>
      </w:r>
      <w:hyperlink w:anchor="Gordijn" w:history="1">
        <w:r>
          <w:rPr>
            <w:rStyle w:val="Hyperlink"/>
            <w:rFonts w:ascii="Times New Roman" w:hAnsi="Times New Roman" w:cs="Times New Roman"/>
            <w:sz w:val="24"/>
            <w:szCs w:val="24"/>
            <w:lang w:val="en-GB"/>
          </w:rPr>
          <w:t>1</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The latter was finally issued in 2002. </w:t>
      </w:r>
    </w:p>
    <w:p w:rsidR="008F6AAB" w:rsidRDefault="008F6AAB" w:rsidP="008F6AAB">
      <w:pPr>
        <w:spacing w:line="480" w:lineRule="auto"/>
        <w:ind w:firstLine="708"/>
        <w:rPr>
          <w:rFonts w:ascii="Times New Roman" w:hAnsi="Times New Roman" w:cs="Times New Roman"/>
          <w:sz w:val="24"/>
          <w:szCs w:val="24"/>
          <w:lang w:val="en-GB"/>
        </w:rPr>
      </w:pPr>
      <w:r w:rsidRPr="00270D07">
        <w:rPr>
          <w:rFonts w:ascii="Times New Roman" w:hAnsi="Times New Roman" w:cs="Times New Roman"/>
          <w:sz w:val="24"/>
          <w:szCs w:val="24"/>
          <w:lang w:val="en-GB"/>
        </w:rPr>
        <w:t>From 1975, palliative care slowly gained ground in the Netherlands, with noticeable initiatives in nursing homes and, from the 1990s, in specialised hospices</w:t>
      </w:r>
      <w:r>
        <w:rPr>
          <w:rFonts w:ascii="Times New Roman" w:hAnsi="Times New Roman" w:cs="Times New Roman"/>
          <w:sz w:val="24"/>
          <w:szCs w:val="24"/>
          <w:lang w:val="en-GB"/>
        </w:rPr>
        <w:t xml:space="preserve"> [</w:t>
      </w:r>
      <w:hyperlink w:anchor="GordijnJanssens2004" w:history="1">
        <w:r>
          <w:rPr>
            <w:rStyle w:val="Hyperlink"/>
            <w:rFonts w:ascii="Times New Roman" w:hAnsi="Times New Roman" w:cs="Times New Roman"/>
            <w:sz w:val="24"/>
            <w:szCs w:val="24"/>
            <w:lang w:val="en-GB"/>
          </w:rPr>
          <w:t>6</w:t>
        </w:r>
      </w:hyperlink>
      <w:r>
        <w:rPr>
          <w:rFonts w:ascii="Times New Roman" w:hAnsi="Times New Roman" w:cs="Times New Roman"/>
          <w:sz w:val="24"/>
          <w:szCs w:val="24"/>
          <w:lang w:val="en-GB"/>
        </w:rPr>
        <w:t xml:space="preserve">, </w:t>
      </w:r>
      <w:hyperlink w:anchor="Janssens" w:history="1">
        <w:r>
          <w:rPr>
            <w:rStyle w:val="Hyperlink"/>
            <w:rFonts w:ascii="Times New Roman" w:hAnsi="Times New Roman" w:cs="Times New Roman"/>
            <w:sz w:val="24"/>
            <w:szCs w:val="24"/>
            <w:lang w:val="en-GB"/>
          </w:rPr>
          <w:t>7</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In contrast to other national networks, the Dutch network palliative care for terminal patients included euthanasia in the practice of palliative care</w:t>
      </w:r>
      <w:r>
        <w:rPr>
          <w:rFonts w:ascii="Times New Roman" w:hAnsi="Times New Roman" w:cs="Times New Roman"/>
          <w:sz w:val="24"/>
          <w:szCs w:val="24"/>
          <w:lang w:val="en-GB"/>
        </w:rPr>
        <w:t xml:space="preserve"> [</w:t>
      </w:r>
      <w:hyperlink w:anchor="GordijnJanssens2000" w:history="1">
        <w:r>
          <w:rPr>
            <w:rStyle w:val="Hyperlink"/>
            <w:rFonts w:ascii="Times New Roman" w:hAnsi="Times New Roman" w:cs="Times New Roman"/>
            <w:sz w:val="24"/>
            <w:szCs w:val="24"/>
            <w:lang w:val="en-GB"/>
          </w:rPr>
          <w:t>4</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Euthanasia has always been considered as a potentially worthy end whilst receiving palliative care, but </w:t>
      </w:r>
      <w:r>
        <w:rPr>
          <w:rFonts w:ascii="Times New Roman" w:hAnsi="Times New Roman" w:cs="Times New Roman"/>
          <w:sz w:val="24"/>
          <w:szCs w:val="24"/>
          <w:lang w:val="en-GB"/>
        </w:rPr>
        <w:t>high-standard palliative care has equally been considered</w:t>
      </w:r>
      <w:r w:rsidRPr="00270D07">
        <w:rPr>
          <w:rFonts w:ascii="Times New Roman" w:hAnsi="Times New Roman" w:cs="Times New Roman"/>
          <w:sz w:val="24"/>
          <w:szCs w:val="24"/>
          <w:lang w:val="en-GB"/>
        </w:rPr>
        <w:t xml:space="preserve"> a necessary precondition for a euthanasia practice that was not caused by insufficient and</w:t>
      </w:r>
      <w:r>
        <w:rPr>
          <w:rFonts w:ascii="Times New Roman" w:hAnsi="Times New Roman" w:cs="Times New Roman"/>
          <w:sz w:val="24"/>
          <w:szCs w:val="24"/>
          <w:lang w:val="en-GB"/>
        </w:rPr>
        <w:t>/or</w:t>
      </w:r>
      <w:r w:rsidRPr="00270D07">
        <w:rPr>
          <w:rFonts w:ascii="Times New Roman" w:hAnsi="Times New Roman" w:cs="Times New Roman"/>
          <w:sz w:val="24"/>
          <w:szCs w:val="24"/>
          <w:lang w:val="en-GB"/>
        </w:rPr>
        <w:t xml:space="preserve"> inadequate care</w:t>
      </w:r>
      <w:r>
        <w:rPr>
          <w:rFonts w:ascii="Times New Roman" w:hAnsi="Times New Roman" w:cs="Times New Roman"/>
          <w:sz w:val="24"/>
          <w:szCs w:val="24"/>
          <w:lang w:val="en-GB"/>
        </w:rPr>
        <w:t xml:space="preserve"> [</w:t>
      </w:r>
      <w:hyperlink w:anchor="Gordijn" w:history="1">
        <w:r>
          <w:rPr>
            <w:rStyle w:val="Hyperlink"/>
            <w:rFonts w:ascii="Times New Roman" w:hAnsi="Times New Roman" w:cs="Times New Roman"/>
            <w:sz w:val="24"/>
            <w:szCs w:val="24"/>
            <w:lang w:val="en-GB"/>
          </w:rPr>
          <w:t>1</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xml:space="preserve">. With substantial financial impulses from the government in 1996 and 2014, Dutch palliative care rapidly professionalised. </w:t>
      </w:r>
    </w:p>
    <w:p w:rsidR="008F6AAB" w:rsidRDefault="008F6AAB" w:rsidP="008F6AAB">
      <w:pPr>
        <w:spacing w:line="480" w:lineRule="auto"/>
        <w:ind w:firstLine="708"/>
        <w:rPr>
          <w:rFonts w:ascii="Times New Roman" w:hAnsi="Times New Roman" w:cs="Times New Roman"/>
          <w:sz w:val="24"/>
          <w:szCs w:val="24"/>
          <w:lang w:val="en-GB"/>
        </w:rPr>
      </w:pPr>
      <w:r w:rsidRPr="00270D07">
        <w:rPr>
          <w:rFonts w:ascii="Times New Roman" w:hAnsi="Times New Roman" w:cs="Times New Roman"/>
          <w:sz w:val="24"/>
          <w:szCs w:val="24"/>
          <w:lang w:val="en-GB"/>
        </w:rPr>
        <w:t xml:space="preserve">Almost two decades after legislation, and with a professionalised euthanasia and palliative care practice at hand, </w:t>
      </w:r>
      <w:r>
        <w:rPr>
          <w:rFonts w:ascii="Times New Roman" w:hAnsi="Times New Roman" w:cs="Times New Roman"/>
          <w:sz w:val="24"/>
          <w:szCs w:val="24"/>
          <w:lang w:val="en-GB"/>
        </w:rPr>
        <w:t>the</w:t>
      </w:r>
      <w:r w:rsidRPr="00270D07">
        <w:rPr>
          <w:rFonts w:ascii="Times New Roman" w:hAnsi="Times New Roman" w:cs="Times New Roman"/>
          <w:sz w:val="24"/>
          <w:szCs w:val="24"/>
          <w:lang w:val="en-GB"/>
        </w:rPr>
        <w:t xml:space="preserve"> Dutch society is still confronted with a few heavily debated issues. With the euthanasia practice originally being built on beneficence and compassion of physicians, there is a slow but steady shift towards autonomy and self-determination being the most important values</w:t>
      </w:r>
      <w:r>
        <w:rPr>
          <w:rFonts w:ascii="Times New Roman" w:hAnsi="Times New Roman" w:cs="Times New Roman"/>
          <w:sz w:val="24"/>
          <w:szCs w:val="24"/>
          <w:lang w:val="en-GB"/>
        </w:rPr>
        <w:t xml:space="preserve"> [</w:t>
      </w:r>
      <w:hyperlink w:anchor="vanWijngaarden" w:history="1">
        <w:r>
          <w:rPr>
            <w:rStyle w:val="Hyperlink"/>
            <w:rFonts w:ascii="Times New Roman" w:hAnsi="Times New Roman" w:cs="Times New Roman"/>
            <w:sz w:val="24"/>
            <w:szCs w:val="24"/>
            <w:lang w:val="en-GB"/>
          </w:rPr>
          <w:t>8</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This means that citizens increasingly claim the right to decide where and when they want to die. This resulted in a civil ‘Death with Dignity’ movement (the association “By Free Will”) which advocates for physician-assisted death for people over 70 years old who do not have a disease, but feel that ‘life is completed and no longer worth living’</w:t>
      </w:r>
      <w:r>
        <w:rPr>
          <w:rFonts w:ascii="Times New Roman" w:hAnsi="Times New Roman" w:cs="Times New Roman"/>
          <w:sz w:val="24"/>
          <w:szCs w:val="24"/>
          <w:lang w:val="en-GB"/>
        </w:rPr>
        <w:t xml:space="preserve"> [</w:t>
      </w:r>
      <w:hyperlink w:anchor="vanWijngaarden2015" w:history="1">
        <w:r>
          <w:rPr>
            <w:rStyle w:val="Hyperlink"/>
            <w:rFonts w:ascii="Times New Roman" w:hAnsi="Times New Roman" w:cs="Times New Roman"/>
            <w:sz w:val="24"/>
            <w:szCs w:val="24"/>
            <w:lang w:val="en-GB"/>
          </w:rPr>
          <w:t>8</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As these elderly do not have a disease this issue lies beyond the euthanasia law, but the societal discussion however is closely related. What lies within the boundaries of the law is the discussion on the issue of (in)voluntariness, advanced directives, and euthanasia in dementia care</w:t>
      </w:r>
      <w:r>
        <w:rPr>
          <w:rFonts w:ascii="Times New Roman" w:hAnsi="Times New Roman" w:cs="Times New Roman"/>
          <w:sz w:val="24"/>
          <w:szCs w:val="24"/>
          <w:lang w:val="en-GB"/>
        </w:rPr>
        <w:t xml:space="preserve"> [</w:t>
      </w:r>
      <w:hyperlink w:anchor="deBeaufort" w:history="1">
        <w:r>
          <w:rPr>
            <w:rStyle w:val="Hyperlink"/>
            <w:rFonts w:ascii="Times New Roman" w:hAnsi="Times New Roman" w:cs="Times New Roman"/>
            <w:sz w:val="24"/>
            <w:szCs w:val="24"/>
            <w:lang w:val="en-GB"/>
          </w:rPr>
          <w:t>9</w:t>
        </w:r>
      </w:hyperlink>
      <w:r>
        <w:rPr>
          <w:rFonts w:ascii="Times New Roman" w:hAnsi="Times New Roman" w:cs="Times New Roman"/>
          <w:sz w:val="24"/>
          <w:szCs w:val="24"/>
          <w:lang w:val="en-GB"/>
        </w:rPr>
        <w:t xml:space="preserve">, </w:t>
      </w:r>
      <w:hyperlink w:anchor="Miller" w:history="1">
        <w:r>
          <w:rPr>
            <w:rStyle w:val="Hyperlink"/>
            <w:rFonts w:ascii="Times New Roman" w:hAnsi="Times New Roman" w:cs="Times New Roman"/>
            <w:sz w:val="24"/>
            <w:szCs w:val="24"/>
            <w:lang w:val="en-GB"/>
          </w:rPr>
          <w:t>10</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t>, and the continuing discussion on the notion of ‘unbearable suffering’ that is central to the law</w:t>
      </w:r>
      <w:r>
        <w:rPr>
          <w:rFonts w:ascii="Times New Roman" w:hAnsi="Times New Roman" w:cs="Times New Roman"/>
          <w:sz w:val="24"/>
          <w:szCs w:val="24"/>
          <w:lang w:val="en-GB"/>
        </w:rPr>
        <w:t xml:space="preserve"> [</w:t>
      </w:r>
      <w:hyperlink w:anchor="Dees" w:history="1">
        <w:r>
          <w:rPr>
            <w:rStyle w:val="Hyperlink"/>
            <w:rFonts w:ascii="Times New Roman" w:hAnsi="Times New Roman" w:cs="Times New Roman"/>
            <w:sz w:val="24"/>
            <w:szCs w:val="24"/>
            <w:lang w:val="en-GB"/>
          </w:rPr>
          <w:t>11</w:t>
        </w:r>
      </w:hyperlink>
      <w:r>
        <w:rPr>
          <w:rFonts w:ascii="Times New Roman" w:hAnsi="Times New Roman" w:cs="Times New Roman"/>
          <w:sz w:val="24"/>
          <w:szCs w:val="24"/>
          <w:lang w:val="en-GB"/>
        </w:rPr>
        <w:t>]</w:t>
      </w:r>
      <w:r w:rsidRPr="00270D07">
        <w:rPr>
          <w:rFonts w:ascii="Times New Roman" w:hAnsi="Times New Roman" w:cs="Times New Roman"/>
          <w:sz w:val="24"/>
          <w:szCs w:val="24"/>
          <w:lang w:val="en-GB"/>
        </w:rPr>
        <w:fldChar w:fldCharType="begin"/>
      </w:r>
      <w:r w:rsidRPr="00270D07">
        <w:rPr>
          <w:rFonts w:ascii="Times New Roman" w:hAnsi="Times New Roman" w:cs="Times New Roman"/>
          <w:sz w:val="24"/>
          <w:szCs w:val="24"/>
          <w:lang w:val="en-GB"/>
        </w:rPr>
        <w:instrText xml:space="preserve"> ADDIN EN.CITE &lt;EndNote&gt;&lt;Cite&gt;&lt;Author&gt;Dees&lt;/Author&gt;&lt;Year&gt;2011&lt;/Year&gt;&lt;RecNum&gt;103&lt;/RecNum&gt;&lt;DisplayText&gt;(Dees, Vernooij-Dassen, Dekkers, Vissers, &amp;amp; van Weel, 2011)&lt;/DisplayText&gt;&lt;record&gt;&lt;rec-number&gt;103&lt;/rec-number&gt;&lt;foreign-keys&gt;&lt;key app="EN" db-id="sdxasxdf3stpsuetxfzptv5aedr9299adfxd" timestamp="1575978383"&gt;103&lt;/key&gt;&lt;/foreign-keys&gt;&lt;ref-type name="Journal Article"&gt;17&lt;/ref-type&gt;&lt;contributors&gt;&lt;authors&gt;&lt;author&gt;Dees, M. K.&lt;/author&gt;&lt;author&gt;Vernooij-Dassen, M. J.&lt;/author&gt;&lt;author&gt;Dekkers, W. J.&lt;/author&gt;&lt;author&gt;Vissers, K. C.&lt;/author&gt;&lt;author&gt;van Weel, C.&lt;/author&gt;&lt;/authors&gt;&lt;/contributors&gt;&lt;auth-address&gt;Radboud Univ Nijmegen, Med Ctr, Dept Primary &amp;amp; Community Care, Sci Inst Qual Healthcare, NL-6500 HB Nijmegen, Netherlands&amp;#xD;Radboud Univ Nijmegen, Med Ctr, Sect Eth Philosophy &amp;amp; Hist Med, Sci Inst Qual Healthcare, NL-6500 HB Nijmegen, Netherlands&amp;#xD;Radboud Univ Nijmegen, Med Ctr, Dept Anesthesiol Pain &amp;amp; Palliat Med, NL-6500 HB Nijmegen, Netherlands&lt;/auth-address&gt;&lt;titles&gt;&lt;title&gt;&amp;apos;Unbearable suffering&amp;apos;: a qualitative study on the perspectives of patients who request assistance in dying&lt;/title&gt;&lt;secondary-title&gt;Journal of Medical Ethics&lt;/secondary-title&gt;&lt;alt-title&gt;J Med Ethics&lt;/alt-title&gt;&lt;/titles&gt;&lt;alt-periodical&gt;&lt;full-title&gt;J Med Ethics&lt;/full-title&gt;&lt;/alt-periodical&gt;&lt;pages&gt;727-734&lt;/pages&gt;&lt;volume&gt;37&lt;/volume&gt;&lt;number&gt;12&lt;/number&gt;&lt;keywords&gt;&lt;keyword&gt;palliative care&lt;/keyword&gt;&lt;keyword&gt;terminally-ill&lt;/keyword&gt;&lt;keyword&gt;hastened death&lt;/keyword&gt;&lt;keyword&gt;euthanasia&lt;/keyword&gt;&lt;keyword&gt;suicide&lt;/keyword&gt;&lt;keyword&gt;desire&lt;/keyword&gt;&lt;keyword&gt;life&lt;/keyword&gt;&lt;keyword&gt;cancer&lt;/keyword&gt;&lt;keyword&gt;netherlands&lt;/keyword&gt;&lt;keyword&gt;interviews&lt;/keyword&gt;&lt;/keywords&gt;&lt;dates&gt;&lt;year&gt;2011&lt;/year&gt;&lt;pub-dates&gt;&lt;date&gt;Dec&lt;/date&gt;&lt;/pub-dates&gt;&lt;/dates&gt;&lt;isbn&gt;0306-6800&lt;/isbn&gt;&lt;accession-num&gt;WOS:000297313100007&lt;/accession-num&gt;&lt;urls&gt;&lt;related-urls&gt;&lt;url&gt;&amp;lt;Go to ISI&amp;gt;://WOS:000297313100007&lt;/url&gt;&lt;/related-urls&gt;&lt;/urls&gt;&lt;electronic-resource-num&gt;10.1136/jme.2011.045492&lt;/electronic-resource-num&gt;&lt;language&gt;English&lt;/language&gt;&lt;/record&gt;&lt;/Cite&gt;&lt;/EndNote&gt;</w:instrText>
      </w:r>
      <w:r w:rsidRPr="00270D07">
        <w:rPr>
          <w:rFonts w:ascii="Times New Roman" w:hAnsi="Times New Roman" w:cs="Times New Roman"/>
          <w:sz w:val="24"/>
          <w:szCs w:val="24"/>
          <w:lang w:val="en-GB"/>
        </w:rPr>
        <w:fldChar w:fldCharType="end"/>
      </w:r>
      <w:r w:rsidRPr="00270D07">
        <w:rPr>
          <w:rFonts w:ascii="Times New Roman" w:hAnsi="Times New Roman" w:cs="Times New Roman"/>
          <w:sz w:val="24"/>
          <w:szCs w:val="24"/>
          <w:lang w:val="en-GB"/>
        </w:rPr>
        <w:t>.</w:t>
      </w:r>
    </w:p>
    <w:p w:rsidR="008F6AAB" w:rsidRDefault="008F6AAB">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2042D" w:rsidRDefault="008F6AAB" w:rsidP="008F6AAB">
      <w:pPr>
        <w:rPr>
          <w:rFonts w:ascii="Times New Roman" w:hAnsi="Times New Roman" w:cs="Times New Roman"/>
          <w:b/>
          <w:bCs/>
          <w:sz w:val="24"/>
          <w:szCs w:val="24"/>
        </w:rPr>
      </w:pPr>
      <w:proofErr w:type="spellStart"/>
      <w:r w:rsidRPr="008F6AAB">
        <w:rPr>
          <w:rFonts w:ascii="Times New Roman" w:hAnsi="Times New Roman" w:cs="Times New Roman"/>
          <w:b/>
          <w:bCs/>
          <w:sz w:val="24"/>
          <w:szCs w:val="24"/>
        </w:rPr>
        <w:lastRenderedPageBreak/>
        <w:t>References</w:t>
      </w:r>
      <w:proofErr w:type="spellEnd"/>
    </w:p>
    <w:p w:rsidR="008F6AAB" w:rsidRPr="008F6AAB" w:rsidRDefault="008F6AAB" w:rsidP="008F6AAB">
      <w:pPr>
        <w:rPr>
          <w:rFonts w:ascii="Times New Roman" w:hAnsi="Times New Roman" w:cs="Times New Roman"/>
          <w:b/>
          <w:bCs/>
          <w:sz w:val="24"/>
          <w:szCs w:val="24"/>
        </w:rPr>
      </w:pP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proofErr w:type="spellStart"/>
      <w:r w:rsidRPr="00943D89">
        <w:rPr>
          <w:rFonts w:ascii="Times New Roman" w:eastAsia="Calibri" w:hAnsi="Times New Roman" w:cs="Times New Roman"/>
          <w:sz w:val="24"/>
          <w:szCs w:val="24"/>
          <w:lang w:val="en-US"/>
        </w:rPr>
        <w:t>Gordijn</w:t>
      </w:r>
      <w:proofErr w:type="spellEnd"/>
      <w:r w:rsidRPr="00943D89">
        <w:rPr>
          <w:rFonts w:ascii="Times New Roman" w:eastAsia="Calibri" w:hAnsi="Times New Roman" w:cs="Times New Roman"/>
          <w:sz w:val="24"/>
          <w:szCs w:val="24"/>
          <w:lang w:val="en-US"/>
        </w:rPr>
        <w:t xml:space="preserve"> B, Visser A. Issues in Dutch palliative care: Readjusting a distorted image. Patient Educ </w:t>
      </w:r>
      <w:proofErr w:type="spellStart"/>
      <w:r w:rsidRPr="00943D89">
        <w:rPr>
          <w:rFonts w:ascii="Times New Roman" w:eastAsia="Calibri" w:hAnsi="Times New Roman" w:cs="Times New Roman"/>
          <w:sz w:val="24"/>
          <w:szCs w:val="24"/>
          <w:lang w:val="en-US"/>
        </w:rPr>
        <w:t>Couns</w:t>
      </w:r>
      <w:proofErr w:type="spellEnd"/>
      <w:r w:rsidRPr="00943D89">
        <w:rPr>
          <w:rFonts w:ascii="Times New Roman" w:eastAsia="Calibri" w:hAnsi="Times New Roman" w:cs="Times New Roman"/>
          <w:sz w:val="24"/>
          <w:szCs w:val="24"/>
          <w:lang w:val="en-US"/>
        </w:rPr>
        <w:t>. 2000;41(1):1-5. doi:10.1016/s0738-3991(00)00123-3</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lang w:val="en-US"/>
        </w:rPr>
        <w:t xml:space="preserve">Ten Have J, </w:t>
      </w:r>
      <w:proofErr w:type="spellStart"/>
      <w:r w:rsidRPr="00943D89">
        <w:rPr>
          <w:rFonts w:ascii="Times New Roman" w:eastAsia="Calibri" w:hAnsi="Times New Roman" w:cs="Times New Roman"/>
          <w:sz w:val="24"/>
          <w:szCs w:val="24"/>
          <w:lang w:val="en-US"/>
        </w:rPr>
        <w:t>Welie</w:t>
      </w:r>
      <w:proofErr w:type="spellEnd"/>
      <w:r w:rsidRPr="00943D89">
        <w:rPr>
          <w:rFonts w:ascii="Times New Roman" w:eastAsia="Calibri" w:hAnsi="Times New Roman" w:cs="Times New Roman"/>
          <w:sz w:val="24"/>
          <w:szCs w:val="24"/>
          <w:lang w:val="en-US"/>
        </w:rPr>
        <w:t xml:space="preserve"> J. Death and medical power: an ethical analysis of Dutch euthanasia practice. Maidenhead: Open University Press; 2005.</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lang w:val="en-US"/>
        </w:rPr>
        <w:t xml:space="preserve">Weyers H. Explaining the emergence of euthanasia law in the Netherlands: How the sociology of law can help the sociology of bioethics. </w:t>
      </w:r>
      <w:proofErr w:type="spellStart"/>
      <w:r w:rsidRPr="00943D89">
        <w:rPr>
          <w:rFonts w:ascii="Times New Roman" w:eastAsia="Calibri" w:hAnsi="Times New Roman" w:cs="Times New Roman"/>
          <w:sz w:val="24"/>
          <w:szCs w:val="24"/>
          <w:lang w:val="en-US"/>
        </w:rPr>
        <w:t>Sociol</w:t>
      </w:r>
      <w:proofErr w:type="spellEnd"/>
      <w:r w:rsidRPr="00943D89">
        <w:rPr>
          <w:rFonts w:ascii="Times New Roman" w:eastAsia="Calibri" w:hAnsi="Times New Roman" w:cs="Times New Roman"/>
          <w:sz w:val="24"/>
          <w:szCs w:val="24"/>
          <w:lang w:val="en-US"/>
        </w:rPr>
        <w:t xml:space="preserve"> Health Ill. 2006;28(6):802-816. doi:10.1111/j.1467-9566.2006.00543.x</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proofErr w:type="spellStart"/>
      <w:r w:rsidRPr="00943D89">
        <w:rPr>
          <w:rFonts w:ascii="Times New Roman" w:eastAsia="Calibri" w:hAnsi="Times New Roman" w:cs="Times New Roman"/>
          <w:sz w:val="24"/>
          <w:szCs w:val="24"/>
          <w:lang w:val="en-US"/>
        </w:rPr>
        <w:t>Gordijn</w:t>
      </w:r>
      <w:proofErr w:type="spellEnd"/>
      <w:r w:rsidRPr="00943D89">
        <w:rPr>
          <w:rFonts w:ascii="Times New Roman" w:eastAsia="Calibri" w:hAnsi="Times New Roman" w:cs="Times New Roman"/>
          <w:sz w:val="24"/>
          <w:szCs w:val="24"/>
          <w:lang w:val="en-US"/>
        </w:rPr>
        <w:t xml:space="preserve"> B, Janssens R. The prevention of euthanasia through palliative care: New developments in The Netherlands. Patient Educ </w:t>
      </w:r>
      <w:proofErr w:type="spellStart"/>
      <w:r w:rsidRPr="00943D89">
        <w:rPr>
          <w:rFonts w:ascii="Times New Roman" w:eastAsia="Calibri" w:hAnsi="Times New Roman" w:cs="Times New Roman"/>
          <w:sz w:val="24"/>
          <w:szCs w:val="24"/>
          <w:lang w:val="en-US"/>
        </w:rPr>
        <w:t>Couns</w:t>
      </w:r>
      <w:proofErr w:type="spellEnd"/>
      <w:r w:rsidRPr="00943D89">
        <w:rPr>
          <w:rFonts w:ascii="Times New Roman" w:eastAsia="Calibri" w:hAnsi="Times New Roman" w:cs="Times New Roman"/>
          <w:sz w:val="24"/>
          <w:szCs w:val="24"/>
          <w:lang w:val="en-US"/>
        </w:rPr>
        <w:t>. 2000;41(1):35-46. doi:10.1016/s0738-3991(00)00113-0</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lang w:val="en-US"/>
        </w:rPr>
        <w:t xml:space="preserve">van </w:t>
      </w:r>
      <w:proofErr w:type="spellStart"/>
      <w:r w:rsidRPr="00943D89">
        <w:rPr>
          <w:rFonts w:ascii="Times New Roman" w:eastAsia="Calibri" w:hAnsi="Times New Roman" w:cs="Times New Roman"/>
          <w:sz w:val="24"/>
          <w:szCs w:val="24"/>
          <w:lang w:val="en-US"/>
        </w:rPr>
        <w:t>Wijngaarden</w:t>
      </w:r>
      <w:proofErr w:type="spellEnd"/>
      <w:r w:rsidRPr="00943D89">
        <w:rPr>
          <w:rFonts w:ascii="Times New Roman" w:eastAsia="Calibri" w:hAnsi="Times New Roman" w:cs="Times New Roman"/>
          <w:sz w:val="24"/>
          <w:szCs w:val="24"/>
          <w:lang w:val="en-US"/>
        </w:rPr>
        <w:t xml:space="preserve"> E, Klink A, </w:t>
      </w:r>
      <w:proofErr w:type="spellStart"/>
      <w:r w:rsidRPr="00943D89">
        <w:rPr>
          <w:rFonts w:ascii="Times New Roman" w:eastAsia="Calibri" w:hAnsi="Times New Roman" w:cs="Times New Roman"/>
          <w:sz w:val="24"/>
          <w:szCs w:val="24"/>
          <w:lang w:val="en-US"/>
        </w:rPr>
        <w:t>Leget</w:t>
      </w:r>
      <w:proofErr w:type="spellEnd"/>
      <w:r w:rsidRPr="00943D89">
        <w:rPr>
          <w:rFonts w:ascii="Times New Roman" w:eastAsia="Calibri" w:hAnsi="Times New Roman" w:cs="Times New Roman"/>
          <w:sz w:val="24"/>
          <w:szCs w:val="24"/>
          <w:lang w:val="en-US"/>
        </w:rPr>
        <w:t xml:space="preserve"> C, The AM. Assisted dying for healthy older people: A step too far? BMJ. 2017;357:j2298. </w:t>
      </w:r>
      <w:r w:rsidRPr="00943D89">
        <w:rPr>
          <w:rFonts w:ascii="Times New Roman" w:eastAsia="Calibri" w:hAnsi="Times New Roman" w:cs="Times New Roman"/>
          <w:sz w:val="24"/>
          <w:szCs w:val="24"/>
        </w:rPr>
        <w:t>doi:10.1136/bmj.j2298</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proofErr w:type="spellStart"/>
      <w:r w:rsidRPr="00943D89">
        <w:rPr>
          <w:rFonts w:ascii="Times New Roman" w:eastAsia="Calibri" w:hAnsi="Times New Roman" w:cs="Times New Roman"/>
          <w:sz w:val="24"/>
          <w:szCs w:val="24"/>
          <w:lang w:val="en-US"/>
        </w:rPr>
        <w:t>Gordijn</w:t>
      </w:r>
      <w:proofErr w:type="spellEnd"/>
      <w:r w:rsidRPr="00943D89">
        <w:rPr>
          <w:rFonts w:ascii="Times New Roman" w:eastAsia="Calibri" w:hAnsi="Times New Roman" w:cs="Times New Roman"/>
          <w:sz w:val="24"/>
          <w:szCs w:val="24"/>
          <w:lang w:val="en-US"/>
        </w:rPr>
        <w:t xml:space="preserve"> B, Janssens R. Euthanasia and palliative care in The Netherlands: An analysis of the latest developments. Health Care Anal. 2004;12(3):195-207. doi:10.1023/B:HCAN.0000044926.05523.ef</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rPr>
        <w:t xml:space="preserve">Janssens RJ, ten Have HA. </w:t>
      </w:r>
      <w:r w:rsidRPr="00943D89">
        <w:rPr>
          <w:rFonts w:ascii="Times New Roman" w:eastAsia="Calibri" w:hAnsi="Times New Roman" w:cs="Times New Roman"/>
          <w:sz w:val="24"/>
          <w:szCs w:val="24"/>
          <w:lang w:val="en-US"/>
        </w:rPr>
        <w:t>The concept of palliative care in The Netherlands. Palliative Med. 2001;15(6):481-486. doi:10.1191/026921601682553969</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lang w:val="en-US"/>
        </w:rPr>
        <w:t xml:space="preserve">van </w:t>
      </w:r>
      <w:proofErr w:type="spellStart"/>
      <w:r w:rsidRPr="00943D89">
        <w:rPr>
          <w:rFonts w:ascii="Times New Roman" w:eastAsia="Calibri" w:hAnsi="Times New Roman" w:cs="Times New Roman"/>
          <w:sz w:val="24"/>
          <w:szCs w:val="24"/>
          <w:lang w:val="en-US"/>
        </w:rPr>
        <w:t>Wijngaarden</w:t>
      </w:r>
      <w:proofErr w:type="spellEnd"/>
      <w:r w:rsidRPr="00943D89">
        <w:rPr>
          <w:rFonts w:ascii="Times New Roman" w:eastAsia="Calibri" w:hAnsi="Times New Roman" w:cs="Times New Roman"/>
          <w:sz w:val="24"/>
          <w:szCs w:val="24"/>
          <w:lang w:val="en-US"/>
        </w:rPr>
        <w:t xml:space="preserve"> E, </w:t>
      </w:r>
      <w:proofErr w:type="spellStart"/>
      <w:r w:rsidRPr="00943D89">
        <w:rPr>
          <w:rFonts w:ascii="Times New Roman" w:eastAsia="Calibri" w:hAnsi="Times New Roman" w:cs="Times New Roman"/>
          <w:sz w:val="24"/>
          <w:szCs w:val="24"/>
          <w:lang w:val="en-US"/>
        </w:rPr>
        <w:t>Leget</w:t>
      </w:r>
      <w:proofErr w:type="spellEnd"/>
      <w:r w:rsidRPr="00943D89">
        <w:rPr>
          <w:rFonts w:ascii="Times New Roman" w:eastAsia="Calibri" w:hAnsi="Times New Roman" w:cs="Times New Roman"/>
          <w:sz w:val="24"/>
          <w:szCs w:val="24"/>
          <w:lang w:val="en-US"/>
        </w:rPr>
        <w:t xml:space="preserve"> C, </w:t>
      </w:r>
      <w:proofErr w:type="spellStart"/>
      <w:r w:rsidRPr="00943D89">
        <w:rPr>
          <w:rFonts w:ascii="Times New Roman" w:eastAsia="Calibri" w:hAnsi="Times New Roman" w:cs="Times New Roman"/>
          <w:sz w:val="24"/>
          <w:szCs w:val="24"/>
          <w:lang w:val="en-US"/>
        </w:rPr>
        <w:t>Goossensen</w:t>
      </w:r>
      <w:proofErr w:type="spellEnd"/>
      <w:r w:rsidRPr="00943D89">
        <w:rPr>
          <w:rFonts w:ascii="Times New Roman" w:eastAsia="Calibri" w:hAnsi="Times New Roman" w:cs="Times New Roman"/>
          <w:sz w:val="24"/>
          <w:szCs w:val="24"/>
          <w:lang w:val="en-US"/>
        </w:rPr>
        <w:t xml:space="preserve"> A. Ready to give up on life: The lived experience of elderly people who feel life is completed and no longer worth living. Soc Sci Med. 2015;138:257-264. doi:10.1016/j.socscimed.2015.05.015</w:t>
      </w:r>
    </w:p>
    <w:p w:rsidR="008F6AAB" w:rsidRPr="00943D89"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bookmarkStart w:id="2" w:name="deBeaufort"/>
      <w:r w:rsidRPr="00943D89">
        <w:rPr>
          <w:rFonts w:ascii="Times New Roman" w:eastAsia="Calibri" w:hAnsi="Times New Roman" w:cs="Times New Roman"/>
          <w:sz w:val="24"/>
          <w:szCs w:val="24"/>
          <w:lang w:val="en-US"/>
        </w:rPr>
        <w:t xml:space="preserve">de Beaufort ID, van de </w:t>
      </w:r>
      <w:proofErr w:type="spellStart"/>
      <w:r w:rsidRPr="00943D89">
        <w:rPr>
          <w:rFonts w:ascii="Times New Roman" w:eastAsia="Calibri" w:hAnsi="Times New Roman" w:cs="Times New Roman"/>
          <w:sz w:val="24"/>
          <w:szCs w:val="24"/>
          <w:lang w:val="en-US"/>
        </w:rPr>
        <w:t>Vathorst</w:t>
      </w:r>
      <w:proofErr w:type="spellEnd"/>
      <w:r w:rsidRPr="00943D89">
        <w:rPr>
          <w:rFonts w:ascii="Times New Roman" w:eastAsia="Calibri" w:hAnsi="Times New Roman" w:cs="Times New Roman"/>
          <w:sz w:val="24"/>
          <w:szCs w:val="24"/>
          <w:lang w:val="en-US"/>
        </w:rPr>
        <w:t xml:space="preserve"> S. Dementia and assisted suicide and euthanasia. J Neurol. 2016;263(7):1463-1467. doi:10.1007/s00415-016-8095-2</w:t>
      </w:r>
      <w:bookmarkEnd w:id="2"/>
    </w:p>
    <w:p w:rsidR="008F6AAB"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943D89">
        <w:rPr>
          <w:rFonts w:ascii="Times New Roman" w:eastAsia="Calibri" w:hAnsi="Times New Roman" w:cs="Times New Roman"/>
          <w:sz w:val="24"/>
          <w:szCs w:val="24"/>
          <w:lang w:val="en-US"/>
        </w:rPr>
        <w:lastRenderedPageBreak/>
        <w:t>Miller DG, Dresser R, Kim SYH. Advance euthanasia directives: a controversial case and its ethical implications. J Med Ethics. 2019;45(2):84-89. doi:10.1136/medethics-2017-104644</w:t>
      </w:r>
    </w:p>
    <w:p w:rsidR="008F6AAB" w:rsidRPr="008F6AAB" w:rsidRDefault="008F6AAB" w:rsidP="008F6AAB">
      <w:pPr>
        <w:pStyle w:val="ListParagraph"/>
        <w:numPr>
          <w:ilvl w:val="0"/>
          <w:numId w:val="1"/>
        </w:numPr>
        <w:spacing w:after="100" w:line="480" w:lineRule="auto"/>
        <w:rPr>
          <w:rFonts w:ascii="Times New Roman" w:eastAsia="Calibri" w:hAnsi="Times New Roman" w:cs="Times New Roman"/>
          <w:sz w:val="24"/>
          <w:szCs w:val="24"/>
          <w:lang w:val="en-US"/>
        </w:rPr>
      </w:pPr>
      <w:r w:rsidRPr="008F6AAB">
        <w:rPr>
          <w:rFonts w:ascii="Times New Roman" w:eastAsia="Calibri" w:hAnsi="Times New Roman" w:cs="Times New Roman"/>
          <w:sz w:val="24"/>
          <w:szCs w:val="24"/>
          <w:lang w:val="en-US"/>
        </w:rPr>
        <w:t xml:space="preserve">Dees MK, </w:t>
      </w:r>
      <w:proofErr w:type="spellStart"/>
      <w:r w:rsidRPr="008F6AAB">
        <w:rPr>
          <w:rFonts w:ascii="Times New Roman" w:eastAsia="Calibri" w:hAnsi="Times New Roman" w:cs="Times New Roman"/>
          <w:sz w:val="24"/>
          <w:szCs w:val="24"/>
          <w:lang w:val="en-US"/>
        </w:rPr>
        <w:t>Vernooij-Dassen</w:t>
      </w:r>
      <w:proofErr w:type="spellEnd"/>
      <w:r w:rsidRPr="008F6AAB">
        <w:rPr>
          <w:rFonts w:ascii="Times New Roman" w:eastAsia="Calibri" w:hAnsi="Times New Roman" w:cs="Times New Roman"/>
          <w:sz w:val="24"/>
          <w:szCs w:val="24"/>
          <w:lang w:val="en-US"/>
        </w:rPr>
        <w:t xml:space="preserve"> MJ, </w:t>
      </w:r>
      <w:proofErr w:type="spellStart"/>
      <w:r w:rsidRPr="008F6AAB">
        <w:rPr>
          <w:rFonts w:ascii="Times New Roman" w:eastAsia="Calibri" w:hAnsi="Times New Roman" w:cs="Times New Roman"/>
          <w:sz w:val="24"/>
          <w:szCs w:val="24"/>
          <w:lang w:val="en-US"/>
        </w:rPr>
        <w:t>Dekkers</w:t>
      </w:r>
      <w:proofErr w:type="spellEnd"/>
      <w:r w:rsidRPr="008F6AAB">
        <w:rPr>
          <w:rFonts w:ascii="Times New Roman" w:eastAsia="Calibri" w:hAnsi="Times New Roman" w:cs="Times New Roman"/>
          <w:sz w:val="24"/>
          <w:szCs w:val="24"/>
          <w:lang w:val="en-US"/>
        </w:rPr>
        <w:t xml:space="preserve"> WJ, </w:t>
      </w:r>
      <w:proofErr w:type="spellStart"/>
      <w:r w:rsidRPr="008F6AAB">
        <w:rPr>
          <w:rFonts w:ascii="Times New Roman" w:eastAsia="Calibri" w:hAnsi="Times New Roman" w:cs="Times New Roman"/>
          <w:sz w:val="24"/>
          <w:szCs w:val="24"/>
          <w:lang w:val="en-US"/>
        </w:rPr>
        <w:t>Vissers</w:t>
      </w:r>
      <w:proofErr w:type="spellEnd"/>
      <w:r w:rsidRPr="008F6AAB">
        <w:rPr>
          <w:rFonts w:ascii="Times New Roman" w:eastAsia="Calibri" w:hAnsi="Times New Roman" w:cs="Times New Roman"/>
          <w:sz w:val="24"/>
          <w:szCs w:val="24"/>
          <w:lang w:val="en-US"/>
        </w:rPr>
        <w:t xml:space="preserve"> KC, van </w:t>
      </w:r>
      <w:proofErr w:type="spellStart"/>
      <w:r w:rsidRPr="008F6AAB">
        <w:rPr>
          <w:rFonts w:ascii="Times New Roman" w:eastAsia="Calibri" w:hAnsi="Times New Roman" w:cs="Times New Roman"/>
          <w:sz w:val="24"/>
          <w:szCs w:val="24"/>
          <w:lang w:val="en-US"/>
        </w:rPr>
        <w:t>Weel</w:t>
      </w:r>
      <w:proofErr w:type="spellEnd"/>
      <w:r w:rsidRPr="008F6AAB">
        <w:rPr>
          <w:rFonts w:ascii="Times New Roman" w:eastAsia="Calibri" w:hAnsi="Times New Roman" w:cs="Times New Roman"/>
          <w:sz w:val="24"/>
          <w:szCs w:val="24"/>
          <w:lang w:val="en-US"/>
        </w:rPr>
        <w:t xml:space="preserve"> C. 'Unbearable suffering': A qualitative study on the perspectives of patients who request assistance in dying. J Med Ethics. 2011;37(12):727-734. doi:10.1136/jme.2011.045492</w:t>
      </w:r>
    </w:p>
    <w:sectPr w:rsidR="008F6AAB" w:rsidRPr="008F6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EF1"/>
    <w:multiLevelType w:val="hybridMultilevel"/>
    <w:tmpl w:val="FC4EE73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AB"/>
    <w:rsid w:val="002B78C2"/>
    <w:rsid w:val="002E34CD"/>
    <w:rsid w:val="0055381A"/>
    <w:rsid w:val="006844BF"/>
    <w:rsid w:val="008E26A7"/>
    <w:rsid w:val="008F6AAB"/>
    <w:rsid w:val="00DC7449"/>
    <w:rsid w:val="00EC6C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5196"/>
  <w15:chartTrackingRefBased/>
  <w15:docId w15:val="{11CC7354-3818-4090-B81F-37182B6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AB"/>
    <w:rPr>
      <w:color w:val="0563C1" w:themeColor="hyperlink"/>
      <w:u w:val="single"/>
    </w:rPr>
  </w:style>
  <w:style w:type="paragraph" w:styleId="ListParagraph">
    <w:name w:val="List Paragraph"/>
    <w:basedOn w:val="Normal"/>
    <w:uiPriority w:val="34"/>
    <w:qFormat/>
    <w:rsid w:val="008F6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ldwin.vangorp@kuleuven.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1397</Words>
  <Characters>7689</Characters>
  <Application>Microsoft Office Word</Application>
  <DocSecurity>0</DocSecurity>
  <Lines>64</Lines>
  <Paragraphs>18</Paragraphs>
  <ScaleCrop>false</ScaleCrop>
  <Company>KU Leuven</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Van Gorp</dc:creator>
  <cp:keywords/>
  <dc:description/>
  <cp:lastModifiedBy>Baldwin Van Gorp</cp:lastModifiedBy>
  <cp:revision>3</cp:revision>
  <dcterms:created xsi:type="dcterms:W3CDTF">2020-11-24T10:30:00Z</dcterms:created>
  <dcterms:modified xsi:type="dcterms:W3CDTF">2020-11-26T21:13:00Z</dcterms:modified>
</cp:coreProperties>
</file>