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F3000" w14:textId="77777777" w:rsidR="00AA32A6" w:rsidRDefault="00AA32A6" w:rsidP="00AA32A6">
      <w:pPr>
        <w:pStyle w:val="Heading1"/>
      </w:pPr>
      <w:r>
        <w:t>Extended Data</w:t>
      </w:r>
    </w:p>
    <w:p w14:paraId="14812B92" w14:textId="77777777" w:rsidR="00AA32A6" w:rsidRDefault="00AA32A6" w:rsidP="00AA32A6">
      <w:pPr>
        <w:pageBreakBefore/>
        <w:jc w:val="center"/>
      </w:pPr>
      <w:r>
        <w:rPr>
          <w:noProof/>
        </w:rPr>
        <w:lastRenderedPageBreak/>
        <w:drawing>
          <wp:inline distT="0" distB="0" distL="0" distR="0" wp14:anchorId="2F184685" wp14:editId="515631F5">
            <wp:extent cx="6126480" cy="64202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dedData1.png"/>
                    <pic:cNvPicPr/>
                  </pic:nvPicPr>
                  <pic:blipFill>
                    <a:blip r:embed="rId4"/>
                    <a:stretch>
                      <a:fillRect/>
                    </a:stretch>
                  </pic:blipFill>
                  <pic:spPr>
                    <a:xfrm>
                      <a:off x="0" y="0"/>
                      <a:ext cx="6126480" cy="6420264"/>
                    </a:xfrm>
                    <a:prstGeom prst="rect">
                      <a:avLst/>
                    </a:prstGeom>
                  </pic:spPr>
                </pic:pic>
              </a:graphicData>
            </a:graphic>
          </wp:inline>
        </w:drawing>
      </w:r>
    </w:p>
    <w:p w14:paraId="3A714307" w14:textId="77777777" w:rsidR="00AA32A6" w:rsidRDefault="00AA32A6" w:rsidP="00AA32A6">
      <w:pPr>
        <w:spacing w:after="180"/>
      </w:pPr>
      <w:r>
        <w:rPr>
          <w:b/>
          <w:sz w:val="16"/>
        </w:rPr>
        <w:t>Extended Data Table 1 | Complete primary caller and consensus metrics.</w:t>
      </w:r>
      <w:r>
        <w:rPr>
          <w:sz w:val="16"/>
        </w:rPr>
        <w:t xml:space="preserve"> Overall, SNV and INDEL TP, FP, FN, precision, recall and F1 for all six frozen procedures in the HG008 v0.3 </w:t>
      </w:r>
      <w:proofErr w:type="spellStart"/>
      <w:r>
        <w:rPr>
          <w:sz w:val="16"/>
        </w:rPr>
        <w:t>nogermlineinterference</w:t>
      </w:r>
      <w:proofErr w:type="spellEnd"/>
      <w:r>
        <w:rPr>
          <w:sz w:val="16"/>
        </w:rPr>
        <w:t xml:space="preserve"> primary region. Metrics are displayed to four decimal places.</w:t>
      </w:r>
    </w:p>
    <w:p w14:paraId="262525DB" w14:textId="77777777" w:rsidR="00AA32A6" w:rsidRDefault="00AA32A6" w:rsidP="00AA32A6">
      <w:pPr>
        <w:pageBreakBefore/>
        <w:jc w:val="center"/>
      </w:pPr>
      <w:r>
        <w:rPr>
          <w:noProof/>
        </w:rPr>
        <w:lastRenderedPageBreak/>
        <w:drawing>
          <wp:inline distT="0" distB="0" distL="0" distR="0" wp14:anchorId="72C77571" wp14:editId="68F17067">
            <wp:extent cx="6126480" cy="393742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dedData2.png"/>
                    <pic:cNvPicPr/>
                  </pic:nvPicPr>
                  <pic:blipFill>
                    <a:blip r:embed="rId5"/>
                    <a:stretch>
                      <a:fillRect/>
                    </a:stretch>
                  </pic:blipFill>
                  <pic:spPr>
                    <a:xfrm>
                      <a:off x="0" y="0"/>
                      <a:ext cx="6126480" cy="3937428"/>
                    </a:xfrm>
                    <a:prstGeom prst="rect">
                      <a:avLst/>
                    </a:prstGeom>
                  </pic:spPr>
                </pic:pic>
              </a:graphicData>
            </a:graphic>
          </wp:inline>
        </w:drawing>
      </w:r>
    </w:p>
    <w:p w14:paraId="7A2A12E1" w14:textId="77777777" w:rsidR="00AA32A6" w:rsidRDefault="00AA32A6" w:rsidP="00AA32A6">
      <w:pPr>
        <w:spacing w:after="180"/>
      </w:pPr>
      <w:r>
        <w:rPr>
          <w:b/>
          <w:sz w:val="16"/>
        </w:rPr>
        <w:t>Extended Data Table 2 | Complete caller-support pattern results.</w:t>
      </w:r>
      <w:r>
        <w:rPr>
          <w:sz w:val="16"/>
        </w:rPr>
        <w:t xml:space="preserve"> Fixed 000–111 Mutect2/Strelka2/</w:t>
      </w:r>
      <w:proofErr w:type="spellStart"/>
      <w:r>
        <w:rPr>
          <w:sz w:val="16"/>
        </w:rPr>
        <w:t>DeepSomatic</w:t>
      </w:r>
      <w:proofErr w:type="spellEnd"/>
      <w:r>
        <w:rPr>
          <w:sz w:val="16"/>
        </w:rPr>
        <w:t xml:space="preserve"> states with support count, TP, FP, FN, SNV, INDEL, total-event and proportion fields. NA denotes a scientifically undefined proportion. Prespecified before HG008 access and executed after completion of the primary external evaluation.</w:t>
      </w:r>
    </w:p>
    <w:p w14:paraId="3B233727" w14:textId="77777777" w:rsidR="00AA32A6" w:rsidRDefault="00AA32A6" w:rsidP="00AA32A6">
      <w:pPr>
        <w:pageBreakBefore/>
        <w:jc w:val="center"/>
      </w:pPr>
      <w:r>
        <w:rPr>
          <w:noProof/>
        </w:rPr>
        <w:lastRenderedPageBreak/>
        <w:drawing>
          <wp:inline distT="0" distB="0" distL="0" distR="0" wp14:anchorId="1171FF1B" wp14:editId="5D54608F">
            <wp:extent cx="5732810" cy="7315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dedData3.png"/>
                    <pic:cNvPicPr/>
                  </pic:nvPicPr>
                  <pic:blipFill>
                    <a:blip r:embed="rId6"/>
                    <a:stretch>
                      <a:fillRect/>
                    </a:stretch>
                  </pic:blipFill>
                  <pic:spPr>
                    <a:xfrm>
                      <a:off x="0" y="0"/>
                      <a:ext cx="5732810" cy="7315200"/>
                    </a:xfrm>
                    <a:prstGeom prst="rect">
                      <a:avLst/>
                    </a:prstGeom>
                  </pic:spPr>
                </pic:pic>
              </a:graphicData>
            </a:graphic>
          </wp:inline>
        </w:drawing>
      </w:r>
    </w:p>
    <w:p w14:paraId="51079EEB" w14:textId="77777777" w:rsidR="00AA32A6" w:rsidRDefault="00AA32A6" w:rsidP="00AA32A6">
      <w:pPr>
        <w:spacing w:after="180"/>
      </w:pPr>
      <w:r>
        <w:rPr>
          <w:b/>
          <w:sz w:val="16"/>
        </w:rPr>
        <w:t>Extended Data Table 3 | Complete INDEL-length stratification.</w:t>
      </w:r>
      <w:r>
        <w:rPr>
          <w:sz w:val="16"/>
        </w:rPr>
        <w:t xml:space="preserve"> All six procedures across the frozen 1-bp, 2–5-bp, 6–15-bp, &gt;15-bp and missing bins, retaining truth and called denominators, TP, FP, FN, precision, recall and F1. NA denotes undefined metrics in the explicit missing bin. Prespecified before HG008 access and executed after completion of the primary external evaluation.</w:t>
      </w:r>
    </w:p>
    <w:p w14:paraId="2C688FB7" w14:textId="77777777" w:rsidR="00AA32A6" w:rsidRDefault="00AA32A6" w:rsidP="00AA32A6">
      <w:pPr>
        <w:pageBreakBefore/>
        <w:jc w:val="center"/>
      </w:pPr>
      <w:r>
        <w:rPr>
          <w:noProof/>
        </w:rPr>
        <w:lastRenderedPageBreak/>
        <w:drawing>
          <wp:inline distT="0" distB="0" distL="0" distR="0" wp14:anchorId="09093F2B" wp14:editId="42C919B5">
            <wp:extent cx="3546839" cy="742347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dedData4.png"/>
                    <pic:cNvPicPr/>
                  </pic:nvPicPr>
                  <pic:blipFill>
                    <a:blip r:embed="rId7"/>
                    <a:stretch>
                      <a:fillRect/>
                    </a:stretch>
                  </pic:blipFill>
                  <pic:spPr>
                    <a:xfrm>
                      <a:off x="0" y="0"/>
                      <a:ext cx="3547087" cy="7423991"/>
                    </a:xfrm>
                    <a:prstGeom prst="rect">
                      <a:avLst/>
                    </a:prstGeom>
                  </pic:spPr>
                </pic:pic>
              </a:graphicData>
            </a:graphic>
          </wp:inline>
        </w:drawing>
      </w:r>
    </w:p>
    <w:p w14:paraId="425E1A00" w14:textId="77777777" w:rsidR="00AA32A6" w:rsidRDefault="00AA32A6" w:rsidP="00AA32A6">
      <w:pPr>
        <w:spacing w:after="180"/>
      </w:pPr>
      <w:r>
        <w:rPr>
          <w:b/>
          <w:sz w:val="16"/>
        </w:rPr>
        <w:t>Extended Data Table 4 | Complete predefined germline-context stratification.</w:t>
      </w:r>
      <w:r>
        <w:rPr>
          <w:sz w:val="16"/>
        </w:rPr>
        <w:t xml:space="preserve"> All six procedures and overall, SNV and INDEL partitions in interference-present, interference-absent and missing strata. Counts and denominators are retained; NA denotes undefined metrics. The analysis used checksum-locked benchmark-region resources, was prespecified before HG008 access and executed after completion of the primary external evaluation and is descriptive rather than causal.</w:t>
      </w:r>
    </w:p>
    <w:p w14:paraId="411B8046" w14:textId="77777777" w:rsidR="00A91650" w:rsidRDefault="00A91650"/>
    <w:sectPr w:rsidR="00A91650" w:rsidSect="00AA32A6">
      <w:headerReference w:type="default" r:id="rId8"/>
      <w:footerReference w:type="default" r:id="rId9"/>
      <w:footerReference w:type="first" r:id="rId10"/>
      <w:pgSz w:w="12240" w:h="15840"/>
      <w:pgMar w:top="936" w:right="1008" w:bottom="936" w:left="1008"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8BBE" w14:textId="77777777" w:rsidR="00AA32A6" w:rsidRDefault="00AA32A6">
    <w:pPr>
      <w:pStyle w:val="Footer"/>
      <w:jc w:val="center"/>
    </w:pP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B1B09" w14:textId="77777777" w:rsidR="00AA32A6" w:rsidRDefault="00AA32A6">
    <w:pPr>
      <w:pStyle w:val="Footer"/>
      <w:jc w:val="center"/>
    </w:pPr>
    <w:r>
      <w:fldChar w:fldCharType="begin"/>
    </w:r>
    <w:r>
      <w:instrText>PAGE</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FA5D" w14:textId="77777777" w:rsidR="00AA32A6" w:rsidRDefault="00AA32A6">
    <w:pPr>
      <w:pStyle w:val="Header"/>
      <w:jc w:val="right"/>
    </w:pPr>
    <w:r>
      <w:rPr>
        <w:rFonts w:ascii="Arial" w:hAnsi="Arial"/>
        <w:color w:val="646464"/>
        <w:sz w:val="16"/>
      </w:rPr>
      <w:t>Hasan | P003 somatic variant benchmarking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2A6"/>
    <w:rsid w:val="000E2EDD"/>
    <w:rsid w:val="00733A3B"/>
    <w:rsid w:val="00A91650"/>
    <w:rsid w:val="00AA32A6"/>
    <w:rsid w:val="00CD53DF"/>
    <w:rsid w:val="00E559FE"/>
    <w:rsid w:val="00E633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AD4DD"/>
  <w15:chartTrackingRefBased/>
  <w15:docId w15:val="{4CC75010-65A3-4C9C-8C05-62B5E0B94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2A6"/>
    <w:pPr>
      <w:spacing w:after="120" w:line="259" w:lineRule="auto"/>
    </w:pPr>
    <w:rPr>
      <w:rFonts w:ascii="Times New Roman" w:eastAsiaTheme="minorEastAsia" w:hAnsi="Times New Roman"/>
      <w:kern w:val="0"/>
      <w:sz w:val="19"/>
      <w:szCs w:val="22"/>
      <w:lang w:val="en-US"/>
      <w14:ligatures w14:val="none"/>
    </w:rPr>
  </w:style>
  <w:style w:type="paragraph" w:styleId="Heading1">
    <w:name w:val="heading 1"/>
    <w:basedOn w:val="Normal"/>
    <w:next w:val="Normal"/>
    <w:link w:val="Heading1Char"/>
    <w:uiPriority w:val="9"/>
    <w:qFormat/>
    <w:rsid w:val="00AA32A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AA32A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AA32A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AA32A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AA32A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AA32A6"/>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AA32A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AA32A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AA32A6"/>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32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32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32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32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32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32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32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32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32A6"/>
    <w:rPr>
      <w:rFonts w:eastAsiaTheme="majorEastAsia" w:cstheme="majorBidi"/>
      <w:color w:val="272727" w:themeColor="text1" w:themeTint="D8"/>
    </w:rPr>
  </w:style>
  <w:style w:type="paragraph" w:styleId="Title">
    <w:name w:val="Title"/>
    <w:basedOn w:val="Normal"/>
    <w:next w:val="Normal"/>
    <w:link w:val="TitleChar"/>
    <w:uiPriority w:val="10"/>
    <w:qFormat/>
    <w:rsid w:val="00AA32A6"/>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AA32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32A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AA32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32A6"/>
    <w:pPr>
      <w:spacing w:before="160" w:after="160" w:line="278" w:lineRule="auto"/>
      <w:jc w:val="center"/>
    </w:pPr>
    <w:rPr>
      <w:rFonts w:asciiTheme="minorHAnsi" w:eastAsiaTheme="minorHAnsi" w:hAnsiTheme="minorHAns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AA32A6"/>
    <w:rPr>
      <w:i/>
      <w:iCs/>
      <w:color w:val="404040" w:themeColor="text1" w:themeTint="BF"/>
    </w:rPr>
  </w:style>
  <w:style w:type="paragraph" w:styleId="ListParagraph">
    <w:name w:val="List Paragraph"/>
    <w:basedOn w:val="Normal"/>
    <w:uiPriority w:val="34"/>
    <w:qFormat/>
    <w:rsid w:val="00AA32A6"/>
    <w:pPr>
      <w:spacing w:after="160" w:line="278" w:lineRule="auto"/>
      <w:ind w:left="720"/>
      <w:contextualSpacing/>
    </w:pPr>
    <w:rPr>
      <w:rFonts w:asciiTheme="minorHAnsi" w:eastAsiaTheme="minorHAnsi" w:hAnsiTheme="minorHAnsi"/>
      <w:kern w:val="2"/>
      <w:sz w:val="24"/>
      <w:szCs w:val="24"/>
      <w:lang w:val="en-IN"/>
      <w14:ligatures w14:val="standardContextual"/>
    </w:rPr>
  </w:style>
  <w:style w:type="character" w:styleId="IntenseEmphasis">
    <w:name w:val="Intense Emphasis"/>
    <w:basedOn w:val="DefaultParagraphFont"/>
    <w:uiPriority w:val="21"/>
    <w:qFormat/>
    <w:rsid w:val="00AA32A6"/>
    <w:rPr>
      <w:i/>
      <w:iCs/>
      <w:color w:val="0F4761" w:themeColor="accent1" w:themeShade="BF"/>
    </w:rPr>
  </w:style>
  <w:style w:type="paragraph" w:styleId="IntenseQuote">
    <w:name w:val="Intense Quote"/>
    <w:basedOn w:val="Normal"/>
    <w:next w:val="Normal"/>
    <w:link w:val="IntenseQuoteChar"/>
    <w:uiPriority w:val="30"/>
    <w:qFormat/>
    <w:rsid w:val="00AA32A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AA32A6"/>
    <w:rPr>
      <w:i/>
      <w:iCs/>
      <w:color w:val="0F4761" w:themeColor="accent1" w:themeShade="BF"/>
    </w:rPr>
  </w:style>
  <w:style w:type="character" w:styleId="IntenseReference">
    <w:name w:val="Intense Reference"/>
    <w:basedOn w:val="DefaultParagraphFont"/>
    <w:uiPriority w:val="32"/>
    <w:qFormat/>
    <w:rsid w:val="00AA32A6"/>
    <w:rPr>
      <w:b/>
      <w:bCs/>
      <w:smallCaps/>
      <w:color w:val="0F4761" w:themeColor="accent1" w:themeShade="BF"/>
      <w:spacing w:val="5"/>
    </w:rPr>
  </w:style>
  <w:style w:type="paragraph" w:styleId="Header">
    <w:name w:val="header"/>
    <w:basedOn w:val="Normal"/>
    <w:link w:val="HeaderChar"/>
    <w:uiPriority w:val="99"/>
    <w:unhideWhenUsed/>
    <w:rsid w:val="00AA3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2A6"/>
    <w:rPr>
      <w:rFonts w:ascii="Times New Roman" w:eastAsiaTheme="minorEastAsia" w:hAnsi="Times New Roman"/>
      <w:kern w:val="0"/>
      <w:sz w:val="19"/>
      <w:szCs w:val="22"/>
      <w:lang w:val="en-US"/>
      <w14:ligatures w14:val="none"/>
    </w:rPr>
  </w:style>
  <w:style w:type="paragraph" w:styleId="Footer">
    <w:name w:val="footer"/>
    <w:basedOn w:val="Normal"/>
    <w:link w:val="FooterChar"/>
    <w:uiPriority w:val="99"/>
    <w:unhideWhenUsed/>
    <w:rsid w:val="00AA3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2A6"/>
    <w:rPr>
      <w:rFonts w:ascii="Times New Roman" w:eastAsiaTheme="minorEastAsia" w:hAnsi="Times New Roman"/>
      <w:kern w:val="0"/>
      <w:sz w:val="19"/>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footer" Target="footer2.xml"/><Relationship Id="rId4" Type="http://schemas.openxmlformats.org/officeDocument/2006/relationships/image" Target="media/image1.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221</Words>
  <Characters>1262</Characters>
  <Application>Microsoft Office Word</Application>
  <DocSecurity>0</DocSecurity>
  <Lines>10</Lines>
  <Paragraphs>2</Paragraphs>
  <ScaleCrop>false</ScaleCrop>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Amruta Dange</dc:creator>
  <cp:keywords/>
  <dc:description/>
  <cp:lastModifiedBy>Amruta Dange</cp:lastModifiedBy>
  <cp:revision>1</cp:revision>
  <dcterms:created xsi:type="dcterms:W3CDTF">2026-10-05T14:47:00Z</dcterms:created>
  <dcterms:modified xsi:type="dcterms:W3CDTF">2026-10-05T14:47:00Z</dcterms:modified>
</cp:coreProperties>
</file>