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Supplementary Material</w:t>
      </w:r>
    </w:p>
    <w:p>
      <w:r>
        <w:t>Supplementary Dataset for: “Pilgrimage Economy and Rural Socio-Economic Change: Evidence from Tikarmafi, Uttar Pradesh, India”</w:t>
      </w:r>
    </w:p>
    <w:p>
      <w:r>
        <w:t>The tables below reproduce the respondent distributions supplied in the manuscript and used for the statistical analysis. No additional respondents or fabricated values have been introduced.</w:t>
      </w:r>
    </w:p>
    <w:p>
      <w:pPr>
        <w:pStyle w:val="Heading2"/>
      </w:pPr>
      <w:r>
        <w:t>Appendix Table A1. Gender distribution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Gender</w:t>
            </w:r>
          </w:p>
        </w:tc>
        <w:tc>
          <w:tcPr>
            <w:tcW w:type="dxa" w:w="2880"/>
          </w:tcPr>
          <w:p>
            <w:r>
              <w:t>n</w:t>
            </w:r>
          </w:p>
        </w:tc>
        <w:tc>
          <w:tcPr>
            <w:tcW w:type="dxa" w:w="2880"/>
          </w:tcPr>
          <w:p>
            <w:r>
              <w:t>%</w:t>
            </w:r>
          </w:p>
        </w:tc>
      </w:tr>
      <w:tr>
        <w:tc>
          <w:tcPr>
            <w:tcW w:type="dxa" w:w="2880"/>
          </w:tcPr>
          <w:p>
            <w:r>
              <w:t>Male</w:t>
            </w:r>
          </w:p>
        </w:tc>
        <w:tc>
          <w:tcPr>
            <w:tcW w:type="dxa" w:w="2880"/>
          </w:tcPr>
          <w:p>
            <w:r>
              <w:t>70</w:t>
            </w:r>
          </w:p>
        </w:tc>
        <w:tc>
          <w:tcPr>
            <w:tcW w:type="dxa" w:w="2880"/>
          </w:tcPr>
          <w:p>
            <w:r>
              <w:t>70</w:t>
            </w:r>
          </w:p>
        </w:tc>
      </w:tr>
      <w:tr>
        <w:tc>
          <w:tcPr>
            <w:tcW w:type="dxa" w:w="2880"/>
          </w:tcPr>
          <w:p>
            <w:r>
              <w:t>Female</w:t>
            </w:r>
          </w:p>
        </w:tc>
        <w:tc>
          <w:tcPr>
            <w:tcW w:type="dxa" w:w="2880"/>
          </w:tcPr>
          <w:p>
            <w:r>
              <w:t>30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Total</w:t>
            </w:r>
          </w:p>
        </w:tc>
        <w:tc>
          <w:tcPr>
            <w:tcW w:type="dxa" w:w="2880"/>
          </w:tcPr>
          <w:p>
            <w:r>
              <w:t>100</w:t>
            </w:r>
          </w:p>
        </w:tc>
        <w:tc>
          <w:tcPr>
            <w:tcW w:type="dxa" w:w="2880"/>
          </w:tcPr>
          <w:p>
            <w:r>
              <w:t>100</w:t>
            </w:r>
          </w:p>
        </w:tc>
      </w:tr>
    </w:tbl>
    <w:p/>
    <w:p>
      <w:pPr>
        <w:pStyle w:val="Heading2"/>
      </w:pPr>
      <w:r>
        <w:t>Appendix Table A2. Age distribution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Age group</w:t>
            </w:r>
          </w:p>
        </w:tc>
        <w:tc>
          <w:tcPr>
            <w:tcW w:type="dxa" w:w="2880"/>
          </w:tcPr>
          <w:p>
            <w:r>
              <w:t>n</w:t>
            </w:r>
          </w:p>
        </w:tc>
        <w:tc>
          <w:tcPr>
            <w:tcW w:type="dxa" w:w="2880"/>
          </w:tcPr>
          <w:p>
            <w:r>
              <w:t>%</w:t>
            </w:r>
          </w:p>
        </w:tc>
      </w:tr>
      <w:tr>
        <w:tc>
          <w:tcPr>
            <w:tcW w:type="dxa" w:w="2880"/>
          </w:tcPr>
          <w:p>
            <w:r>
              <w:t>18–30</w:t>
            </w:r>
          </w:p>
        </w:tc>
        <w:tc>
          <w:tcPr>
            <w:tcW w:type="dxa" w:w="2880"/>
          </w:tcPr>
          <w:p>
            <w:r>
              <w:t>28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31–40</w:t>
            </w:r>
          </w:p>
        </w:tc>
        <w:tc>
          <w:tcPr>
            <w:tcW w:type="dxa" w:w="2880"/>
          </w:tcPr>
          <w:p>
            <w:r>
              <w:t>36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41–50</w:t>
            </w:r>
          </w:p>
        </w:tc>
        <w:tc>
          <w:tcPr>
            <w:tcW w:type="dxa" w:w="2880"/>
          </w:tcPr>
          <w:p>
            <w:r>
              <w:t>24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Above 50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Total</w:t>
            </w:r>
          </w:p>
        </w:tc>
        <w:tc>
          <w:tcPr>
            <w:tcW w:type="dxa" w:w="2880"/>
          </w:tcPr>
          <w:p>
            <w:r>
              <w:t>100</w:t>
            </w:r>
          </w:p>
        </w:tc>
        <w:tc>
          <w:tcPr>
            <w:tcW w:type="dxa" w:w="2880"/>
          </w:tcPr>
          <w:p>
            <w:r>
              <w:t>100</w:t>
            </w:r>
          </w:p>
        </w:tc>
      </w:tr>
    </w:tbl>
    <w:p/>
    <w:p>
      <w:pPr>
        <w:pStyle w:val="Heading2"/>
      </w:pPr>
      <w:r>
        <w:t>Appendix Table A3. Occupation × expenditure distribution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Occupation</w:t>
            </w:r>
          </w:p>
        </w:tc>
        <w:tc>
          <w:tcPr>
            <w:tcW w:type="dxa" w:w="1440"/>
          </w:tcPr>
          <w:p>
            <w:r>
              <w:t>&lt; INR 50</w:t>
            </w:r>
          </w:p>
        </w:tc>
        <w:tc>
          <w:tcPr>
            <w:tcW w:type="dxa" w:w="1440"/>
          </w:tcPr>
          <w:p>
            <w:r>
              <w:t>INR 51–100</w:t>
            </w:r>
          </w:p>
        </w:tc>
        <w:tc>
          <w:tcPr>
            <w:tcW w:type="dxa" w:w="1440"/>
          </w:tcPr>
          <w:p>
            <w:r>
              <w:t>INR 101–150</w:t>
            </w:r>
          </w:p>
        </w:tc>
        <w:tc>
          <w:tcPr>
            <w:tcW w:type="dxa" w:w="1440"/>
          </w:tcPr>
          <w:p>
            <w:r>
              <w:t>≥ INR 150</w:t>
            </w:r>
          </w:p>
        </w:tc>
        <w:tc>
          <w:tcPr>
            <w:tcW w:type="dxa" w:w="1440"/>
          </w:tcPr>
          <w:p>
            <w:r>
              <w:t>Total</w:t>
            </w:r>
          </w:p>
        </w:tc>
      </w:tr>
      <w:tr>
        <w:tc>
          <w:tcPr>
            <w:tcW w:type="dxa" w:w="1440"/>
          </w:tcPr>
          <w:p>
            <w:r>
              <w:t>Government job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11</w:t>
            </w:r>
          </w:p>
        </w:tc>
      </w:tr>
      <w:tr>
        <w:tc>
          <w:tcPr>
            <w:tcW w:type="dxa" w:w="1440"/>
          </w:tcPr>
          <w:p>
            <w:r>
              <w:t>Private job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19</w:t>
            </w:r>
          </w:p>
        </w:tc>
      </w:tr>
      <w:tr>
        <w:tc>
          <w:tcPr>
            <w:tcW w:type="dxa" w:w="1440"/>
          </w:tcPr>
          <w:p>
            <w:r>
              <w:t>Self-business</w:t>
            </w:r>
          </w:p>
        </w:tc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30</w:t>
            </w:r>
          </w:p>
        </w:tc>
      </w:tr>
      <w:tr>
        <w:tc>
          <w:tcPr>
            <w:tcW w:type="dxa" w:w="1440"/>
          </w:tcPr>
          <w:p>
            <w:r>
              <w:t>Wage earner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7</w:t>
            </w:r>
          </w:p>
        </w:tc>
      </w:tr>
      <w:tr>
        <w:tc>
          <w:tcPr>
            <w:tcW w:type="dxa" w:w="1440"/>
          </w:tcPr>
          <w:p>
            <w:r>
              <w:t>Agriculture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11</w:t>
            </w:r>
          </w:p>
        </w:tc>
      </w:tr>
      <w:tr>
        <w:tc>
          <w:tcPr>
            <w:tcW w:type="dxa" w:w="1440"/>
          </w:tcPr>
          <w:p>
            <w:r>
              <w:t>Unemployed/Housemaker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22</w:t>
            </w:r>
          </w:p>
        </w:tc>
      </w:tr>
      <w:tr>
        <w:tc>
          <w:tcPr>
            <w:tcW w:type="dxa" w:w="1440"/>
          </w:tcPr>
          <w:p>
            <w:r>
              <w:t>Total</w:t>
            </w:r>
          </w:p>
        </w:tc>
        <w:tc>
          <w:tcPr>
            <w:tcW w:type="dxa" w:w="1440"/>
          </w:tcPr>
          <w:p>
            <w:r>
              <w:t>33</w:t>
            </w:r>
          </w:p>
        </w:tc>
        <w:tc>
          <w:tcPr>
            <w:tcW w:type="dxa" w:w="1440"/>
          </w:tcPr>
          <w:p>
            <w:r>
              <w:t>44</w:t>
            </w:r>
          </w:p>
        </w:tc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100</w:t>
            </w:r>
          </w:p>
        </w:tc>
      </w:tr>
    </w:tbl>
    <w:p/>
    <w:p>
      <w:r>
        <w:t>Note: These supplementary tables are provided to document the dataset distributions reported in the manuscript. Please verify that sharing the data complies with the study's participant-consent and privacy obligations.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