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886D" w14:textId="77777777" w:rsidR="00EA2CAD" w:rsidRPr="00C16A32" w:rsidRDefault="00EA2CAD" w:rsidP="00EA2CAD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C856DA">
        <w:rPr>
          <w:rFonts w:ascii="Times New Roman" w:hAnsi="Times New Roman" w:cs="Times New Roman"/>
          <w:b/>
          <w:bCs/>
          <w:sz w:val="26"/>
          <w:szCs w:val="26"/>
          <w:lang w:val="en-US"/>
        </w:rPr>
        <w:t>Supplementary data</w:t>
      </w:r>
    </w:p>
    <w:p w14:paraId="4DAA9770" w14:textId="77777777" w:rsidR="00EA2CAD" w:rsidRPr="00BA6D82" w:rsidRDefault="00EA2CAD" w:rsidP="00EA2CAD">
      <w:pPr>
        <w:jc w:val="both"/>
        <w:rPr>
          <w:rFonts w:ascii="Times New Roman" w:hAnsi="Times New Roman" w:cs="Times New Roman"/>
          <w:lang w:val="en-US"/>
        </w:rPr>
      </w:pPr>
    </w:p>
    <w:p w14:paraId="2480755D" w14:textId="77777777" w:rsidR="00EA2CAD" w:rsidRPr="00BA6D82" w:rsidRDefault="00EA2CAD" w:rsidP="00EA2CAD">
      <w:pPr>
        <w:jc w:val="both"/>
        <w:rPr>
          <w:rFonts w:ascii="Times New Roman" w:hAnsi="Times New Roman" w:cs="Times New Roman"/>
          <w:lang w:val="en-US"/>
        </w:rPr>
      </w:pPr>
    </w:p>
    <w:p w14:paraId="6F2323CF" w14:textId="77777777" w:rsidR="00EA2CAD" w:rsidRPr="00BA6D82" w:rsidRDefault="00EA2CAD" w:rsidP="00EA2CAD">
      <w:pPr>
        <w:jc w:val="both"/>
        <w:rPr>
          <w:rFonts w:ascii="Times New Roman" w:hAnsi="Times New Roman" w:cs="Times New Roman"/>
        </w:rPr>
      </w:pPr>
      <w:r w:rsidRPr="00BA6D82">
        <w:rPr>
          <w:rFonts w:ascii="Times New Roman" w:hAnsi="Times New Roman" w:cs="Times New Roman"/>
          <w:noProof/>
        </w:rPr>
        <w:drawing>
          <wp:inline distT="0" distB="0" distL="0" distR="0" wp14:anchorId="6B6FC3A8" wp14:editId="39B1F1A7">
            <wp:extent cx="3084830" cy="2170430"/>
            <wp:effectExtent l="0" t="0" r="0" b="127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217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21B0CA" w14:textId="77777777" w:rsidR="00EA2CAD" w:rsidRPr="00C16A3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BA6D82">
        <w:rPr>
          <w:rFonts w:ascii="Times New Roman" w:hAnsi="Times New Roman" w:cs="Times New Roman"/>
          <w:b/>
          <w:bCs/>
          <w:lang w:val="en-US"/>
        </w:rPr>
        <w:t xml:space="preserve">Figure S1: </w:t>
      </w:r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>Systemic immune response in young (3 months) and aged (16 months) mice according to the administration route</w:t>
      </w:r>
      <w:r w:rsidRPr="00BA6D82">
        <w:rPr>
          <w:rFonts w:ascii="Times New Roman" w:hAnsi="Times New Roman" w:cs="Times New Roman"/>
          <w:i/>
          <w:iCs/>
          <w:lang w:val="en-GB"/>
        </w:rPr>
        <w:t xml:space="preserve">. Kinetics of anti-HA IgG </w:t>
      </w:r>
      <w:proofErr w:type="spellStart"/>
      <w:r w:rsidRPr="00BA6D82">
        <w:rPr>
          <w:rFonts w:ascii="Times New Roman" w:hAnsi="Times New Roman" w:cs="Times New Roman"/>
          <w:i/>
          <w:iCs/>
          <w:lang w:val="en-GB"/>
        </w:rPr>
        <w:t>titers</w:t>
      </w:r>
      <w:proofErr w:type="spellEnd"/>
      <w:r w:rsidRPr="00BA6D82">
        <w:rPr>
          <w:rFonts w:ascii="Times New Roman" w:hAnsi="Times New Roman" w:cs="Times New Roman"/>
          <w:i/>
          <w:iCs/>
          <w:lang w:val="en-GB"/>
        </w:rPr>
        <w:t xml:space="preserve"> determined after </w:t>
      </w:r>
      <w:r>
        <w:rPr>
          <w:rFonts w:ascii="Times New Roman" w:hAnsi="Times New Roman" w:cs="Times New Roman"/>
          <w:i/>
          <w:iCs/>
          <w:lang w:val="en-GB"/>
        </w:rPr>
        <w:t xml:space="preserve">either SC prime (black and blue lines) </w:t>
      </w:r>
      <w:proofErr w:type="gramStart"/>
      <w:r>
        <w:rPr>
          <w:rFonts w:ascii="Times New Roman" w:hAnsi="Times New Roman" w:cs="Times New Roman"/>
          <w:i/>
          <w:iCs/>
          <w:lang w:val="en-GB"/>
        </w:rPr>
        <w:t>or  SL</w:t>
      </w:r>
      <w:proofErr w:type="gramEnd"/>
      <w:r>
        <w:rPr>
          <w:rFonts w:ascii="Times New Roman" w:hAnsi="Times New Roman" w:cs="Times New Roman"/>
          <w:i/>
          <w:iCs/>
          <w:lang w:val="en-GB"/>
        </w:rPr>
        <w:t xml:space="preserve"> prime (grey and green lines). N= 8-10.</w:t>
      </w:r>
      <w:r w:rsidRPr="00AE592D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BA6D82">
        <w:rPr>
          <w:rFonts w:ascii="Times New Roman" w:hAnsi="Times New Roman" w:cs="Times New Roman"/>
          <w:i/>
          <w:iCs/>
          <w:lang w:val="en-GB"/>
        </w:rPr>
        <w:t>Data are presented as mean ± SD</w:t>
      </w:r>
      <w:r>
        <w:rPr>
          <w:rFonts w:ascii="Times New Roman" w:hAnsi="Times New Roman" w:cs="Times New Roman"/>
          <w:i/>
          <w:iCs/>
          <w:lang w:val="en-GB"/>
        </w:rPr>
        <w:t>.</w:t>
      </w:r>
    </w:p>
    <w:p w14:paraId="51880122" w14:textId="77777777" w:rsidR="00EA2CAD" w:rsidRDefault="00EA2CAD" w:rsidP="00EA2CAD">
      <w:pPr>
        <w:jc w:val="both"/>
        <w:rPr>
          <w:rFonts w:ascii="Times New Roman" w:hAnsi="Times New Roman" w:cs="Times New Roman"/>
          <w:lang w:val="en-US"/>
        </w:rPr>
      </w:pPr>
    </w:p>
    <w:p w14:paraId="69A067B1" w14:textId="77777777" w:rsidR="00EA2CAD" w:rsidRPr="00BA6D82" w:rsidRDefault="00EA2CAD" w:rsidP="00EA2CAD">
      <w:pPr>
        <w:jc w:val="both"/>
        <w:rPr>
          <w:rFonts w:ascii="Times New Roman" w:hAnsi="Times New Roman" w:cs="Times New Roman"/>
          <w:lang w:val="en-US"/>
        </w:rPr>
      </w:pPr>
    </w:p>
    <w:p w14:paraId="49B6D22F" w14:textId="77777777" w:rsidR="00EA2CAD" w:rsidRPr="00BA6D82" w:rsidRDefault="00EA2CAD" w:rsidP="00EA2CA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A90639D" wp14:editId="104A76F9">
            <wp:extent cx="4364966" cy="2952024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367" cy="2958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A2999" w14:textId="77777777" w:rsidR="00EA2CAD" w:rsidRPr="00BA6D82" w:rsidRDefault="00EA2CAD" w:rsidP="00EA2CAD">
      <w:pPr>
        <w:jc w:val="both"/>
        <w:rPr>
          <w:rFonts w:ascii="Times New Roman" w:hAnsi="Times New Roman" w:cs="Times New Roman"/>
          <w:noProof/>
          <w:lang w:val="en-GB"/>
        </w:rPr>
      </w:pPr>
      <w:r w:rsidRPr="00BA6D82">
        <w:rPr>
          <w:rFonts w:ascii="Times New Roman" w:hAnsi="Times New Roman" w:cs="Times New Roman"/>
          <w:b/>
          <w:bCs/>
          <w:lang w:val="en-US"/>
        </w:rPr>
        <w:t xml:space="preserve">Figure S2: 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>Frequency of B cells expressing CD27 receptor</w:t>
      </w:r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 xml:space="preserve"> in the spleen, cervical lymph </w:t>
      </w:r>
      <w:proofErr w:type="spellStart"/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>hnode</w:t>
      </w:r>
      <w:proofErr w:type="spellEnd"/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 xml:space="preserve"> (</w:t>
      </w:r>
      <w:proofErr w:type="spellStart"/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>cLN</w:t>
      </w:r>
      <w:proofErr w:type="spellEnd"/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 xml:space="preserve">) and the bone marrow (BM), 4 weeks after SL boost in absence or presence of CHI (formulated as liquid or patch) in young mice. </w:t>
      </w:r>
      <w:r w:rsidRPr="00BA6D82">
        <w:rPr>
          <w:rFonts w:ascii="Times New Roman" w:hAnsi="Times New Roman" w:cs="Times New Roman"/>
          <w:i/>
          <w:iCs/>
          <w:lang w:val="en-GB"/>
        </w:rPr>
        <w:t>N=5. Data are presented as mean ± SD and statistically analysed using one-way ANOVA followed by Tukey’s multiple comparison test (ns: p &gt; 0.05).</w:t>
      </w:r>
    </w:p>
    <w:p w14:paraId="6C0A81DC" w14:textId="77777777" w:rsidR="00EA2CAD" w:rsidRPr="0090775B" w:rsidRDefault="00EA2CAD" w:rsidP="00EA2CAD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A24C65C" w14:textId="77777777" w:rsidR="00EA2CAD" w:rsidRPr="00BA6D82" w:rsidRDefault="00EA2CAD" w:rsidP="00EA2CAD">
      <w:pPr>
        <w:jc w:val="both"/>
        <w:rPr>
          <w:rFonts w:ascii="Times New Roman" w:hAnsi="Times New Roman" w:cs="Times New Roman"/>
          <w:lang w:val="en-US"/>
        </w:rPr>
      </w:pPr>
    </w:p>
    <w:p w14:paraId="1FDAB7ED" w14:textId="77777777" w:rsidR="00EA2CAD" w:rsidRPr="00BA6D82" w:rsidRDefault="00EA2CAD" w:rsidP="00EA2CAD">
      <w:pPr>
        <w:jc w:val="both"/>
        <w:rPr>
          <w:rFonts w:ascii="Times New Roman" w:hAnsi="Times New Roman" w:cs="Times New Roman"/>
        </w:rPr>
      </w:pPr>
      <w:r w:rsidRPr="00BA6D82">
        <w:rPr>
          <w:rFonts w:ascii="Times New Roman" w:hAnsi="Times New Roman" w:cs="Times New Roman"/>
        </w:rPr>
        <w:object w:dxaOrig="6122" w:dyaOrig="5530" w14:anchorId="5A6B29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pt;height:276pt" o:ole="">
            <v:imagedata r:id="rId6" o:title=""/>
          </v:shape>
          <o:OLEObject Type="Embed" ProgID="Prism10.Document" ShapeID="_x0000_i1025" DrawAspect="Content" ObjectID="_1853325858" r:id="rId7"/>
        </w:object>
      </w:r>
    </w:p>
    <w:p w14:paraId="24CEC648" w14:textId="77777777" w:rsidR="00EA2CAD" w:rsidRPr="00C81A3D" w:rsidRDefault="00EA2CAD" w:rsidP="00EA2CAD">
      <w:pPr>
        <w:jc w:val="both"/>
        <w:rPr>
          <w:rFonts w:ascii="Times New Roman" w:hAnsi="Times New Roman" w:cs="Times New Roman"/>
          <w:noProof/>
          <w:lang w:val="en-GB"/>
        </w:rPr>
      </w:pPr>
      <w:r w:rsidRPr="00BA6D82">
        <w:rPr>
          <w:rFonts w:ascii="Times New Roman" w:hAnsi="Times New Roman" w:cs="Times New Roman"/>
          <w:b/>
          <w:bCs/>
          <w:lang w:val="en-US"/>
        </w:rPr>
        <w:t>Fig S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BA6D82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 xml:space="preserve">Systemic 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>(</w:t>
      </w:r>
      <w:proofErr w:type="spellStart"/>
      <w:proofErr w:type="gramStart"/>
      <w:r>
        <w:rPr>
          <w:rFonts w:ascii="Times New Roman" w:hAnsi="Times New Roman" w:cs="Times New Roman"/>
          <w:b/>
          <w:bCs/>
          <w:i/>
          <w:iCs/>
          <w:lang w:val="en-GB"/>
        </w:rPr>
        <w:t>non specific</w:t>
      </w:r>
      <w:proofErr w:type="spellEnd"/>
      <w:proofErr w:type="gramEnd"/>
      <w:r>
        <w:rPr>
          <w:rFonts w:ascii="Times New Roman" w:hAnsi="Times New Roman" w:cs="Times New Roman"/>
          <w:b/>
          <w:bCs/>
          <w:i/>
          <w:iCs/>
          <w:lang w:val="en-GB"/>
        </w:rPr>
        <w:t>) IgE</w:t>
      </w:r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>concentration in the blood of young (3 months) and aged (18 months) animals.</w:t>
      </w:r>
      <w:r w:rsidRPr="00BA6D82">
        <w:rPr>
          <w:rFonts w:ascii="Times New Roman" w:hAnsi="Times New Roman" w:cs="Times New Roman"/>
          <w:i/>
          <w:iCs/>
          <w:lang w:val="en-GB"/>
        </w:rPr>
        <w:t xml:space="preserve"> Comparison of </w:t>
      </w:r>
      <w:r>
        <w:rPr>
          <w:rFonts w:ascii="Times New Roman" w:hAnsi="Times New Roman" w:cs="Times New Roman"/>
          <w:i/>
          <w:iCs/>
          <w:lang w:val="en-GB"/>
        </w:rPr>
        <w:t>IgE concentration</w:t>
      </w:r>
      <w:r w:rsidRPr="00BA6D82">
        <w:rPr>
          <w:rFonts w:ascii="Times New Roman" w:hAnsi="Times New Roman" w:cs="Times New Roman"/>
          <w:i/>
          <w:iCs/>
          <w:lang w:val="en-GB"/>
        </w:rPr>
        <w:t xml:space="preserve"> determined by ELISA at 4 weeks after SC or SL boost</w:t>
      </w:r>
      <w:r>
        <w:rPr>
          <w:rFonts w:ascii="Times New Roman" w:hAnsi="Times New Roman" w:cs="Times New Roman"/>
          <w:i/>
          <w:iCs/>
          <w:lang w:val="en-GB"/>
        </w:rPr>
        <w:t>.</w:t>
      </w:r>
      <w:r w:rsidRPr="00AE592D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BA6D82">
        <w:rPr>
          <w:rFonts w:ascii="Times New Roman" w:hAnsi="Times New Roman" w:cs="Times New Roman"/>
          <w:i/>
          <w:iCs/>
          <w:lang w:val="en-GB"/>
        </w:rPr>
        <w:t>N=</w:t>
      </w:r>
      <w:r>
        <w:rPr>
          <w:rFonts w:ascii="Times New Roman" w:hAnsi="Times New Roman" w:cs="Times New Roman"/>
          <w:i/>
          <w:iCs/>
          <w:lang w:val="en-GB"/>
        </w:rPr>
        <w:t>8-10</w:t>
      </w:r>
      <w:r w:rsidRPr="00BA6D82">
        <w:rPr>
          <w:rFonts w:ascii="Times New Roman" w:hAnsi="Times New Roman" w:cs="Times New Roman"/>
          <w:i/>
          <w:iCs/>
          <w:lang w:val="en-GB"/>
        </w:rPr>
        <w:t>. Data are presented as mean ± SD and statistically analysed using one-way ANOVA followed by Tukey’s multiple comparison test</w:t>
      </w:r>
      <w:r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BA6D82">
        <w:rPr>
          <w:rFonts w:ascii="Times New Roman" w:hAnsi="Times New Roman" w:cs="Times New Roman"/>
          <w:i/>
          <w:iCs/>
          <w:lang w:val="en-GB"/>
        </w:rPr>
        <w:t>(ns: p &gt; 0.05, ****: p &lt; 0.00001).</w:t>
      </w:r>
    </w:p>
    <w:p w14:paraId="2B998110" w14:textId="77777777" w:rsidR="00EA2CAD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AF91289" w14:textId="77777777" w:rsidR="00EA2CAD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048F5CE" w14:textId="77777777" w:rsidR="00EA2CAD" w:rsidRPr="00BA6D8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13C2E888" wp14:editId="375F541E">
            <wp:extent cx="5246768" cy="2390767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992" cy="2397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A7FC2" w14:textId="77777777" w:rsidR="00EA2CAD" w:rsidRPr="00BA6D82" w:rsidRDefault="00EA2CAD" w:rsidP="00EA2CAD">
      <w:pPr>
        <w:jc w:val="both"/>
        <w:rPr>
          <w:rFonts w:ascii="Times New Roman" w:hAnsi="Times New Roman" w:cs="Times New Roman"/>
          <w:lang w:val="en-US"/>
        </w:rPr>
      </w:pPr>
    </w:p>
    <w:p w14:paraId="4FD3F77D" w14:textId="77777777" w:rsidR="00EA2CAD" w:rsidRPr="00BA6D8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BA6D82">
        <w:rPr>
          <w:rFonts w:ascii="Times New Roman" w:hAnsi="Times New Roman" w:cs="Times New Roman"/>
          <w:b/>
          <w:bCs/>
          <w:lang w:val="en-US"/>
        </w:rPr>
        <w:t>Figure S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BA6D82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>T cell response to the sublingual vaccine in young and aged mice.</w:t>
      </w:r>
      <w:r w:rsidRPr="00BA6D82"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 w:rsidRPr="00BA6D82">
        <w:rPr>
          <w:rFonts w:ascii="Times New Roman" w:hAnsi="Times New Roman" w:cs="Times New Roman"/>
          <w:i/>
          <w:iCs/>
          <w:lang w:val="en-US"/>
        </w:rPr>
        <w:t>Multifunctionnal</w:t>
      </w:r>
      <w:proofErr w:type="spellEnd"/>
      <w:r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iCs/>
          <w:lang w:val="en-US"/>
        </w:rPr>
        <w:t xml:space="preserve">non </w:t>
      </w:r>
      <w:r w:rsidRPr="00BA6D82">
        <w:rPr>
          <w:rFonts w:ascii="Times New Roman" w:hAnsi="Times New Roman" w:cs="Times New Roman"/>
          <w:i/>
          <w:iCs/>
          <w:lang w:val="en-US"/>
        </w:rPr>
        <w:t>specific</w:t>
      </w:r>
      <w:proofErr w:type="spellEnd"/>
      <w:proofErr w:type="gramEnd"/>
      <w:r w:rsidRPr="00BA6D82">
        <w:rPr>
          <w:rFonts w:ascii="Times New Roman" w:hAnsi="Times New Roman" w:cs="Times New Roman"/>
          <w:i/>
          <w:iCs/>
          <w:lang w:val="en-US"/>
        </w:rPr>
        <w:t xml:space="preserve"> Th1 CD4/CD8 cytokine-secreting response</w:t>
      </w:r>
      <w:r>
        <w:rPr>
          <w:rFonts w:ascii="Times New Roman" w:hAnsi="Times New Roman" w:cs="Times New Roman"/>
          <w:i/>
          <w:iCs/>
          <w:lang w:val="en-US"/>
        </w:rPr>
        <w:t xml:space="preserve"> (</w:t>
      </w:r>
      <w:r w:rsidRPr="006F159A">
        <w:rPr>
          <w:rFonts w:ascii="Times New Roman" w:hAnsi="Times New Roman" w:cs="Times New Roman"/>
          <w:i/>
          <w:iCs/>
          <w:lang w:val="en-US"/>
        </w:rPr>
        <w:t>stimulation of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6F159A">
        <w:rPr>
          <w:rFonts w:ascii="Times New Roman" w:hAnsi="Times New Roman" w:cs="Times New Roman"/>
          <w:i/>
          <w:iCs/>
          <w:lang w:val="en-US"/>
        </w:rPr>
        <w:t>cells by PMA/ionomycin</w:t>
      </w:r>
      <w:r>
        <w:rPr>
          <w:rFonts w:ascii="Times New Roman" w:hAnsi="Times New Roman" w:cs="Times New Roman"/>
          <w:i/>
          <w:iCs/>
          <w:lang w:val="en-US"/>
        </w:rPr>
        <w:t>)</w:t>
      </w:r>
      <w:r w:rsidRPr="00BA6D82">
        <w:rPr>
          <w:rFonts w:ascii="Times New Roman" w:hAnsi="Times New Roman" w:cs="Times New Roman"/>
          <w:i/>
          <w:iCs/>
          <w:lang w:val="en-US"/>
        </w:rPr>
        <w:t>, represented by pie charts indicating the expression of cytokine combinations from CD4</w:t>
      </w:r>
      <w:r w:rsidRPr="00BA6D82">
        <w:rPr>
          <w:rFonts w:ascii="Times New Roman" w:hAnsi="Times New Roman" w:cs="Times New Roman"/>
          <w:i/>
          <w:iCs/>
          <w:vertAlign w:val="superscript"/>
          <w:lang w:val="en-US"/>
        </w:rPr>
        <w:t>+</w:t>
      </w:r>
      <w:r w:rsidRPr="00BA6D82">
        <w:rPr>
          <w:rFonts w:ascii="Times New Roman" w:hAnsi="Times New Roman" w:cs="Times New Roman"/>
          <w:i/>
          <w:iCs/>
          <w:lang w:val="en-US"/>
        </w:rPr>
        <w:t xml:space="preserve"> and CD8</w:t>
      </w:r>
      <w:r w:rsidRPr="00BA6D82">
        <w:rPr>
          <w:rFonts w:ascii="Times New Roman" w:hAnsi="Times New Roman" w:cs="Times New Roman"/>
          <w:i/>
          <w:iCs/>
          <w:vertAlign w:val="superscript"/>
          <w:lang w:val="en-US"/>
        </w:rPr>
        <w:t>+</w:t>
      </w:r>
      <w:r w:rsidRPr="00BA6D82">
        <w:rPr>
          <w:rFonts w:ascii="Times New Roman" w:hAnsi="Times New Roman" w:cs="Times New Roman"/>
          <w:i/>
          <w:iCs/>
          <w:lang w:val="en-US"/>
        </w:rPr>
        <w:t xml:space="preserve"> T cells</w:t>
      </w:r>
      <w:r>
        <w:rPr>
          <w:rFonts w:ascii="Times New Roman" w:hAnsi="Times New Roman" w:cs="Times New Roman"/>
          <w:i/>
          <w:iCs/>
          <w:lang w:val="en-US"/>
        </w:rPr>
        <w:t>.</w:t>
      </w:r>
    </w:p>
    <w:p w14:paraId="11CA5F9A" w14:textId="77777777" w:rsidR="00EA2CAD" w:rsidRPr="00BA6D8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C26267" w14:textId="77777777" w:rsidR="00EA2CAD" w:rsidRPr="00BA6D8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B45B987" w14:textId="77777777" w:rsidR="00EA2CAD" w:rsidRPr="00BA6D8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BA6D8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F2ACAE7" wp14:editId="07B6EF1E">
            <wp:extent cx="4316095" cy="2621280"/>
            <wp:effectExtent l="0" t="0" r="0" b="762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62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B14B0" w14:textId="77777777" w:rsidR="00EA2CAD" w:rsidRPr="00BA6D82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1855099" w14:textId="77777777" w:rsidR="00EA2CAD" w:rsidRPr="00BA6D82" w:rsidRDefault="00EA2CAD" w:rsidP="00EA2CAD">
      <w:pPr>
        <w:jc w:val="both"/>
        <w:rPr>
          <w:rFonts w:ascii="Times New Roman" w:hAnsi="Times New Roman" w:cs="Times New Roman"/>
          <w:noProof/>
          <w:lang w:val="en-GB"/>
        </w:rPr>
      </w:pPr>
      <w:r w:rsidRPr="00BA6D82">
        <w:rPr>
          <w:rFonts w:ascii="Times New Roman" w:hAnsi="Times New Roman" w:cs="Times New Roman"/>
          <w:b/>
          <w:bCs/>
          <w:lang w:val="en-US"/>
        </w:rPr>
        <w:t>Fig S</w:t>
      </w:r>
      <w:r>
        <w:rPr>
          <w:rFonts w:ascii="Times New Roman" w:hAnsi="Times New Roman" w:cs="Times New Roman"/>
          <w:b/>
          <w:bCs/>
          <w:lang w:val="en-US"/>
        </w:rPr>
        <w:t>5</w:t>
      </w:r>
      <w:r w:rsidRPr="00BA6D82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en-GB"/>
        </w:rPr>
        <w:t>Spleen</w:t>
      </w:r>
      <w:r w:rsidRPr="00BA6D82">
        <w:rPr>
          <w:rFonts w:ascii="Times New Roman" w:hAnsi="Times New Roman" w:cs="Times New Roman"/>
          <w:b/>
          <w:bCs/>
          <w:i/>
          <w:iCs/>
          <w:lang w:val="en-GB"/>
        </w:rPr>
        <w:t xml:space="preserve"> immunophenotyping after SC or SL boost in young and aged mice. </w:t>
      </w:r>
      <w:r w:rsidRPr="00BA6D82">
        <w:rPr>
          <w:rFonts w:ascii="Times New Roman" w:hAnsi="Times New Roman" w:cs="Times New Roman"/>
          <w:i/>
          <w:iCs/>
          <w:lang w:val="en-GB"/>
        </w:rPr>
        <w:t xml:space="preserve">Frequency of </w:t>
      </w:r>
      <w:r>
        <w:rPr>
          <w:rFonts w:ascii="Times New Roman" w:hAnsi="Times New Roman" w:cs="Times New Roman"/>
          <w:i/>
          <w:iCs/>
          <w:lang w:val="en-GB"/>
        </w:rPr>
        <w:t xml:space="preserve">marginal zone </w:t>
      </w:r>
      <w:proofErr w:type="spellStart"/>
      <w:r>
        <w:rPr>
          <w:rFonts w:ascii="Times New Roman" w:hAnsi="Times New Roman" w:cs="Times New Roman"/>
          <w:i/>
          <w:iCs/>
          <w:lang w:val="en-GB"/>
        </w:rPr>
        <w:t>Bcells</w:t>
      </w:r>
      <w:proofErr w:type="spellEnd"/>
      <w:r w:rsidRPr="00BA6D82">
        <w:rPr>
          <w:rFonts w:ascii="Times New Roman" w:hAnsi="Times New Roman" w:cs="Times New Roman"/>
          <w:i/>
          <w:iCs/>
          <w:lang w:val="en-GB"/>
        </w:rPr>
        <w:t xml:space="preserve"> (A) </w:t>
      </w:r>
      <w:r>
        <w:rPr>
          <w:rFonts w:ascii="Times New Roman" w:hAnsi="Times New Roman" w:cs="Times New Roman"/>
          <w:i/>
          <w:iCs/>
          <w:lang w:val="en-GB"/>
        </w:rPr>
        <w:t>and</w:t>
      </w:r>
      <w:r w:rsidRPr="00BA6D82">
        <w:rPr>
          <w:rFonts w:ascii="Times New Roman" w:hAnsi="Times New Roman" w:cs="Times New Roman"/>
          <w:i/>
          <w:iCs/>
          <w:lang w:val="en-GB"/>
        </w:rPr>
        <w:t xml:space="preserve"> (B) </w:t>
      </w:r>
      <w:r>
        <w:rPr>
          <w:rFonts w:ascii="Times New Roman" w:hAnsi="Times New Roman" w:cs="Times New Roman"/>
          <w:i/>
          <w:iCs/>
          <w:lang w:val="en-GB"/>
        </w:rPr>
        <w:t xml:space="preserve">follicular B cells. </w:t>
      </w:r>
      <w:r w:rsidRPr="00BA6D82">
        <w:rPr>
          <w:rFonts w:ascii="Times New Roman" w:hAnsi="Times New Roman" w:cs="Times New Roman"/>
          <w:i/>
          <w:iCs/>
          <w:lang w:val="en-GB"/>
        </w:rPr>
        <w:t>N=5. Data are presented as mean ± SD and statistically analysed using one-way ANOVA followed by Tukey’s multiple comparison test (ns: p &gt; 0.05, **: p &lt; 0.001).</w:t>
      </w:r>
    </w:p>
    <w:p w14:paraId="6271BAF2" w14:textId="77777777" w:rsidR="00EA2CAD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01DCD0D" w14:textId="77777777" w:rsidR="00EA2CAD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4174A8">
        <w:rPr>
          <w:noProof/>
        </w:rPr>
        <w:drawing>
          <wp:inline distT="0" distB="0" distL="0" distR="0" wp14:anchorId="0FFFF44B" wp14:editId="694BA308">
            <wp:extent cx="4547937" cy="4092742"/>
            <wp:effectExtent l="0" t="0" r="5080" b="317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631" cy="40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CC73E" w14:textId="5CB342D4" w:rsidR="00C6465A" w:rsidRPr="00EA2CAD" w:rsidRDefault="00EA2CAD" w:rsidP="00EA2CAD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 Table 1: </w:t>
      </w:r>
      <w:r w:rsidRPr="004174A8">
        <w:rPr>
          <w:rFonts w:ascii="Times New Roman" w:hAnsi="Times New Roman" w:cs="Times New Roman"/>
          <w:b/>
          <w:bCs/>
          <w:lang w:val="en-US"/>
        </w:rPr>
        <w:t>Flow cytometry antibodies used for immunophenotyping (clone, fluorochrome)</w:t>
      </w:r>
      <w:r>
        <w:rPr>
          <w:rFonts w:ascii="Times New Roman" w:hAnsi="Times New Roman" w:cs="Times New Roman"/>
          <w:b/>
          <w:bCs/>
          <w:lang w:val="en-US"/>
        </w:rPr>
        <w:t>.</w:t>
      </w:r>
    </w:p>
    <w:sectPr w:rsidR="00C6465A" w:rsidRPr="00EA2CAD" w:rsidSect="00EA2CAD">
      <w:footerReference w:type="default" r:id="rId11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34578"/>
      <w:docPartObj>
        <w:docPartGallery w:val="Page Numbers (Bottom of Page)"/>
        <w:docPartUnique/>
      </w:docPartObj>
    </w:sdtPr>
    <w:sdtContent>
      <w:p w14:paraId="15BA562E" w14:textId="77777777" w:rsidR="00EA2CAD" w:rsidRDefault="00EA2CA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88E83F" w14:textId="77777777" w:rsidR="00EA2CAD" w:rsidRDefault="00EA2CA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AD"/>
    <w:rsid w:val="000905F0"/>
    <w:rsid w:val="00112C91"/>
    <w:rsid w:val="00242B4F"/>
    <w:rsid w:val="00302F9E"/>
    <w:rsid w:val="004E23CF"/>
    <w:rsid w:val="006D5216"/>
    <w:rsid w:val="00A80498"/>
    <w:rsid w:val="00AE61FF"/>
    <w:rsid w:val="00C52040"/>
    <w:rsid w:val="00C62D14"/>
    <w:rsid w:val="00C6465A"/>
    <w:rsid w:val="00EA2CAD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32C11"/>
  <w15:chartTrackingRefBased/>
  <w15:docId w15:val="{1ADF613D-721E-4FE3-876E-F08C0C08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CAD"/>
    <w:pPr>
      <w:spacing w:line="259" w:lineRule="auto"/>
    </w:pPr>
    <w:rPr>
      <w:kern w:val="0"/>
      <w:sz w:val="22"/>
      <w:szCs w:val="22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C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C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C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C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C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C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C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C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C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2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C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2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CA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2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CAD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2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CA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A2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CAD"/>
    <w:rPr>
      <w:kern w:val="0"/>
      <w:sz w:val="22"/>
      <w:szCs w:val="22"/>
      <w:lang w:val="fr-FR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A2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oter" Target="footer1.xml"/><Relationship Id="rId5" Type="http://schemas.openxmlformats.org/officeDocument/2006/relationships/image" Target="media/image2.png"/><Relationship Id="rId10" Type="http://schemas.openxmlformats.org/officeDocument/2006/relationships/image" Target="media/image6.emf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2026-10-12T10:26:00Z</dcterms:created>
  <dcterms:modified xsi:type="dcterms:W3CDTF">2026-10-12T10:27:00Z</dcterms:modified>
</cp:coreProperties>
</file>