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6" w:name="supplementary-material"/>
    <w:p>
      <w:pPr>
        <w:pStyle w:val="Heading1"/>
      </w:pPr>
      <w:r>
        <w:t xml:space="preserve">Supplementary Material</w:t>
      </w:r>
    </w:p>
    <w:bookmarkStart w:id="24" w:name="s1.-field-level-agreement-metrics"/>
    <w:p>
      <w:pPr>
        <w:pStyle w:val="Heading2"/>
      </w:pPr>
      <w:r>
        <w:t xml:space="preserve">S1. Field-level agreement metrics</w:t>
      </w:r>
    </w:p>
    <w:p>
      <w:pPr>
        <w:pStyle w:val="FirstParagraph"/>
      </w:pPr>
      <w:r>
        <w:t xml:space="preserve">Field names come from the frozen field table. The complete field-level listing and set relations appear in</w:t>
      </w:r>
      <w:r>
        <w:t xml:space="preserve"> </w:t>
      </w:r>
      <w:r>
        <w:t xml:space="preserve">“</w:t>
      </w:r>
      <w:r>
        <w:t xml:space="preserve">Supplementary Table S1 - field-level sets and decision rules</w:t>
      </w:r>
      <w:r>
        <w:t xml:space="preserve">”</w:t>
      </w:r>
      <w:r>
        <w:t xml:space="preserve">.</w:t>
      </w:r>
    </w:p>
    <w:bookmarkStart w:id="20" w:name="Xc6dcf73ea81b6f0fa5100d7d5e3abdaf063f424"/>
    <w:p>
      <w:pPr>
        <w:pStyle w:val="Heading3"/>
      </w:pPr>
      <w:r>
        <w:t xml:space="preserve">S1a. Registration-versus-practice deviation table (post hoc)</w:t>
      </w:r>
    </w:p>
    <w:p>
      <w:pPr>
        <w:pStyle w:val="FirstParagraph"/>
      </w:pPr>
      <w:r>
        <w:t xml:space="preserve">The registration stated agreement reporting as percentage agreement plus, where the denominator permits, a chance-corrected statistic. The following operationalisations were made during analysis, after the data were visible.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Registered statement</w:t>
            </w:r>
          </w:p>
        </w:tc>
        <w:tc>
          <w:tcPr/>
          <w:p>
            <w:pPr>
              <w:pStyle w:val="Compact"/>
              <w:jc w:val="left"/>
            </w:pPr>
            <w:r>
              <w:t xml:space="preserve">Actual practice</w:t>
            </w:r>
          </w:p>
        </w:tc>
        <w:tc>
          <w:tcPr/>
          <w:p>
            <w:pPr>
              <w:pStyle w:val="Compact"/>
              <w:jc w:val="left"/>
            </w:pPr>
            <w:r>
              <w:t xml:space="preserve">Reason</w:t>
            </w:r>
          </w:p>
        </w:tc>
        <w:tc>
          <w:tcPr/>
          <w:p>
            <w:pPr>
              <w:pStyle w:val="Compact"/>
              <w:jc w:val="left"/>
            </w:pPr>
            <w:r>
              <w:t xml:space="preserve">Decided before or after data inspection</w:t>
            </w:r>
          </w:p>
        </w:tc>
      </w:tr>
      <w:tr>
        <w:tc>
          <w:tcPr/>
          <w:p>
            <w:pPr>
              <w:pStyle w:val="Compact"/>
              <w:jc w:val="left"/>
            </w:pPr>
            <w:r>
              <w:t xml:space="preserve">Percentage agreement plus, where the denominator permits, a chance-corrected statistic</w:t>
            </w:r>
          </w:p>
        </w:tc>
        <w:tc>
          <w:tcPr/>
          <w:p>
            <w:pPr>
              <w:pStyle w:val="Compact"/>
              <w:jc w:val="left"/>
            </w:pPr>
            <w:r>
              <w:t xml:space="preserve">α computed for 26 fields (20 nominal, 6 binary); Po only for 3 free-text transcription fields</w:t>
            </w:r>
          </w:p>
        </w:tc>
        <w:tc>
          <w:tcPr/>
          <w:p>
            <w:pPr>
              <w:pStyle w:val="Compact"/>
              <w:jc w:val="left"/>
            </w:pPr>
            <w:r>
              <w:t xml:space="preserve">Free-text fields have no closed category set; α was not adopted because a chance model over literal strings does not match the semantic agreement of interest</w:t>
            </w:r>
          </w:p>
        </w:tc>
        <w:tc>
          <w:tcPr/>
          <w:p>
            <w:pPr>
              <w:pStyle w:val="Compact"/>
              <w:jc w:val="left"/>
            </w:pPr>
            <w:r>
              <w:t xml:space="preserve">After</w:t>
            </w:r>
          </w:p>
        </w:tc>
      </w:tr>
      <w:tr>
        <w:tc>
          <w:tcPr/>
          <w:p>
            <w:pPr>
              <w:pStyle w:val="Compact"/>
              <w:jc w:val="left"/>
            </w:pPr>
            <w:r>
              <w:t xml:space="preserve">α ≥ 0.80 reliability floor (registered, S5 V3)</w:t>
            </w:r>
          </w:p>
        </w:tc>
        <w:tc>
          <w:tcPr/>
          <w:p>
            <w:pPr>
              <w:pStyle w:val="Compact"/>
              <w:jc w:val="left"/>
            </w:pPr>
            <w:r>
              <w:t xml:space="preserve">α &lt; 0.67 used as the lower floor in analysis, following Krippendorff’s tentative-conclusions convention; the registered α ≥ 0.80 floor retained only as a sensitivity reference</w:t>
            </w:r>
          </w:p>
        </w:tc>
        <w:tc>
          <w:tcPr/>
          <w:p>
            <w:pPr>
              <w:pStyle w:val="Compact"/>
              <w:jc w:val="left"/>
            </w:pPr>
            <w:r>
              <w:t xml:space="preserve">Lower floor relaxed from the registered 0.80 to 0.67 after data were visible</w:t>
            </w:r>
          </w:p>
        </w:tc>
        <w:tc>
          <w:tcPr/>
          <w:p>
            <w:pPr>
              <w:pStyle w:val="Compact"/>
              <w:jc w:val="left"/>
            </w:pPr>
            <w:r>
              <w:t xml:space="preserve">After</w:t>
            </w:r>
          </w:p>
        </w:tc>
      </w:tr>
      <w:tr>
        <w:tc>
          <w:tcPr/>
          <w:p>
            <w:pPr>
              <w:pStyle w:val="Compact"/>
              <w:jc w:val="left"/>
            </w:pPr>
            <w:r>
              <w:t xml:space="preserve">(no field-type classification specified)</w:t>
            </w:r>
          </w:p>
        </w:tc>
        <w:tc>
          <w:tcPr/>
          <w:p>
            <w:pPr>
              <w:pStyle w:val="Compact"/>
              <w:jc w:val="left"/>
            </w:pPr>
            <w:r>
              <w:t xml:space="preserve">Fields classified as nominal / binary endpoint indicator / free-text transcription</w:t>
            </w:r>
          </w:p>
        </w:tc>
        <w:tc>
          <w:tcPr/>
          <w:p>
            <w:pPr>
              <w:pStyle w:val="Compact"/>
              <w:jc w:val="left"/>
            </w:pPr>
            <w:r>
              <w:t xml:space="preserve">Analytic convenience; classification not registered</w:t>
            </w:r>
          </w:p>
        </w:tc>
        <w:tc>
          <w:tcPr/>
          <w:p>
            <w:pPr>
              <w:pStyle w:val="Compact"/>
              <w:jc w:val="left"/>
            </w:pPr>
            <w:r>
              <w:t xml:space="preserve">After</w:t>
            </w:r>
          </w:p>
        </w:tc>
      </w:tr>
      <w:tr>
        <w:tc>
          <w:tcPr/>
          <w:p>
            <w:pPr>
              <w:pStyle w:val="Compact"/>
              <w:jc w:val="left"/>
            </w:pPr>
            <w:r>
              <w:t xml:space="preserve">(no grouping specified)</w:t>
            </w:r>
          </w:p>
        </w:tc>
        <w:tc>
          <w:tcPr/>
          <w:p>
            <w:pPr>
              <w:pStyle w:val="Compact"/>
              <w:jc w:val="left"/>
            </w:pPr>
            <w:r>
              <w:t xml:space="preserve">The 20-nominal-field grouping used in earlier versions was replaced by the 26-field α-computed set</w:t>
            </w:r>
          </w:p>
        </w:tc>
        <w:tc>
          <w:tcPr/>
          <w:p>
            <w:pPr>
              <w:pStyle w:val="Compact"/>
              <w:jc w:val="left"/>
            </w:pPr>
            <w:r>
              <w:t xml:space="preserve">Earlier grouping excluded six computable binary fields; corrected to avoid outcome-reporting bias</w:t>
            </w:r>
          </w:p>
        </w:tc>
        <w:tc>
          <w:tcPr/>
          <w:p>
            <w:pPr>
              <w:pStyle w:val="Compact"/>
              <w:jc w:val="left"/>
            </w:pPr>
            <w:r>
              <w:t xml:space="preserve">After</w:t>
            </w:r>
          </w:p>
        </w:tc>
      </w:tr>
      <w:tr>
        <w:tc>
          <w:tcPr/>
          <w:p>
            <w:pPr>
              <w:pStyle w:val="Compact"/>
              <w:jc w:val="left"/>
            </w:pPr>
            <w:r>
              <w:t xml:space="preserve">(no prevalence-adjusted agreement analyses specified)</w:t>
            </w:r>
          </w:p>
        </w:tc>
        <w:tc>
          <w:tcPr/>
          <w:p>
            <w:pPr>
              <w:pStyle w:val="Compact"/>
              <w:jc w:val="left"/>
            </w:pPr>
            <w:r>
              <w:t xml:space="preserve">Binary per-label α, prevalence, positive- and negative-specific agreement and PABAK (S1c.2); distinct from the unresolved-record sensitivity analysis in Manuscript §2.9</w:t>
            </w:r>
          </w:p>
        </w:tc>
        <w:tc>
          <w:tcPr/>
          <w:p>
            <w:pPr>
              <w:pStyle w:val="Compact"/>
              <w:jc w:val="left"/>
            </w:pPr>
            <w:r>
              <w:t xml:space="preserve">All post hoc descriptive analyses</w:t>
            </w:r>
          </w:p>
        </w:tc>
        <w:tc>
          <w:tcPr/>
          <w:p>
            <w:pPr>
              <w:pStyle w:val="Compact"/>
              <w:jc w:val="left"/>
            </w:pPr>
            <w:r>
              <w:t xml:space="preserve">After</w:t>
            </w:r>
          </w:p>
        </w:tc>
      </w:tr>
    </w:tbl>
    <w:bookmarkEnd w:id="20"/>
    <w:bookmarkStart w:id="21" w:name="X2c70076416b3c9c4e879968712efabaabf9da14"/>
    <w:p>
      <w:pPr>
        <w:pStyle w:val="Heading3"/>
      </w:pPr>
      <w:r>
        <w:t xml:space="preserve">Table S1. Field-level sets and decision rules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Set</w:t>
            </w:r>
          </w:p>
        </w:tc>
        <w:tc>
          <w:tcPr/>
          <w:p>
            <w:pPr>
              <w:pStyle w:val="Compact"/>
              <w:jc w:val="left"/>
            </w:pPr>
            <w:r>
              <w:t xml:space="preserve">Count</w:t>
            </w:r>
          </w:p>
        </w:tc>
        <w:tc>
          <w:tcPr/>
          <w:p>
            <w:pPr>
              <w:pStyle w:val="Compact"/>
              <w:jc w:val="left"/>
            </w:pPr>
            <w:r>
              <w:t xml:space="preserve">Criterion</w:t>
            </w:r>
          </w:p>
        </w:tc>
        <w:tc>
          <w:tcPr/>
          <w:p>
            <w:pPr>
              <w:pStyle w:val="Compact"/>
              <w:jc w:val="left"/>
            </w:pPr>
            <w:r>
              <w:t xml:space="preserve">Field names</w:t>
            </w:r>
          </w:p>
        </w:tc>
        <w:tc>
          <w:tcPr/>
          <w:p>
            <w:pPr>
              <w:pStyle w:val="Compact"/>
              <w:jc w:val="left"/>
            </w:pPr>
            <w:r>
              <w:t xml:space="preserve">Set relation</w:t>
            </w:r>
          </w:p>
        </w:tc>
      </w:tr>
      <w:tr>
        <w:tc>
          <w:tcPr/>
          <w:p>
            <w:pPr>
              <w:pStyle w:val="Compact"/>
              <w:jc w:val="left"/>
            </w:pPr>
            <w:r>
              <w:t xml:space="preserve">Po-fail fields</w:t>
            </w:r>
          </w:p>
        </w:tc>
        <w:tc>
          <w:tcPr/>
          <w:p>
            <w:pPr>
              <w:pStyle w:val="Compact"/>
              <w:jc w:val="left"/>
            </w:pPr>
            <w:r>
              <w:t xml:space="preserve">8</w:t>
            </w:r>
          </w:p>
        </w:tc>
        <w:tc>
          <w:tcPr/>
          <w:p>
            <w:pPr>
              <w:pStyle w:val="Compact"/>
              <w:jc w:val="left"/>
            </w:pPr>
            <w:r>
              <w:t xml:space="preserve">Po &lt; 0.80</w:t>
            </w:r>
          </w:p>
        </w:tc>
        <w:tc>
          <w:tcPr/>
          <w:p>
            <w:pPr>
              <w:pStyle w:val="Compact"/>
              <w:jc w:val="left"/>
            </w:pPr>
            <w:r>
              <w:t xml:space="preserve">intended_use_author, access_interface, study_design_reviewer, evaluation_scale_unit, sample_unit, model_version, comparator, endpoint_L2</w:t>
            </w:r>
          </w:p>
        </w:tc>
        <w:tc>
          <w:tcPr/>
          <w:p>
            <w:pPr>
              <w:pStyle w:val="Compact"/>
              <w:jc w:val="left"/>
            </w:pPr>
            <w:r>
              <w:t xml:space="preserve">disjoint from the fields that clear Po while missing α</w:t>
            </w:r>
          </w:p>
        </w:tc>
      </w:tr>
      <w:tr>
        <w:tc>
          <w:tcPr/>
          <w:p>
            <w:pPr>
              <w:pStyle w:val="Compact"/>
              <w:jc w:val="left"/>
            </w:pPr>
            <w:r>
              <w:t xml:space="preserve">Fields clearing Po while missing α</w:t>
            </w:r>
          </w:p>
        </w:tc>
        <w:tc>
          <w:tcPr/>
          <w:p>
            <w:pPr>
              <w:pStyle w:val="Compact"/>
              <w:jc w:val="left"/>
            </w:pPr>
            <w:r>
              <w:t xml:space="preserve">7</w:t>
            </w:r>
          </w:p>
        </w:tc>
        <w:tc>
          <w:tcPr/>
          <w:p>
            <w:pPr>
              <w:pStyle w:val="Compact"/>
              <w:jc w:val="left"/>
            </w:pPr>
            <w:r>
              <w:t xml:space="preserve">Po ≥ 0.80 and α &lt; 0.67</w:t>
            </w:r>
          </w:p>
        </w:tc>
        <w:tc>
          <w:tcPr/>
          <w:p>
            <w:pPr>
              <w:pStyle w:val="Compact"/>
              <w:jc w:val="left"/>
            </w:pPr>
            <w:r>
              <w:t xml:space="preserve">E3_image_relevant_to_use, access_openness, training_scale_unit (nominal); endpoint_L1, L3, L4, L6 (binary)</w:t>
            </w:r>
          </w:p>
        </w:tc>
        <w:tc>
          <w:tcPr/>
          <w:p>
            <w:pPr>
              <w:pStyle w:val="Compact"/>
              <w:jc w:val="left"/>
            </w:pPr>
            <w:r>
              <w:t xml:space="preserve">among the 11 fields with α &lt; 0.67</w:t>
            </w:r>
          </w:p>
        </w:tc>
      </w:tr>
      <w:tr>
        <w:tc>
          <w:tcPr/>
          <w:p>
            <w:pPr>
              <w:pStyle w:val="Compact"/>
              <w:jc w:val="left"/>
            </w:pPr>
            <w:r>
              <w:t xml:space="preserve">Free-text transcription fields (Po only)</w:t>
            </w:r>
          </w:p>
        </w:tc>
        <w:tc>
          <w:tcPr/>
          <w:p>
            <w:pPr>
              <w:pStyle w:val="Compact"/>
              <w:jc w:val="left"/>
            </w:pPr>
            <w:r>
              <w:t xml:space="preserve">3</w:t>
            </w:r>
          </w:p>
        </w:tc>
        <w:tc>
          <w:tcPr/>
          <w:p>
            <w:pPr>
              <w:pStyle w:val="Compact"/>
              <w:jc w:val="left"/>
            </w:pPr>
            <w:r>
              <w:t xml:space="preserve">open-string, no closed category set</w:t>
            </w:r>
          </w:p>
        </w:tc>
        <w:tc>
          <w:tcPr/>
          <w:p>
            <w:pPr>
              <w:pStyle w:val="Compact"/>
              <w:jc w:val="left"/>
            </w:pPr>
            <w:r>
              <w:t xml:space="preserve">intended_use_author, model_version, primary_instance_id</w:t>
            </w:r>
          </w:p>
        </w:tc>
        <w:tc>
          <w:tcPr/>
          <w:p>
            <w:pPr>
              <w:pStyle w:val="Compact"/>
              <w:jc w:val="left"/>
            </w:pPr>
            <w:r>
              <w:t xml:space="preserve">α not estimated</w:t>
            </w:r>
          </w:p>
        </w:tc>
      </w:tr>
    </w:tbl>
    <w:p>
      <w:pPr>
        <w:pStyle w:val="BodyText"/>
      </w:pPr>
      <w:r>
        <w:t xml:space="preserve">Note: the 11 fields with α &lt; 0.67 comprise six nominal fields (access_interface, study_design_reviewer, comparator, E3_image_relevant_to_use, access_openness, training_scale_unit) and five binary endpoint indicators (endpoint_L1, L2, L3, L4, L6). The eight Po-fail fields are access_interface, study_design_reviewer, comparator, endpoint_L2, plus two nominal fields that fail Po but not α (evaluation_scale_unit, sample_unit) and two free-text fields (intended_use_author, model_version).</w:t>
      </w:r>
    </w:p>
    <w:bookmarkEnd w:id="21"/>
    <w:bookmarkStart w:id="23" w:name="s1b.-field-level-set-relations"/>
    <w:p>
      <w:pPr>
        <w:pStyle w:val="Heading3"/>
      </w:pPr>
      <w:r>
        <w:t xml:space="preserve">S1b. Field-level set relations</w:t>
      </w:r>
    </w:p>
    <w:p>
      <w:pPr>
        <w:pStyle w:val="FirstParagraph"/>
      </w:pPr>
      <w:r>
        <w:t xml:space="preserve">Set definitions: ① Po-fail fields (Po &lt; 0.80, n = 8); ② fields clearing Po while missing α (Po ≥ 0.80 and α &lt; 0.67, n = 7); ③ free-text transcription fields assessed by Po only (n = 3).</w:t>
      </w:r>
    </w:p>
    <w:p>
      <w:pPr>
        <w:numPr>
          <w:ilvl w:val="0"/>
          <w:numId w:val="1001"/>
        </w:numPr>
        <w:pStyle w:val="Compact"/>
      </w:pPr>
      <w:r>
        <w:t xml:space="preserve">①∩③ =</w:t>
      </w:r>
      <w:r>
        <w:t xml:space="preserve"> </w:t>
      </w:r>
      <w:r>
        <w:rPr>
          <w:bCs/>
          <w:b/>
        </w:rPr>
        <w:t xml:space="preserve">2 fields</w:t>
      </w:r>
      <w:r>
        <w:t xml:space="preserve">: intended_use_author, model_version — these are free-text fields whose exact-match Po also falls below 0.80</w:t>
      </w:r>
    </w:p>
    <w:p>
      <w:pPr>
        <w:numPr>
          <w:ilvl w:val="0"/>
          <w:numId w:val="1001"/>
        </w:numPr>
        <w:pStyle w:val="Compact"/>
      </w:pPr>
      <w:r>
        <w:t xml:space="preserve">①∩② =</w:t>
      </w:r>
      <w:r>
        <w:t xml:space="preserve"> </w:t>
      </w:r>
      <w:r>
        <w:rPr>
          <w:bCs/>
          <w:b/>
        </w:rPr>
        <w:t xml:space="preserve">0 fields</w:t>
      </w:r>
      <w:r>
        <w:t xml:space="preserve"> </w:t>
      </w:r>
      <w:r>
        <w:t xml:space="preserve">— Po-fail and Po-clearing are disjoint by definition</w:t>
      </w:r>
    </w:p>
    <w:p>
      <w:pPr>
        <w:numPr>
          <w:ilvl w:val="0"/>
          <w:numId w:val="1001"/>
        </w:numPr>
        <w:pStyle w:val="Compact"/>
      </w:pPr>
      <w:r>
        <w:t xml:space="preserve">②∩③ =</w:t>
      </w:r>
      <w:r>
        <w:t xml:space="preserve"> </w:t>
      </w:r>
      <w:r>
        <w:rPr>
          <w:bCs/>
          <w:b/>
        </w:rPr>
        <w:t xml:space="preserve">0 fields</w:t>
      </w:r>
      <w:r>
        <w:t xml:space="preserve"> </w:t>
      </w:r>
      <w:r>
        <w:t xml:space="preserve">— free-text fields carry no α</w:t>
      </w:r>
    </w:p>
    <w:p>
      <w:pPr>
        <w:numPr>
          <w:ilvl w:val="0"/>
          <w:numId w:val="1001"/>
        </w:numPr>
        <w:pStyle w:val="Compact"/>
      </w:pPr>
      <w:r>
        <w:t xml:space="preserve">①∪③ =</w:t>
      </w:r>
      <w:r>
        <w:t xml:space="preserve"> </w:t>
      </w:r>
      <w:r>
        <w:rPr>
          <w:bCs/>
          <w:b/>
        </w:rPr>
        <w:t xml:space="preserve">9 fields</w:t>
      </w:r>
      <w:r>
        <w:t xml:space="preserve"> </w:t>
      </w:r>
      <w:r>
        <w:t xml:space="preserve">(8 + 3 − 2)</w:t>
      </w:r>
    </w:p>
    <w:bookmarkStart w:id="22" w:name="decision-rules"/>
    <w:p>
      <w:pPr>
        <w:pStyle w:val="Heading4"/>
      </w:pPr>
      <w:r>
        <w:t xml:space="preserve">Decision rules</w:t>
      </w:r>
    </w:p>
    <w:p>
      <w:pPr>
        <w:numPr>
          <w:ilvl w:val="0"/>
          <w:numId w:val="1002"/>
        </w:numPr>
        <w:pStyle w:val="Compact"/>
      </w:pPr>
      <w:r>
        <w:t xml:space="preserve">Exact agreement ≥0.80 for all fields (post hoc, not registered);</w:t>
      </w:r>
    </w:p>
    <w:p>
      <w:pPr>
        <w:numPr>
          <w:ilvl w:val="0"/>
          <w:numId w:val="1002"/>
        </w:numPr>
        <w:pStyle w:val="Compact"/>
      </w:pPr>
      <w:r>
        <w:t xml:space="preserve">Krippendorff α ≥0.67 for the 26 fields with a computable coefficient (20 nominal + 6 binary) (post hoc, not registered);</w:t>
      </w:r>
    </w:p>
    <w:p>
      <w:pPr>
        <w:numPr>
          <w:ilvl w:val="0"/>
          <w:numId w:val="1002"/>
        </w:numPr>
        <w:pStyle w:val="Compact"/>
      </w:pPr>
      <w:r>
        <w:t xml:space="preserve">free-text transcription fields are assessed by exact-match agreement only (no closed category set, so α is not estimated);</w:t>
      </w:r>
    </w:p>
    <w:p>
      <w:pPr>
        <w:numPr>
          <w:ilvl w:val="0"/>
          <w:numId w:val="1002"/>
        </w:numPr>
        <w:pStyle w:val="Compact"/>
      </w:pPr>
      <w:r>
        <w:t xml:space="preserve">α ≥0.80 was the registered reliability floor (S5 V3), relaxed post hoc to the 0.67 analysis floor; 0.67–0.79 requires re-examining the rules and disagreements and recording them;</w:t>
      </w:r>
    </w:p>
    <w:p>
      <w:pPr>
        <w:numPr>
          <w:ilvl w:val="0"/>
          <w:numId w:val="1002"/>
        </w:numPr>
        <w:pStyle w:val="Compact"/>
      </w:pPr>
      <w:r>
        <w:t xml:space="preserve">This round shows</w:t>
      </w:r>
      <w:r>
        <w:t xml:space="preserve"> </w:t>
      </w:r>
      <w:r>
        <w:rPr>
          <w:bCs/>
          <w:b/>
        </w:rPr>
        <w:t xml:space="preserve">decoupling of the two criteria</w:t>
      </w:r>
      <w:r>
        <w:t xml:space="preserve">: 7 fields pass the exact-agreement floor but fail the α floor (②).</w:t>
      </w:r>
    </w:p>
    <w:bookmarkEnd w:id="22"/>
    <w:bookmarkEnd w:id="23"/>
    <w:bookmarkEnd w:id="24"/>
    <w:bookmarkStart w:id="28" w:name="s1c.-per-field-reliability-metrics"/>
    <w:p>
      <w:pPr>
        <w:pStyle w:val="Heading2"/>
      </w:pPr>
      <w:r>
        <w:t xml:space="preserve">S1c. Per-field reliability metrics</w:t>
      </w:r>
    </w:p>
    <w:p>
      <w:pPr>
        <w:pStyle w:val="BlockText"/>
      </w:pPr>
      <w:r>
        <w:rPr>
          <w:bCs/>
          <w:b/>
        </w:rPr>
        <w:t xml:space="preserve">Denominator note.</w:t>
      </w:r>
      <w:r>
        <w:t xml:space="preserve"> </w:t>
      </w:r>
      <w:r>
        <w:t xml:space="preserve">This table is computed on the pre-adjudication coded corpus of 390 records. After the eligibility re-adjudication (Manuscript §2.9; S-map) the included set is 277 reports; the two denominators differ by design and are not the same analysis denominator.</w:t>
      </w:r>
    </w:p>
    <w:p>
      <w:pPr>
        <w:pStyle w:val="FirstParagraph"/>
      </w:pPr>
      <w:r>
        <w:t xml:space="preserve">α is shown to four decimals throughout this table.</w:t>
      </w:r>
    </w:p>
    <w:tbl>
      <w:tblPr>
        <w:tblStyle w:val="Table"/>
        <w:tblW w:type="pct" w:w="5000"/>
        <w:tblLook w:firstRow="1" w:lastRow="0" w:firstColumn="0" w:lastColumn="0" w:noHBand="0" w:noVBand="0" w:val="0020"/>
        <w:jc w:val="start"/>
      </w:tblPr>
      <w:tblGrid>
        <w:gridCol w:w="880"/>
        <w:gridCol w:w="880"/>
        <w:gridCol w:w="1173"/>
        <w:gridCol w:w="1173"/>
        <w:gridCol w:w="1173"/>
        <w:gridCol w:w="880"/>
        <w:gridCol w:w="880"/>
        <w:gridCol w:w="880"/>
      </w:tblGrid>
      <w:tr>
        <w:trPr>
          <w:tblHeader w:val="true"/>
        </w:trPr>
        <w:tc>
          <w:tcPr/>
          <w:p>
            <w:pPr>
              <w:pStyle w:val="Compact"/>
              <w:jc w:val="left"/>
            </w:pPr>
            <w:r>
              <w:t xml:space="preserve">field</w:t>
            </w:r>
          </w:p>
        </w:tc>
        <w:tc>
          <w:tcPr/>
          <w:p>
            <w:pPr>
              <w:pStyle w:val="Compact"/>
              <w:jc w:val="left"/>
            </w:pPr>
            <w:r>
              <w:t xml:space="preserve">level</w:t>
            </w:r>
          </w:p>
        </w:tc>
        <w:tc>
          <w:tcPr/>
          <w:p>
            <w:pPr>
              <w:pStyle w:val="Compact"/>
              <w:jc w:val="right"/>
            </w:pPr>
            <w:r>
              <w:t xml:space="preserve">N</w:t>
            </w:r>
          </w:p>
        </w:tc>
        <w:tc>
          <w:tcPr/>
          <w:p>
            <w:pPr>
              <w:pStyle w:val="Compact"/>
              <w:jc w:val="right"/>
            </w:pPr>
            <w:r>
              <w:t xml:space="preserve">Po</w:t>
            </w:r>
          </w:p>
        </w:tc>
        <w:tc>
          <w:tcPr/>
          <w:p>
            <w:pPr>
              <w:pStyle w:val="Compact"/>
              <w:jc w:val="right"/>
            </w:pPr>
            <w:r>
              <w:t xml:space="preserve">alpha</w:t>
            </w:r>
          </w:p>
        </w:tc>
        <w:tc>
          <w:tcPr/>
          <w:p>
            <w:pPr>
              <w:pStyle w:val="Compact"/>
              <w:jc w:val="left"/>
            </w:pPr>
            <w:r>
              <w:t xml:space="preserve">Po&gt;=0.80</w:t>
            </w:r>
          </w:p>
        </w:tc>
        <w:tc>
          <w:tcPr/>
          <w:p>
            <w:pPr>
              <w:pStyle w:val="Compact"/>
              <w:jc w:val="left"/>
            </w:pPr>
            <w:r>
              <w:t xml:space="preserve">alpha&gt;=0.67</w:t>
            </w:r>
          </w:p>
        </w:tc>
        <w:tc>
          <w:tcPr/>
          <w:p>
            <w:pPr>
              <w:pStyle w:val="Compact"/>
              <w:jc w:val="left"/>
            </w:pPr>
            <w:r>
              <w:t xml:space="preserve">divergence</w:t>
            </w:r>
          </w:p>
        </w:tc>
      </w:tr>
      <w:tr>
        <w:tc>
          <w:tcPr/>
          <w:p>
            <w:pPr>
              <w:pStyle w:val="Compact"/>
              <w:jc w:val="left"/>
            </w:pPr>
            <w:r>
              <w:t xml:space="preserve">intended_use_author</w:t>
            </w:r>
          </w:p>
        </w:tc>
        <w:tc>
          <w:tcPr/>
          <w:p>
            <w:pPr>
              <w:pStyle w:val="Compact"/>
              <w:jc w:val="left"/>
            </w:pPr>
            <w:r>
              <w:t xml:space="preserve">exact-only</w:t>
            </w:r>
          </w:p>
        </w:tc>
        <w:tc>
          <w:tcPr/>
          <w:p>
            <w:pPr>
              <w:pStyle w:val="Compact"/>
              <w:jc w:val="right"/>
            </w:pPr>
            <w:r>
              <w:t xml:space="preserve">390</w:t>
            </w:r>
          </w:p>
        </w:tc>
        <w:tc>
          <w:tcPr/>
          <w:p>
            <w:pPr>
              <w:pStyle w:val="Compact"/>
              <w:jc w:val="right"/>
            </w:pPr>
            <w:r>
              <w:t xml:space="preserve">0.0410</w:t>
            </w:r>
          </w:p>
        </w:tc>
        <w:tc>
          <w:tcPr/>
          <w:p>
            <w:pPr>
              <w:pStyle w:val="Compact"/>
              <w:jc w:val="right"/>
            </w:pPr>
            <w:r>
              <w:t xml:space="preserve">not estimated</w:t>
            </w:r>
          </w:p>
        </w:tc>
        <w:tc>
          <w:tcPr/>
          <w:p>
            <w:pPr>
              <w:pStyle w:val="Compact"/>
              <w:jc w:val="left"/>
            </w:pPr>
            <w:r>
              <w:t xml:space="preserve">No</w:t>
            </w:r>
          </w:p>
        </w:tc>
        <w:tc>
          <w:tcPr/>
          <w:p>
            <w:pPr>
              <w:pStyle w:val="Compact"/>
              <w:jc w:val="left"/>
            </w:pPr>
            <w:r>
              <w:t xml:space="preserve">not applicable</w:t>
            </w:r>
          </w:p>
        </w:tc>
        <w:tc>
          <w:tcPr/>
          <w:p>
            <w:pPr>
              <w:pStyle w:val="Compact"/>
            </w:pPr>
          </w:p>
        </w:tc>
      </w:tr>
      <w:tr>
        <w:tc>
          <w:tcPr/>
          <w:p>
            <w:pPr>
              <w:pStyle w:val="Compact"/>
              <w:jc w:val="left"/>
            </w:pPr>
            <w:r>
              <w:t xml:space="preserve">access_interface</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0.7128</w:t>
            </w:r>
          </w:p>
        </w:tc>
        <w:tc>
          <w:tcPr/>
          <w:p>
            <w:pPr>
              <w:pStyle w:val="Compact"/>
              <w:jc w:val="right"/>
            </w:pPr>
            <w:r>
              <w:t xml:space="preserve">0.5591</w:t>
            </w:r>
          </w:p>
        </w:tc>
        <w:tc>
          <w:tcPr/>
          <w:p>
            <w:pPr>
              <w:pStyle w:val="Compact"/>
              <w:jc w:val="left"/>
            </w:pPr>
            <w:r>
              <w:t xml:space="preserve">No</w:t>
            </w:r>
          </w:p>
        </w:tc>
        <w:tc>
          <w:tcPr/>
          <w:p>
            <w:pPr>
              <w:pStyle w:val="Compact"/>
              <w:jc w:val="left"/>
            </w:pPr>
            <w:r>
              <w:t xml:space="preserve">No</w:t>
            </w:r>
          </w:p>
        </w:tc>
        <w:tc>
          <w:tcPr/>
          <w:p>
            <w:pPr>
              <w:pStyle w:val="Compact"/>
            </w:pPr>
          </w:p>
        </w:tc>
      </w:tr>
      <w:tr>
        <w:tc>
          <w:tcPr/>
          <w:p>
            <w:pPr>
              <w:pStyle w:val="Compact"/>
              <w:jc w:val="left"/>
            </w:pPr>
            <w:r>
              <w:t xml:space="preserve">study_design_reviewer</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0.7308</w:t>
            </w:r>
          </w:p>
        </w:tc>
        <w:tc>
          <w:tcPr/>
          <w:p>
            <w:pPr>
              <w:pStyle w:val="Compact"/>
              <w:jc w:val="right"/>
            </w:pPr>
            <w:r>
              <w:t xml:space="preserve">0.6056</w:t>
            </w:r>
          </w:p>
        </w:tc>
        <w:tc>
          <w:tcPr/>
          <w:p>
            <w:pPr>
              <w:pStyle w:val="Compact"/>
              <w:jc w:val="left"/>
            </w:pPr>
            <w:r>
              <w:t xml:space="preserve">No</w:t>
            </w:r>
          </w:p>
        </w:tc>
        <w:tc>
          <w:tcPr/>
          <w:p>
            <w:pPr>
              <w:pStyle w:val="Compact"/>
              <w:jc w:val="left"/>
            </w:pPr>
            <w:r>
              <w:t xml:space="preserve">No</w:t>
            </w:r>
          </w:p>
        </w:tc>
        <w:tc>
          <w:tcPr/>
          <w:p>
            <w:pPr>
              <w:pStyle w:val="Compact"/>
            </w:pPr>
          </w:p>
        </w:tc>
      </w:tr>
      <w:tr>
        <w:tc>
          <w:tcPr/>
          <w:p>
            <w:pPr>
              <w:pStyle w:val="Compact"/>
              <w:jc w:val="left"/>
            </w:pPr>
            <w:r>
              <w:t xml:space="preserve">evaluation_scale_unit</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0.7410</w:t>
            </w:r>
          </w:p>
        </w:tc>
        <w:tc>
          <w:tcPr/>
          <w:p>
            <w:pPr>
              <w:pStyle w:val="Compact"/>
              <w:jc w:val="right"/>
            </w:pPr>
            <w:r>
              <w:t xml:space="preserve">0.6737</w:t>
            </w:r>
          </w:p>
        </w:tc>
        <w:tc>
          <w:tcPr/>
          <w:p>
            <w:pPr>
              <w:pStyle w:val="Compact"/>
              <w:jc w:val="left"/>
            </w:pPr>
            <w:r>
              <w:t xml:space="preserve">No</w:t>
            </w:r>
          </w:p>
        </w:tc>
        <w:tc>
          <w:tcPr/>
          <w:p>
            <w:pPr>
              <w:pStyle w:val="Compact"/>
              <w:jc w:val="left"/>
            </w:pPr>
            <w:r>
              <w:t xml:space="preserve">Yes</w:t>
            </w:r>
          </w:p>
        </w:tc>
        <w:tc>
          <w:tcPr/>
          <w:p>
            <w:pPr>
              <w:pStyle w:val="Compact"/>
              <w:jc w:val="left"/>
            </w:pPr>
            <w:r>
              <w:t xml:space="preserve">statistic divergence (α≥0.67 but Po&lt;0.80)</w:t>
            </w:r>
          </w:p>
        </w:tc>
      </w:tr>
      <w:tr>
        <w:tc>
          <w:tcPr/>
          <w:p>
            <w:pPr>
              <w:pStyle w:val="Compact"/>
              <w:jc w:val="left"/>
            </w:pPr>
            <w:r>
              <w:t xml:space="preserve">sample_unit</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0.7846</w:t>
            </w:r>
          </w:p>
        </w:tc>
        <w:tc>
          <w:tcPr/>
          <w:p>
            <w:pPr>
              <w:pStyle w:val="Compact"/>
              <w:jc w:val="right"/>
            </w:pPr>
            <w:r>
              <w:t xml:space="preserve">0.7211</w:t>
            </w:r>
          </w:p>
        </w:tc>
        <w:tc>
          <w:tcPr/>
          <w:p>
            <w:pPr>
              <w:pStyle w:val="Compact"/>
              <w:jc w:val="left"/>
            </w:pPr>
            <w:r>
              <w:t xml:space="preserve">No</w:t>
            </w:r>
          </w:p>
        </w:tc>
        <w:tc>
          <w:tcPr/>
          <w:p>
            <w:pPr>
              <w:pStyle w:val="Compact"/>
              <w:jc w:val="left"/>
            </w:pPr>
            <w:r>
              <w:t xml:space="preserve">Yes</w:t>
            </w:r>
          </w:p>
        </w:tc>
        <w:tc>
          <w:tcPr/>
          <w:p>
            <w:pPr>
              <w:pStyle w:val="Compact"/>
              <w:jc w:val="left"/>
            </w:pPr>
            <w:r>
              <w:t xml:space="preserve">statistic divergence (α≥0.67 but Po&lt;0.80)</w:t>
            </w:r>
          </w:p>
        </w:tc>
      </w:tr>
      <w:tr>
        <w:tc>
          <w:tcPr/>
          <w:p>
            <w:pPr>
              <w:pStyle w:val="Compact"/>
              <w:jc w:val="left"/>
            </w:pPr>
            <w:r>
              <w:t xml:space="preserve">model_version</w:t>
            </w:r>
          </w:p>
        </w:tc>
        <w:tc>
          <w:tcPr/>
          <w:p>
            <w:pPr>
              <w:pStyle w:val="Compact"/>
              <w:jc w:val="left"/>
            </w:pPr>
            <w:r>
              <w:t xml:space="preserve">exact-only</w:t>
            </w:r>
          </w:p>
        </w:tc>
        <w:tc>
          <w:tcPr/>
          <w:p>
            <w:pPr>
              <w:pStyle w:val="Compact"/>
              <w:jc w:val="right"/>
            </w:pPr>
            <w:r>
              <w:t xml:space="preserve">390</w:t>
            </w:r>
          </w:p>
        </w:tc>
        <w:tc>
          <w:tcPr/>
          <w:p>
            <w:pPr>
              <w:pStyle w:val="Compact"/>
              <w:jc w:val="right"/>
            </w:pPr>
            <w:r>
              <w:t xml:space="preserve">0.7846</w:t>
            </w:r>
          </w:p>
        </w:tc>
        <w:tc>
          <w:tcPr/>
          <w:p>
            <w:pPr>
              <w:pStyle w:val="Compact"/>
              <w:jc w:val="right"/>
            </w:pPr>
            <w:r>
              <w:t xml:space="preserve">not estimated</w:t>
            </w:r>
          </w:p>
        </w:tc>
        <w:tc>
          <w:tcPr/>
          <w:p>
            <w:pPr>
              <w:pStyle w:val="Compact"/>
              <w:jc w:val="left"/>
            </w:pPr>
            <w:r>
              <w:t xml:space="preserve">No</w:t>
            </w:r>
          </w:p>
        </w:tc>
        <w:tc>
          <w:tcPr/>
          <w:p>
            <w:pPr>
              <w:pStyle w:val="Compact"/>
              <w:jc w:val="left"/>
            </w:pPr>
            <w:r>
              <w:t xml:space="preserve">not applicable</w:t>
            </w:r>
          </w:p>
        </w:tc>
        <w:tc>
          <w:tcPr/>
          <w:p>
            <w:pPr>
              <w:pStyle w:val="Compact"/>
            </w:pPr>
          </w:p>
        </w:tc>
      </w:tr>
      <w:tr>
        <w:tc>
          <w:tcPr/>
          <w:p>
            <w:pPr>
              <w:pStyle w:val="Compact"/>
              <w:jc w:val="left"/>
            </w:pPr>
            <w:r>
              <w:t xml:space="preserve">comparator</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0.7897</w:t>
            </w:r>
          </w:p>
        </w:tc>
        <w:tc>
          <w:tcPr/>
          <w:p>
            <w:pPr>
              <w:pStyle w:val="Compact"/>
              <w:jc w:val="right"/>
            </w:pPr>
            <w:r>
              <w:t xml:space="preserve">0.5767</w:t>
            </w:r>
          </w:p>
        </w:tc>
        <w:tc>
          <w:tcPr/>
          <w:p>
            <w:pPr>
              <w:pStyle w:val="Compact"/>
              <w:jc w:val="left"/>
            </w:pPr>
            <w:r>
              <w:t xml:space="preserve">No</w:t>
            </w:r>
          </w:p>
        </w:tc>
        <w:tc>
          <w:tcPr/>
          <w:p>
            <w:pPr>
              <w:pStyle w:val="Compact"/>
              <w:jc w:val="left"/>
            </w:pPr>
            <w:r>
              <w:t xml:space="preserve">No</w:t>
            </w:r>
          </w:p>
        </w:tc>
        <w:tc>
          <w:tcPr/>
          <w:p>
            <w:pPr>
              <w:pStyle w:val="Compact"/>
            </w:pPr>
          </w:p>
        </w:tc>
      </w:tr>
      <w:tr>
        <w:tc>
          <w:tcPr/>
          <w:p>
            <w:pPr>
              <w:pStyle w:val="Compact"/>
              <w:jc w:val="left"/>
            </w:pPr>
            <w:r>
              <w:t xml:space="preserve">endpoint_L2</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0.7974</w:t>
            </w:r>
          </w:p>
        </w:tc>
        <w:tc>
          <w:tcPr/>
          <w:p>
            <w:pPr>
              <w:pStyle w:val="Compact"/>
              <w:jc w:val="right"/>
            </w:pPr>
            <w:r>
              <w:t xml:space="preserve">0.5831</w:t>
            </w:r>
          </w:p>
        </w:tc>
        <w:tc>
          <w:tcPr/>
          <w:p>
            <w:pPr>
              <w:pStyle w:val="Compact"/>
              <w:jc w:val="left"/>
            </w:pPr>
            <w:r>
              <w:t xml:space="preserve">No</w:t>
            </w:r>
          </w:p>
        </w:tc>
        <w:tc>
          <w:tcPr/>
          <w:p>
            <w:pPr>
              <w:pStyle w:val="Compact"/>
              <w:jc w:val="left"/>
            </w:pPr>
            <w:r>
              <w:t xml:space="preserve">No</w:t>
            </w:r>
          </w:p>
        </w:tc>
        <w:tc>
          <w:tcPr/>
          <w:p>
            <w:pPr>
              <w:pStyle w:val="Compact"/>
            </w:pPr>
          </w:p>
        </w:tc>
      </w:tr>
      <w:tr>
        <w:tc>
          <w:tcPr/>
          <w:p>
            <w:pPr>
              <w:pStyle w:val="Compact"/>
              <w:jc w:val="left"/>
            </w:pPr>
            <w:r>
              <w:t xml:space="preserve">task_domain</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0.8154</w:t>
            </w:r>
          </w:p>
        </w:tc>
        <w:tc>
          <w:tcPr/>
          <w:p>
            <w:pPr>
              <w:pStyle w:val="Compact"/>
              <w:jc w:val="right"/>
            </w:pPr>
            <w:r>
              <w:t xml:space="preserve">0.7782</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E2_contrast_or_ablation_implemented</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0.8231</w:t>
            </w:r>
          </w:p>
        </w:tc>
        <w:tc>
          <w:tcPr/>
          <w:p>
            <w:pPr>
              <w:pStyle w:val="Compact"/>
              <w:jc w:val="right"/>
            </w:pPr>
            <w:r>
              <w:t xml:space="preserve">0.6804</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E3_image_relevant_to_use</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0.8385</w:t>
            </w:r>
          </w:p>
        </w:tc>
        <w:tc>
          <w:tcPr/>
          <w:p>
            <w:pPr>
              <w:pStyle w:val="Compact"/>
              <w:jc w:val="right"/>
            </w:pPr>
            <w:r>
              <w:t xml:space="preserve">0.5344</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access_openness</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0.8436</w:t>
            </w:r>
          </w:p>
        </w:tc>
        <w:tc>
          <w:tcPr/>
          <w:p>
            <w:pPr>
              <w:pStyle w:val="Compact"/>
              <w:jc w:val="right"/>
            </w:pPr>
            <w:r>
              <w:t xml:space="preserve">0.5757</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intended_use_category</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0.8538</w:t>
            </w:r>
          </w:p>
        </w:tc>
        <w:tc>
          <w:tcPr/>
          <w:p>
            <w:pPr>
              <w:pStyle w:val="Compact"/>
              <w:jc w:val="right"/>
            </w:pPr>
            <w:r>
              <w:t xml:space="preserve">0.7723</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model_family</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0.8641</w:t>
            </w:r>
          </w:p>
        </w:tc>
        <w:tc>
          <w:tcPr/>
          <w:p>
            <w:pPr>
              <w:pStyle w:val="Compact"/>
              <w:jc w:val="right"/>
            </w:pPr>
            <w:r>
              <w:t xml:space="preserve">0.7663</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claimed_modality</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0.8718</w:t>
            </w:r>
          </w:p>
        </w:tc>
        <w:tc>
          <w:tcPr/>
          <w:p>
            <w:pPr>
              <w:pStyle w:val="Compact"/>
              <w:jc w:val="right"/>
            </w:pPr>
            <w:r>
              <w:t xml:space="preserve">0.7170</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actual_input_modality</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0.8718</w:t>
            </w:r>
          </w:p>
        </w:tc>
        <w:tc>
          <w:tcPr/>
          <w:p>
            <w:pPr>
              <w:pStyle w:val="Compact"/>
              <w:jc w:val="right"/>
            </w:pPr>
            <w:r>
              <w:t xml:space="preserve">0.7554</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evaluated_configuration</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0.8795</w:t>
            </w:r>
          </w:p>
        </w:tc>
        <w:tc>
          <w:tcPr/>
          <w:p>
            <w:pPr>
              <w:pStyle w:val="Compact"/>
              <w:jc w:val="right"/>
            </w:pPr>
            <w:r>
              <w:t xml:space="preserve">0.7025</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E2_visual_contribution_result</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0.8795</w:t>
            </w:r>
          </w:p>
        </w:tc>
        <w:tc>
          <w:tcPr/>
          <w:p>
            <w:pPr>
              <w:pStyle w:val="Compact"/>
              <w:jc w:val="right"/>
            </w:pPr>
            <w:r>
              <w:t xml:space="preserve">0.7611</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training_scale_unit</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0.8821</w:t>
            </w:r>
          </w:p>
        </w:tc>
        <w:tc>
          <w:tcPr/>
          <w:p>
            <w:pPr>
              <w:pStyle w:val="Compact"/>
              <w:jc w:val="right"/>
            </w:pPr>
            <w:r>
              <w:t xml:space="preserve">0.6016</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endpoint_L3</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0.8821</w:t>
            </w:r>
          </w:p>
        </w:tc>
        <w:tc>
          <w:tcPr/>
          <w:p>
            <w:pPr>
              <w:pStyle w:val="Compact"/>
              <w:jc w:val="right"/>
            </w:pPr>
            <w:r>
              <w:t xml:space="preserve">0.4116</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population_stratum</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0.9282</w:t>
            </w:r>
          </w:p>
        </w:tc>
        <w:tc>
          <w:tcPr/>
          <w:p>
            <w:pPr>
              <w:pStyle w:val="Compact"/>
              <w:jc w:val="right"/>
            </w:pPr>
            <w:r>
              <w:t xml:space="preserve">0.8597</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E1_image_input</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0.9333</w:t>
            </w:r>
          </w:p>
        </w:tc>
        <w:tc>
          <w:tcPr/>
          <w:p>
            <w:pPr>
              <w:pStyle w:val="Compact"/>
              <w:jc w:val="right"/>
            </w:pPr>
            <w:r>
              <w:t xml:space="preserve">0.8494</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evidence_category</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0.9410</w:t>
            </w:r>
          </w:p>
        </w:tc>
        <w:tc>
          <w:tcPr/>
          <w:p>
            <w:pPr>
              <w:pStyle w:val="Compact"/>
              <w:jc w:val="right"/>
            </w:pPr>
            <w:r>
              <w:t xml:space="preserve">0.8661</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endpoint_L1</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0.9410</w:t>
            </w:r>
          </w:p>
        </w:tc>
        <w:tc>
          <w:tcPr/>
          <w:p>
            <w:pPr>
              <w:pStyle w:val="Compact"/>
              <w:jc w:val="right"/>
            </w:pPr>
            <w:r>
              <w:t xml:space="preserve">0.4087</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source_type</w:t>
            </w:r>
          </w:p>
        </w:tc>
        <w:tc>
          <w:tcPr/>
          <w:p>
            <w:pPr>
              <w:pStyle w:val="Compact"/>
              <w:jc w:val="left"/>
            </w:pPr>
            <w:r>
              <w:t xml:space="preserve">nominal</w:t>
            </w:r>
          </w:p>
        </w:tc>
        <w:tc>
          <w:tcPr/>
          <w:p>
            <w:pPr>
              <w:pStyle w:val="Compact"/>
              <w:jc w:val="right"/>
            </w:pPr>
            <w:r>
              <w:t xml:space="preserve">390</w:t>
            </w:r>
          </w:p>
        </w:tc>
        <w:tc>
          <w:tcPr/>
          <w:p>
            <w:pPr>
              <w:pStyle w:val="Compact"/>
              <w:jc w:val="right"/>
            </w:pPr>
            <w:r>
              <w:t xml:space="preserve">0.9667</w:t>
            </w:r>
          </w:p>
        </w:tc>
        <w:tc>
          <w:tcPr/>
          <w:p>
            <w:pPr>
              <w:pStyle w:val="Compact"/>
              <w:jc w:val="right"/>
            </w:pPr>
            <w:r>
              <w:t xml:space="preserve">0.9042</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endpoint_L4</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0.9744</w:t>
            </w:r>
          </w:p>
        </w:tc>
        <w:tc>
          <w:tcPr/>
          <w:p>
            <w:pPr>
              <w:pStyle w:val="Compact"/>
              <w:jc w:val="right"/>
            </w:pPr>
            <w:r>
              <w:t xml:space="preserve">0.1547</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endpoint_L6</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0.9846</w:t>
            </w:r>
          </w:p>
        </w:tc>
        <w:tc>
          <w:tcPr/>
          <w:p>
            <w:pPr>
              <w:pStyle w:val="Compact"/>
              <w:jc w:val="right"/>
            </w:pPr>
            <w:r>
              <w:t xml:space="preserve">0.5642</w:t>
            </w:r>
          </w:p>
        </w:tc>
        <w:tc>
          <w:tcPr/>
          <w:p>
            <w:pPr>
              <w:pStyle w:val="Compact"/>
              <w:jc w:val="left"/>
            </w:pPr>
            <w:r>
              <w:t xml:space="preserve">Yes</w:t>
            </w:r>
          </w:p>
        </w:tc>
        <w:tc>
          <w:tcPr/>
          <w:p>
            <w:pPr>
              <w:pStyle w:val="Compact"/>
              <w:jc w:val="left"/>
            </w:pPr>
            <w:r>
              <w:t xml:space="preserve">No</w:t>
            </w:r>
          </w:p>
        </w:tc>
        <w:tc>
          <w:tcPr/>
          <w:p>
            <w:pPr>
              <w:pStyle w:val="Compact"/>
              <w:jc w:val="left"/>
            </w:pPr>
            <w:r>
              <w:t xml:space="preserve">clears Po but misses α</w:t>
            </w:r>
          </w:p>
        </w:tc>
      </w:tr>
      <w:tr>
        <w:tc>
          <w:tcPr/>
          <w:p>
            <w:pPr>
              <w:pStyle w:val="Compact"/>
              <w:jc w:val="left"/>
            </w:pPr>
            <w:r>
              <w:t xml:space="preserve">endpoint_L5</w:t>
            </w:r>
          </w:p>
        </w:tc>
        <w:tc>
          <w:tcPr/>
          <w:p>
            <w:pPr>
              <w:pStyle w:val="Compact"/>
              <w:jc w:val="left"/>
            </w:pPr>
            <w:r>
              <w:t xml:space="preserve">binary</w:t>
            </w:r>
          </w:p>
        </w:tc>
        <w:tc>
          <w:tcPr/>
          <w:p>
            <w:pPr>
              <w:pStyle w:val="Compact"/>
              <w:jc w:val="right"/>
            </w:pPr>
            <w:r>
              <w:t xml:space="preserve">390</w:t>
            </w:r>
          </w:p>
        </w:tc>
        <w:tc>
          <w:tcPr/>
          <w:p>
            <w:pPr>
              <w:pStyle w:val="Compact"/>
              <w:jc w:val="right"/>
            </w:pPr>
            <w:r>
              <w:t xml:space="preserve">0.9923</w:t>
            </w:r>
          </w:p>
        </w:tc>
        <w:tc>
          <w:tcPr/>
          <w:p>
            <w:pPr>
              <w:pStyle w:val="Compact"/>
              <w:jc w:val="right"/>
            </w:pPr>
            <w:r>
              <w:t xml:space="preserve">0.7237</w:t>
            </w:r>
          </w:p>
        </w:tc>
        <w:tc>
          <w:tcPr/>
          <w:p>
            <w:pPr>
              <w:pStyle w:val="Compact"/>
              <w:jc w:val="left"/>
            </w:pPr>
            <w:r>
              <w:t xml:space="preserve">Yes</w:t>
            </w:r>
          </w:p>
        </w:tc>
        <w:tc>
          <w:tcPr/>
          <w:p>
            <w:pPr>
              <w:pStyle w:val="Compact"/>
              <w:jc w:val="left"/>
            </w:pPr>
            <w:r>
              <w:t xml:space="preserve">Yes</w:t>
            </w:r>
          </w:p>
        </w:tc>
        <w:tc>
          <w:tcPr/>
          <w:p>
            <w:pPr>
              <w:pStyle w:val="Compact"/>
            </w:pPr>
          </w:p>
        </w:tc>
      </w:tr>
      <w:tr>
        <w:tc>
          <w:tcPr/>
          <w:p>
            <w:pPr>
              <w:pStyle w:val="Compact"/>
              <w:jc w:val="left"/>
            </w:pPr>
            <w:r>
              <w:t xml:space="preserve">primary_instance_id</w:t>
            </w:r>
          </w:p>
        </w:tc>
        <w:tc>
          <w:tcPr/>
          <w:p>
            <w:pPr>
              <w:pStyle w:val="Compact"/>
              <w:jc w:val="left"/>
            </w:pPr>
            <w:r>
              <w:t xml:space="preserve">exact-only</w:t>
            </w:r>
          </w:p>
        </w:tc>
        <w:tc>
          <w:tcPr/>
          <w:p>
            <w:pPr>
              <w:pStyle w:val="Compact"/>
              <w:jc w:val="right"/>
            </w:pPr>
            <w:r>
              <w:t xml:space="preserve">390</w:t>
            </w:r>
          </w:p>
        </w:tc>
        <w:tc>
          <w:tcPr/>
          <w:p>
            <w:pPr>
              <w:pStyle w:val="Compact"/>
              <w:jc w:val="right"/>
            </w:pPr>
            <w:r>
              <w:t xml:space="preserve">1.0000</w:t>
            </w:r>
          </w:p>
        </w:tc>
        <w:tc>
          <w:tcPr/>
          <w:p>
            <w:pPr>
              <w:pStyle w:val="Compact"/>
              <w:jc w:val="right"/>
            </w:pPr>
            <w:r>
              <w:t xml:space="preserve">not estimated</w:t>
            </w:r>
          </w:p>
        </w:tc>
        <w:tc>
          <w:tcPr/>
          <w:p>
            <w:pPr>
              <w:pStyle w:val="Compact"/>
              <w:jc w:val="left"/>
            </w:pPr>
            <w:r>
              <w:t xml:space="preserve">Yes</w:t>
            </w:r>
          </w:p>
        </w:tc>
        <w:tc>
          <w:tcPr/>
          <w:p>
            <w:pPr>
              <w:pStyle w:val="Compact"/>
              <w:jc w:val="left"/>
            </w:pPr>
            <w:r>
              <w:t xml:space="preserve">not applicable</w:t>
            </w:r>
          </w:p>
        </w:tc>
        <w:tc>
          <w:tcPr/>
          <w:p>
            <w:pPr>
              <w:pStyle w:val="Compact"/>
            </w:pPr>
          </w:p>
        </w:tc>
      </w:tr>
    </w:tbl>
    <w:p>
      <w:pPr>
        <w:pStyle w:val="BodyText"/>
      </w:pPr>
      <w:r>
        <w:t xml:space="preserve">α is Krippendorff’s nominal α for two coders with no missing values, computed from the coincidence matrix and rounded half-up (script and per-field recomputation supplied with the analysis files). Fields: 29; alpha computed: 26; alpha &lt; 0.67: 11 (nominal 6/20, binary 5/6); Po below 0.80: 8. The primary_instance_id Po of 1.0000 is degenerate (analysis-derived record identifier, not an independent extraction judgment).</w:t>
      </w:r>
    </w:p>
    <w:bookmarkStart w:id="25" w:name="X3688ca97e6fdc49560a2e456e384724d7840534"/>
    <w:p>
      <w:pPr>
        <w:pStyle w:val="Heading3"/>
      </w:pPr>
      <w:r>
        <w:t xml:space="preserve">S1d. Codebook-to-analysis-field mapping (auditability)</w:t>
      </w:r>
    </w:p>
    <w:p>
      <w:pPr>
        <w:pStyle w:val="FirstParagraph"/>
      </w:pPr>
      <w:r>
        <w:t xml:space="preserve">The 29 analysis fields of S1c are drawn from the extraction codebook (Supplementary-Codebook.md). Each analysis field is mapped to its codebook source below; fields with no explicit codebook entry are marked rather than forced into a codebook row.</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S1c analysis field</w:t>
            </w:r>
          </w:p>
        </w:tc>
        <w:tc>
          <w:tcPr/>
          <w:p>
            <w:pPr>
              <w:pStyle w:val="Compact"/>
              <w:jc w:val="left"/>
            </w:pPr>
            <w:r>
              <w:t xml:space="preserve">level</w:t>
            </w:r>
          </w:p>
        </w:tc>
        <w:tc>
          <w:tcPr/>
          <w:p>
            <w:pPr>
              <w:pStyle w:val="Compact"/>
              <w:jc w:val="left"/>
            </w:pPr>
            <w:r>
              <w:t xml:space="preserve">Codebook source</w:t>
            </w:r>
          </w:p>
        </w:tc>
        <w:tc>
          <w:tcPr/>
          <w:p>
            <w:pPr>
              <w:pStyle w:val="Compact"/>
              <w:jc w:val="left"/>
            </w:pPr>
            <w:r>
              <w:t xml:space="preserve">Po/α</w:t>
            </w:r>
          </w:p>
        </w:tc>
      </w:tr>
      <w:tr>
        <w:tc>
          <w:tcPr/>
          <w:p>
            <w:pPr>
              <w:pStyle w:val="Compact"/>
              <w:jc w:val="left"/>
            </w:pPr>
            <w:r>
              <w:t xml:space="preserve">source_type</w:t>
            </w:r>
          </w:p>
        </w:tc>
        <w:tc>
          <w:tcPr/>
          <w:p>
            <w:pPr>
              <w:pStyle w:val="Compact"/>
              <w:jc w:val="left"/>
            </w:pPr>
            <w:r>
              <w:t xml:space="preserve">nominal</w:t>
            </w:r>
          </w:p>
        </w:tc>
        <w:tc>
          <w:tcPr/>
          <w:p>
            <w:pPr>
              <w:pStyle w:val="Compact"/>
              <w:jc w:val="left"/>
            </w:pPr>
            <w:r>
              <w:t xml:space="preserve">#2 Source type</w:t>
            </w:r>
          </w:p>
        </w:tc>
        <w:tc>
          <w:tcPr/>
          <w:p>
            <w:pPr>
              <w:pStyle w:val="Compact"/>
              <w:jc w:val="left"/>
            </w:pPr>
            <w:r>
              <w:t xml:space="preserve">Po+α</w:t>
            </w:r>
          </w:p>
        </w:tc>
      </w:tr>
      <w:tr>
        <w:tc>
          <w:tcPr/>
          <w:p>
            <w:pPr>
              <w:pStyle w:val="Compact"/>
              <w:jc w:val="left"/>
            </w:pPr>
            <w:r>
              <w:t xml:space="preserve">population_stratum</w:t>
            </w:r>
          </w:p>
        </w:tc>
        <w:tc>
          <w:tcPr/>
          <w:p>
            <w:pPr>
              <w:pStyle w:val="Compact"/>
              <w:jc w:val="left"/>
            </w:pPr>
            <w:r>
              <w:t xml:space="preserve">nominal</w:t>
            </w:r>
          </w:p>
        </w:tc>
        <w:tc>
          <w:tcPr/>
          <w:p>
            <w:pPr>
              <w:pStyle w:val="Compact"/>
              <w:jc w:val="left"/>
            </w:pPr>
            <w:r>
              <w:t xml:space="preserve">#3 Population stratum</w:t>
            </w:r>
          </w:p>
        </w:tc>
        <w:tc>
          <w:tcPr/>
          <w:p>
            <w:pPr>
              <w:pStyle w:val="Compact"/>
              <w:jc w:val="left"/>
            </w:pPr>
            <w:r>
              <w:t xml:space="preserve">Po+α</w:t>
            </w:r>
          </w:p>
        </w:tc>
      </w:tr>
      <w:tr>
        <w:tc>
          <w:tcPr/>
          <w:p>
            <w:pPr>
              <w:pStyle w:val="Compact"/>
              <w:jc w:val="left"/>
            </w:pPr>
            <w:r>
              <w:t xml:space="preserve">study_design_reviewer</w:t>
            </w:r>
          </w:p>
        </w:tc>
        <w:tc>
          <w:tcPr/>
          <w:p>
            <w:pPr>
              <w:pStyle w:val="Compact"/>
              <w:jc w:val="left"/>
            </w:pPr>
            <w:r>
              <w:t xml:space="preserve">nominal</w:t>
            </w:r>
          </w:p>
        </w:tc>
        <w:tc>
          <w:tcPr/>
          <w:p>
            <w:pPr>
              <w:pStyle w:val="Compact"/>
              <w:jc w:val="left"/>
            </w:pPr>
            <w:r>
              <w:t xml:space="preserve">#5 Design — reviewer-coded</w:t>
            </w:r>
          </w:p>
        </w:tc>
        <w:tc>
          <w:tcPr/>
          <w:p>
            <w:pPr>
              <w:pStyle w:val="Compact"/>
              <w:jc w:val="left"/>
            </w:pPr>
            <w:r>
              <w:t xml:space="preserve">Po+α</w:t>
            </w:r>
          </w:p>
        </w:tc>
      </w:tr>
      <w:tr>
        <w:tc>
          <w:tcPr/>
          <w:p>
            <w:pPr>
              <w:pStyle w:val="Compact"/>
              <w:jc w:val="left"/>
            </w:pPr>
            <w:r>
              <w:t xml:space="preserve">model_family</w:t>
            </w:r>
          </w:p>
        </w:tc>
        <w:tc>
          <w:tcPr/>
          <w:p>
            <w:pPr>
              <w:pStyle w:val="Compact"/>
              <w:jc w:val="left"/>
            </w:pPr>
            <w:r>
              <w:t xml:space="preserve">nominal</w:t>
            </w:r>
          </w:p>
        </w:tc>
        <w:tc>
          <w:tcPr/>
          <w:p>
            <w:pPr>
              <w:pStyle w:val="Compact"/>
              <w:jc w:val="left"/>
            </w:pPr>
            <w:r>
              <w:t xml:space="preserve">#8 Model family and version (family)</w:t>
            </w:r>
          </w:p>
        </w:tc>
        <w:tc>
          <w:tcPr/>
          <w:p>
            <w:pPr>
              <w:pStyle w:val="Compact"/>
              <w:jc w:val="left"/>
            </w:pPr>
            <w:r>
              <w:t xml:space="preserve">Po+α</w:t>
            </w:r>
          </w:p>
        </w:tc>
      </w:tr>
      <w:tr>
        <w:tc>
          <w:tcPr/>
          <w:p>
            <w:pPr>
              <w:pStyle w:val="Compact"/>
              <w:jc w:val="left"/>
            </w:pPr>
            <w:r>
              <w:t xml:space="preserve">model_version</w:t>
            </w:r>
          </w:p>
        </w:tc>
        <w:tc>
          <w:tcPr/>
          <w:p>
            <w:pPr>
              <w:pStyle w:val="Compact"/>
              <w:jc w:val="left"/>
            </w:pPr>
            <w:r>
              <w:t xml:space="preserve">exact-only</w:t>
            </w:r>
          </w:p>
        </w:tc>
        <w:tc>
          <w:tcPr/>
          <w:p>
            <w:pPr>
              <w:pStyle w:val="Compact"/>
              <w:jc w:val="left"/>
            </w:pPr>
            <w:r>
              <w:t xml:space="preserve">#8 Model family and version (version)</w:t>
            </w:r>
          </w:p>
        </w:tc>
        <w:tc>
          <w:tcPr/>
          <w:p>
            <w:pPr>
              <w:pStyle w:val="Compact"/>
              <w:jc w:val="left"/>
            </w:pPr>
            <w:r>
              <w:t xml:space="preserve">Po only</w:t>
            </w:r>
          </w:p>
        </w:tc>
      </w:tr>
      <w:tr>
        <w:tc>
          <w:tcPr/>
          <w:p>
            <w:pPr>
              <w:pStyle w:val="Compact"/>
              <w:jc w:val="left"/>
            </w:pPr>
            <w:r>
              <w:t xml:space="preserve">access_openness</w:t>
            </w:r>
          </w:p>
        </w:tc>
        <w:tc>
          <w:tcPr/>
          <w:p>
            <w:pPr>
              <w:pStyle w:val="Compact"/>
              <w:jc w:val="left"/>
            </w:pPr>
            <w:r>
              <w:t xml:space="preserve">nominal</w:t>
            </w:r>
          </w:p>
        </w:tc>
        <w:tc>
          <w:tcPr/>
          <w:p>
            <w:pPr>
              <w:pStyle w:val="Compact"/>
              <w:jc w:val="left"/>
            </w:pPr>
            <w:r>
              <w:t xml:space="preserve">#9 Access route (openness)</w:t>
            </w:r>
          </w:p>
        </w:tc>
        <w:tc>
          <w:tcPr/>
          <w:p>
            <w:pPr>
              <w:pStyle w:val="Compact"/>
              <w:jc w:val="left"/>
            </w:pPr>
            <w:r>
              <w:t xml:space="preserve">Po+α</w:t>
            </w:r>
          </w:p>
        </w:tc>
      </w:tr>
      <w:tr>
        <w:tc>
          <w:tcPr/>
          <w:p>
            <w:pPr>
              <w:pStyle w:val="Compact"/>
              <w:jc w:val="left"/>
            </w:pPr>
            <w:r>
              <w:t xml:space="preserve">access_interface</w:t>
            </w:r>
          </w:p>
        </w:tc>
        <w:tc>
          <w:tcPr/>
          <w:p>
            <w:pPr>
              <w:pStyle w:val="Compact"/>
              <w:jc w:val="left"/>
            </w:pPr>
            <w:r>
              <w:t xml:space="preserve">nominal</w:t>
            </w:r>
          </w:p>
        </w:tc>
        <w:tc>
          <w:tcPr/>
          <w:p>
            <w:pPr>
              <w:pStyle w:val="Compact"/>
              <w:jc w:val="left"/>
            </w:pPr>
            <w:r>
              <w:t xml:space="preserve">#9 Access route (interface)</w:t>
            </w:r>
          </w:p>
        </w:tc>
        <w:tc>
          <w:tcPr/>
          <w:p>
            <w:pPr>
              <w:pStyle w:val="Compact"/>
              <w:jc w:val="left"/>
            </w:pPr>
            <w:r>
              <w:t xml:space="preserve">Po+α</w:t>
            </w:r>
          </w:p>
        </w:tc>
      </w:tr>
      <w:tr>
        <w:tc>
          <w:tcPr/>
          <w:p>
            <w:pPr>
              <w:pStyle w:val="Compact"/>
              <w:jc w:val="left"/>
            </w:pPr>
            <w:r>
              <w:t xml:space="preserve">claimed_modality</w:t>
            </w:r>
          </w:p>
        </w:tc>
        <w:tc>
          <w:tcPr/>
          <w:p>
            <w:pPr>
              <w:pStyle w:val="Compact"/>
              <w:jc w:val="left"/>
            </w:pPr>
            <w:r>
              <w:t xml:space="preserve">nominal</w:t>
            </w:r>
          </w:p>
        </w:tc>
        <w:tc>
          <w:tcPr/>
          <w:p>
            <w:pPr>
              <w:pStyle w:val="Compact"/>
              <w:jc w:val="left"/>
            </w:pPr>
            <w:r>
              <w:t xml:space="preserve">#10 Input modalities (claimed)</w:t>
            </w:r>
          </w:p>
        </w:tc>
        <w:tc>
          <w:tcPr/>
          <w:p>
            <w:pPr>
              <w:pStyle w:val="Compact"/>
              <w:jc w:val="left"/>
            </w:pPr>
            <w:r>
              <w:t xml:space="preserve">Po+α</w:t>
            </w:r>
          </w:p>
        </w:tc>
      </w:tr>
      <w:tr>
        <w:tc>
          <w:tcPr/>
          <w:p>
            <w:pPr>
              <w:pStyle w:val="Compact"/>
              <w:jc w:val="left"/>
            </w:pPr>
            <w:r>
              <w:t xml:space="preserve">actual_input_modality</w:t>
            </w:r>
          </w:p>
        </w:tc>
        <w:tc>
          <w:tcPr/>
          <w:p>
            <w:pPr>
              <w:pStyle w:val="Compact"/>
              <w:jc w:val="left"/>
            </w:pPr>
            <w:r>
              <w:t xml:space="preserve">nominal</w:t>
            </w:r>
          </w:p>
        </w:tc>
        <w:tc>
          <w:tcPr/>
          <w:p>
            <w:pPr>
              <w:pStyle w:val="Compact"/>
              <w:jc w:val="left"/>
            </w:pPr>
            <w:r>
              <w:t xml:space="preserve">#10 Input modalities (actual)</w:t>
            </w:r>
          </w:p>
        </w:tc>
        <w:tc>
          <w:tcPr/>
          <w:p>
            <w:pPr>
              <w:pStyle w:val="Compact"/>
              <w:jc w:val="left"/>
            </w:pPr>
            <w:r>
              <w:t xml:space="preserve">Po+α</w:t>
            </w:r>
          </w:p>
        </w:tc>
      </w:tr>
      <w:tr>
        <w:tc>
          <w:tcPr/>
          <w:p>
            <w:pPr>
              <w:pStyle w:val="Compact"/>
              <w:jc w:val="left"/>
            </w:pPr>
            <w:r>
              <w:t xml:space="preserve">E1_image_input</w:t>
            </w:r>
          </w:p>
        </w:tc>
        <w:tc>
          <w:tcPr/>
          <w:p>
            <w:pPr>
              <w:pStyle w:val="Compact"/>
              <w:jc w:val="left"/>
            </w:pPr>
            <w:r>
              <w:t xml:space="preserve">nominal</w:t>
            </w:r>
          </w:p>
        </w:tc>
        <w:tc>
          <w:tcPr/>
          <w:p>
            <w:pPr>
              <w:pStyle w:val="Compact"/>
              <w:jc w:val="left"/>
            </w:pPr>
            <w:r>
              <w:t xml:space="preserve">#10 Input modalities (image channel; not a 1:1 entry)</w:t>
            </w:r>
          </w:p>
        </w:tc>
        <w:tc>
          <w:tcPr/>
          <w:p>
            <w:pPr>
              <w:pStyle w:val="Compact"/>
              <w:jc w:val="left"/>
            </w:pPr>
            <w:r>
              <w:t xml:space="preserve">Po+α</w:t>
            </w:r>
          </w:p>
        </w:tc>
      </w:tr>
      <w:tr>
        <w:tc>
          <w:tcPr/>
          <w:p>
            <w:pPr>
              <w:pStyle w:val="Compact"/>
              <w:jc w:val="left"/>
            </w:pPr>
            <w:r>
              <w:t xml:space="preserve">task_domain</w:t>
            </w:r>
          </w:p>
        </w:tc>
        <w:tc>
          <w:tcPr/>
          <w:p>
            <w:pPr>
              <w:pStyle w:val="Compact"/>
              <w:jc w:val="left"/>
            </w:pPr>
            <w:r>
              <w:t xml:space="preserve">nominal</w:t>
            </w:r>
          </w:p>
        </w:tc>
        <w:tc>
          <w:tcPr/>
          <w:p>
            <w:pPr>
              <w:pStyle w:val="Compact"/>
              <w:jc w:val="left"/>
            </w:pPr>
            <w:r>
              <w:t xml:space="preserve">#11 Task domain</w:t>
            </w:r>
          </w:p>
        </w:tc>
        <w:tc>
          <w:tcPr/>
          <w:p>
            <w:pPr>
              <w:pStyle w:val="Compact"/>
              <w:jc w:val="left"/>
            </w:pPr>
            <w:r>
              <w:t xml:space="preserve">Po+α</w:t>
            </w:r>
          </w:p>
        </w:tc>
      </w:tr>
      <w:tr>
        <w:tc>
          <w:tcPr/>
          <w:p>
            <w:pPr>
              <w:pStyle w:val="Compact"/>
              <w:jc w:val="left"/>
            </w:pPr>
            <w:r>
              <w:t xml:space="preserve">training_scale_unit</w:t>
            </w:r>
          </w:p>
        </w:tc>
        <w:tc>
          <w:tcPr/>
          <w:p>
            <w:pPr>
              <w:pStyle w:val="Compact"/>
              <w:jc w:val="left"/>
            </w:pPr>
            <w:r>
              <w:t xml:space="preserve">nominal</w:t>
            </w:r>
          </w:p>
        </w:tc>
        <w:tc>
          <w:tcPr/>
          <w:p>
            <w:pPr>
              <w:pStyle w:val="Compact"/>
              <w:jc w:val="left"/>
            </w:pPr>
            <w:r>
              <w:t xml:space="preserve">#13 Training scale (unit)</w:t>
            </w:r>
          </w:p>
        </w:tc>
        <w:tc>
          <w:tcPr/>
          <w:p>
            <w:pPr>
              <w:pStyle w:val="Compact"/>
              <w:jc w:val="left"/>
            </w:pPr>
            <w:r>
              <w:t xml:space="preserve">Po+α</w:t>
            </w:r>
          </w:p>
        </w:tc>
      </w:tr>
      <w:tr>
        <w:tc>
          <w:tcPr/>
          <w:p>
            <w:pPr>
              <w:pStyle w:val="Compact"/>
              <w:jc w:val="left"/>
            </w:pPr>
            <w:r>
              <w:t xml:space="preserve">evaluation_scale_unit</w:t>
            </w:r>
          </w:p>
        </w:tc>
        <w:tc>
          <w:tcPr/>
          <w:p>
            <w:pPr>
              <w:pStyle w:val="Compact"/>
              <w:jc w:val="left"/>
            </w:pPr>
            <w:r>
              <w:t xml:space="preserve">nominal</w:t>
            </w:r>
          </w:p>
        </w:tc>
        <w:tc>
          <w:tcPr/>
          <w:p>
            <w:pPr>
              <w:pStyle w:val="Compact"/>
              <w:jc w:val="left"/>
            </w:pPr>
            <w:r>
              <w:t xml:space="preserve">#14 Evaluation scale (unit)</w:t>
            </w:r>
          </w:p>
        </w:tc>
        <w:tc>
          <w:tcPr/>
          <w:p>
            <w:pPr>
              <w:pStyle w:val="Compact"/>
              <w:jc w:val="left"/>
            </w:pPr>
            <w:r>
              <w:t xml:space="preserve">Po+α</w:t>
            </w:r>
          </w:p>
        </w:tc>
      </w:tr>
      <w:tr>
        <w:tc>
          <w:tcPr/>
          <w:p>
            <w:pPr>
              <w:pStyle w:val="Compact"/>
              <w:jc w:val="left"/>
            </w:pPr>
            <w:r>
              <w:t xml:space="preserve">sample_unit</w:t>
            </w:r>
          </w:p>
        </w:tc>
        <w:tc>
          <w:tcPr/>
          <w:p>
            <w:pPr>
              <w:pStyle w:val="Compact"/>
              <w:jc w:val="left"/>
            </w:pPr>
            <w:r>
              <w:t xml:space="preserve">nominal</w:t>
            </w:r>
          </w:p>
        </w:tc>
        <w:tc>
          <w:tcPr/>
          <w:p>
            <w:pPr>
              <w:pStyle w:val="Compact"/>
              <w:jc w:val="left"/>
            </w:pPr>
            <w:r>
              <w:t xml:space="preserve">#15 Sample units reported</w:t>
            </w:r>
          </w:p>
        </w:tc>
        <w:tc>
          <w:tcPr/>
          <w:p>
            <w:pPr>
              <w:pStyle w:val="Compact"/>
              <w:jc w:val="left"/>
            </w:pPr>
            <w:r>
              <w:t xml:space="preserve">Po+α</w:t>
            </w:r>
          </w:p>
        </w:tc>
      </w:tr>
      <w:tr>
        <w:tc>
          <w:tcPr/>
          <w:p>
            <w:pPr>
              <w:pStyle w:val="Compact"/>
              <w:jc w:val="left"/>
            </w:pPr>
            <w:r>
              <w:t xml:space="preserve">intended_use_author</w:t>
            </w:r>
          </w:p>
        </w:tc>
        <w:tc>
          <w:tcPr/>
          <w:p>
            <w:pPr>
              <w:pStyle w:val="Compact"/>
              <w:jc w:val="left"/>
            </w:pPr>
            <w:r>
              <w:t xml:space="preserve">exact-only</w:t>
            </w:r>
          </w:p>
        </w:tc>
        <w:tc>
          <w:tcPr/>
          <w:p>
            <w:pPr>
              <w:pStyle w:val="Compact"/>
              <w:jc w:val="left"/>
            </w:pPr>
            <w:r>
              <w:t xml:space="preserve">#16 Intended use (author-stated)</w:t>
            </w:r>
          </w:p>
        </w:tc>
        <w:tc>
          <w:tcPr/>
          <w:p>
            <w:pPr>
              <w:pStyle w:val="Compact"/>
              <w:jc w:val="left"/>
            </w:pPr>
            <w:r>
              <w:t xml:space="preserve">Po only</w:t>
            </w:r>
          </w:p>
        </w:tc>
      </w:tr>
      <w:tr>
        <w:tc>
          <w:tcPr/>
          <w:p>
            <w:pPr>
              <w:pStyle w:val="Compact"/>
              <w:jc w:val="left"/>
            </w:pPr>
            <w:r>
              <w:t xml:space="preserve">intended_use_category</w:t>
            </w:r>
          </w:p>
        </w:tc>
        <w:tc>
          <w:tcPr/>
          <w:p>
            <w:pPr>
              <w:pStyle w:val="Compact"/>
              <w:jc w:val="left"/>
            </w:pPr>
            <w:r>
              <w:t xml:space="preserve">nominal</w:t>
            </w:r>
          </w:p>
        </w:tc>
        <w:tc>
          <w:tcPr/>
          <w:p>
            <w:pPr>
              <w:pStyle w:val="Compact"/>
              <w:jc w:val="left"/>
            </w:pPr>
            <w:r>
              <w:t xml:space="preserve">#16 Intended use (category)</w:t>
            </w:r>
          </w:p>
        </w:tc>
        <w:tc>
          <w:tcPr/>
          <w:p>
            <w:pPr>
              <w:pStyle w:val="Compact"/>
              <w:jc w:val="left"/>
            </w:pPr>
            <w:r>
              <w:t xml:space="preserve">Po+α</w:t>
            </w:r>
          </w:p>
        </w:tc>
      </w:tr>
      <w:tr>
        <w:tc>
          <w:tcPr/>
          <w:p>
            <w:pPr>
              <w:pStyle w:val="Compact"/>
              <w:jc w:val="left"/>
            </w:pPr>
            <w:r>
              <w:t xml:space="preserve">evaluated_configuration</w:t>
            </w:r>
          </w:p>
        </w:tc>
        <w:tc>
          <w:tcPr/>
          <w:p>
            <w:pPr>
              <w:pStyle w:val="Compact"/>
              <w:jc w:val="left"/>
            </w:pPr>
            <w:r>
              <w:t xml:space="preserve">nominal</w:t>
            </w:r>
          </w:p>
        </w:tc>
        <w:tc>
          <w:tcPr/>
          <w:p>
            <w:pPr>
              <w:pStyle w:val="Compact"/>
              <w:jc w:val="left"/>
            </w:pPr>
            <w:r>
              <w:t xml:space="preserve">#17 Evaluated configuration</w:t>
            </w:r>
          </w:p>
        </w:tc>
        <w:tc>
          <w:tcPr/>
          <w:p>
            <w:pPr>
              <w:pStyle w:val="Compact"/>
              <w:jc w:val="left"/>
            </w:pPr>
            <w:r>
              <w:t xml:space="preserve">Po+α</w:t>
            </w:r>
          </w:p>
        </w:tc>
      </w:tr>
      <w:tr>
        <w:tc>
          <w:tcPr/>
          <w:p>
            <w:pPr>
              <w:pStyle w:val="Compact"/>
              <w:jc w:val="left"/>
            </w:pPr>
            <w:r>
              <w:t xml:space="preserve">comparator</w:t>
            </w:r>
          </w:p>
        </w:tc>
        <w:tc>
          <w:tcPr/>
          <w:p>
            <w:pPr>
              <w:pStyle w:val="Compact"/>
              <w:jc w:val="left"/>
            </w:pPr>
            <w:r>
              <w:t xml:space="preserve">nominal</w:t>
            </w:r>
          </w:p>
        </w:tc>
        <w:tc>
          <w:tcPr/>
          <w:p>
            <w:pPr>
              <w:pStyle w:val="Compact"/>
              <w:jc w:val="left"/>
            </w:pPr>
            <w:r>
              <w:t xml:space="preserve">#18 Comparator</w:t>
            </w:r>
          </w:p>
        </w:tc>
        <w:tc>
          <w:tcPr/>
          <w:p>
            <w:pPr>
              <w:pStyle w:val="Compact"/>
              <w:jc w:val="left"/>
            </w:pPr>
            <w:r>
              <w:t xml:space="preserve">Po+α</w:t>
            </w:r>
          </w:p>
        </w:tc>
      </w:tr>
      <w:tr>
        <w:tc>
          <w:tcPr/>
          <w:p>
            <w:pPr>
              <w:pStyle w:val="Compact"/>
              <w:jc w:val="left"/>
            </w:pPr>
            <w:r>
              <w:t xml:space="preserve">evidence_category</w:t>
            </w:r>
          </w:p>
        </w:tc>
        <w:tc>
          <w:tcPr/>
          <w:p>
            <w:pPr>
              <w:pStyle w:val="Compact"/>
              <w:jc w:val="left"/>
            </w:pPr>
            <w:r>
              <w:t xml:space="preserve">nominal</w:t>
            </w:r>
          </w:p>
        </w:tc>
        <w:tc>
          <w:tcPr/>
          <w:p>
            <w:pPr>
              <w:pStyle w:val="Compact"/>
              <w:jc w:val="left"/>
            </w:pPr>
            <w:r>
              <w:t xml:space="preserve">#25 Evidence category</w:t>
            </w:r>
          </w:p>
        </w:tc>
        <w:tc>
          <w:tcPr/>
          <w:p>
            <w:pPr>
              <w:pStyle w:val="Compact"/>
              <w:jc w:val="left"/>
            </w:pPr>
            <w:r>
              <w:t xml:space="preserve">Po+α</w:t>
            </w:r>
          </w:p>
        </w:tc>
      </w:tr>
      <w:tr>
        <w:tc>
          <w:tcPr/>
          <w:p>
            <w:pPr>
              <w:pStyle w:val="Compact"/>
              <w:jc w:val="left"/>
            </w:pPr>
            <w:r>
              <w:t xml:space="preserve">endpoint_L1–L6</w:t>
            </w:r>
          </w:p>
        </w:tc>
        <w:tc>
          <w:tcPr/>
          <w:p>
            <w:pPr>
              <w:pStyle w:val="Compact"/>
              <w:jc w:val="left"/>
            </w:pPr>
            <w:r>
              <w:t xml:space="preserve">binary ×6</w:t>
            </w:r>
          </w:p>
        </w:tc>
        <w:tc>
          <w:tcPr/>
          <w:p>
            <w:pPr>
              <w:pStyle w:val="Compact"/>
              <w:jc w:val="left"/>
            </w:pPr>
            <w:r>
              <w:t xml:space="preserve">Evidence level L1–L6 (multi-label)</w:t>
            </w:r>
          </w:p>
        </w:tc>
        <w:tc>
          <w:tcPr/>
          <w:p>
            <w:pPr>
              <w:pStyle w:val="Compact"/>
              <w:jc w:val="left"/>
            </w:pPr>
            <w:r>
              <w:t xml:space="preserve">Po+α</w:t>
            </w:r>
          </w:p>
        </w:tc>
      </w:tr>
      <w:tr>
        <w:tc>
          <w:tcPr/>
          <w:p>
            <w:pPr>
              <w:pStyle w:val="Compact"/>
              <w:jc w:val="left"/>
            </w:pPr>
            <w:r>
              <w:t xml:space="preserve">E2_contrast_or_ablation_implemented</w:t>
            </w:r>
          </w:p>
        </w:tc>
        <w:tc>
          <w:tcPr/>
          <w:p>
            <w:pPr>
              <w:pStyle w:val="Compact"/>
              <w:jc w:val="left"/>
            </w:pPr>
            <w:r>
              <w:t xml:space="preserve">nominal</w:t>
            </w:r>
          </w:p>
        </w:tc>
        <w:tc>
          <w:tcPr/>
          <w:p>
            <w:pPr>
              <w:pStyle w:val="Compact"/>
              <w:jc w:val="left"/>
            </w:pPr>
            <w:r>
              <w:rPr>
                <w:bCs/>
                <w:b/>
              </w:rPr>
              <w:t xml:space="preserve">not listed in the codebook</w:t>
            </w:r>
          </w:p>
        </w:tc>
        <w:tc>
          <w:tcPr/>
          <w:p>
            <w:pPr>
              <w:pStyle w:val="Compact"/>
              <w:jc w:val="left"/>
            </w:pPr>
            <w:r>
              <w:t xml:space="preserve">Po+α</w:t>
            </w:r>
          </w:p>
        </w:tc>
      </w:tr>
      <w:tr>
        <w:tc>
          <w:tcPr/>
          <w:p>
            <w:pPr>
              <w:pStyle w:val="Compact"/>
              <w:jc w:val="left"/>
            </w:pPr>
            <w:r>
              <w:t xml:space="preserve">E2_visual_contribution_result</w:t>
            </w:r>
          </w:p>
        </w:tc>
        <w:tc>
          <w:tcPr/>
          <w:p>
            <w:pPr>
              <w:pStyle w:val="Compact"/>
              <w:jc w:val="left"/>
            </w:pPr>
            <w:r>
              <w:t xml:space="preserve">nominal</w:t>
            </w:r>
          </w:p>
        </w:tc>
        <w:tc>
          <w:tcPr/>
          <w:p>
            <w:pPr>
              <w:pStyle w:val="Compact"/>
              <w:jc w:val="left"/>
            </w:pPr>
            <w:r>
              <w:rPr>
                <w:bCs/>
                <w:b/>
              </w:rPr>
              <w:t xml:space="preserve">not listed in the codebook</w:t>
            </w:r>
          </w:p>
        </w:tc>
        <w:tc>
          <w:tcPr/>
          <w:p>
            <w:pPr>
              <w:pStyle w:val="Compact"/>
              <w:jc w:val="left"/>
            </w:pPr>
            <w:r>
              <w:t xml:space="preserve">Po+α</w:t>
            </w:r>
          </w:p>
        </w:tc>
      </w:tr>
      <w:tr>
        <w:tc>
          <w:tcPr/>
          <w:p>
            <w:pPr>
              <w:pStyle w:val="Compact"/>
              <w:jc w:val="left"/>
            </w:pPr>
            <w:r>
              <w:t xml:space="preserve">E3_image_relevant_to_use</w:t>
            </w:r>
          </w:p>
        </w:tc>
        <w:tc>
          <w:tcPr/>
          <w:p>
            <w:pPr>
              <w:pStyle w:val="Compact"/>
              <w:jc w:val="left"/>
            </w:pPr>
            <w:r>
              <w:t xml:space="preserve">nominal</w:t>
            </w:r>
          </w:p>
        </w:tc>
        <w:tc>
          <w:tcPr/>
          <w:p>
            <w:pPr>
              <w:pStyle w:val="Compact"/>
              <w:jc w:val="left"/>
            </w:pPr>
            <w:r>
              <w:rPr>
                <w:bCs/>
                <w:b/>
              </w:rPr>
              <w:t xml:space="preserve">not listed in the codebook</w:t>
            </w:r>
          </w:p>
        </w:tc>
        <w:tc>
          <w:tcPr/>
          <w:p>
            <w:pPr>
              <w:pStyle w:val="Compact"/>
              <w:jc w:val="left"/>
            </w:pPr>
            <w:r>
              <w:t xml:space="preserve">Po+α</w:t>
            </w:r>
          </w:p>
        </w:tc>
      </w:tr>
      <w:tr>
        <w:tc>
          <w:tcPr/>
          <w:p>
            <w:pPr>
              <w:pStyle w:val="Compact"/>
              <w:jc w:val="left"/>
            </w:pPr>
            <w:r>
              <w:t xml:space="preserve">primary_instance_id</w:t>
            </w:r>
          </w:p>
        </w:tc>
        <w:tc>
          <w:tcPr/>
          <w:p>
            <w:pPr>
              <w:pStyle w:val="Compact"/>
              <w:jc w:val="left"/>
            </w:pPr>
            <w:r>
              <w:t xml:space="preserve">exact-only</w:t>
            </w:r>
          </w:p>
        </w:tc>
        <w:tc>
          <w:tcPr/>
          <w:p>
            <w:pPr>
              <w:pStyle w:val="Compact"/>
              <w:jc w:val="left"/>
            </w:pPr>
            <w:r>
              <w:rPr>
                <w:bCs/>
                <w:b/>
              </w:rPr>
              <w:t xml:space="preserve">not listed in the codebook</w:t>
            </w:r>
          </w:p>
        </w:tc>
        <w:tc>
          <w:tcPr/>
          <w:p>
            <w:pPr>
              <w:pStyle w:val="Compact"/>
              <w:jc w:val="left"/>
            </w:pPr>
            <w:r>
              <w:t xml:space="preserve">Po only</w:t>
            </w:r>
          </w:p>
        </w:tc>
      </w:tr>
    </w:tbl>
    <w:p>
      <w:pPr>
        <w:pStyle w:val="BodyText"/>
      </w:pPr>
      <w:r>
        <w:t xml:space="preserve">Codebook fields with no analysis-field counterpart (not in the 29, therefore not in the reliability table): #1 Study identity, #4 Design — author-described, #6 Multi-centre, #7 Independent external validation, #12 Dataset provenance, #19 Endpoint level, #20 Outcome measures, #21–#24, and the 13 reporting markers. E2 (contrast/ablation; visual contribution) and E3 (image relevance) are Tier-1 analysis fields not enumerated in the codebook’s numbered list, and primary_instance_id records the primary model instance likewise outside the numbered list; these are flagged here rather than forced into a codebook entry. Versioning note:</w:t>
      </w:r>
      <w:r>
        <w:t xml:space="preserve"> </w:t>
      </w:r>
      <w:r>
        <w:rPr>
          <w:rStyle w:val="VerbatimChar"/>
        </w:rPr>
        <w:t xml:space="preserve">E2_contrast_or_ablation_implemented</w:t>
      </w:r>
      <w:r>
        <w:t xml:space="preserve">,</w:t>
      </w:r>
      <w:r>
        <w:t xml:space="preserve"> </w:t>
      </w:r>
      <w:r>
        <w:rPr>
          <w:rStyle w:val="VerbatimChar"/>
        </w:rPr>
        <w:t xml:space="preserve">E2_visual_contribution_result</w:t>
      </w:r>
      <w:r>
        <w:t xml:space="preserve">,</w:t>
      </w:r>
      <w:r>
        <w:t xml:space="preserve"> </w:t>
      </w:r>
      <w:r>
        <w:rPr>
          <w:rStyle w:val="VerbatimChar"/>
        </w:rPr>
        <w:t xml:space="preserve">E3_image_relevant_to_use</w:t>
      </w:r>
      <w:r>
        <w:t xml:space="preserve">, and</w:t>
      </w:r>
      <w:r>
        <w:t xml:space="preserve"> </w:t>
      </w:r>
      <w:r>
        <w:rPr>
          <w:rStyle w:val="VerbatimChar"/>
        </w:rPr>
        <w:t xml:space="preserve">primary_instance_id</w:t>
      </w:r>
      <w:r>
        <w:t xml:space="preserve"> </w:t>
      </w:r>
      <w:r>
        <w:t xml:space="preserve">are analysis-derived fields, not Tier-1 extraction fields; their definitions and value rules follow S1d. The codebook completeness statement is limited to Tier-1 extraction fields (Supplementary-Codebook.md §1); no additional Tier-1 codebook entries are assigned here.</w:t>
      </w:r>
    </w:p>
    <w:bookmarkEnd w:id="25"/>
    <w:bookmarkStart w:id="26" w:name="X1e3481b62f3316abb80d3de7e03df6278ca59fc"/>
    <w:p>
      <w:pPr>
        <w:pStyle w:val="Heading3"/>
      </w:pPr>
      <w:r>
        <w:t xml:space="preserve">S1c.1 Marginal distributions of the three nominal fields that cleared Po while missing alpha</w:t>
      </w:r>
    </w:p>
    <w:p>
      <w:pPr>
        <w:pStyle w:val="BlockText"/>
      </w:pPr>
      <w:r>
        <w:rPr>
          <w:bCs/>
          <w:b/>
        </w:rPr>
        <w:t xml:space="preserve">Denominator note.</w:t>
      </w:r>
      <w:r>
        <w:t xml:space="preserve"> </w:t>
      </w:r>
      <w:r>
        <w:t xml:space="preserve">This table is computed on the pre-adjudication coded corpus of 390 records. After the eligibility re-adjudication (Manuscript §2.9; S-map) the included set is 277 reports; the two denominators differ by design and they are not the same analysis denominator.</w:t>
      </w:r>
    </w:p>
    <w:p>
      <w:pPr>
        <w:pStyle w:val="FirstParagraph"/>
      </w:pPr>
      <w:r>
        <w:t xml:space="preserve">Note: this table is based on the pre-adjudication 390-record coded corpus; the included set is 277, and the differing denominators are by design.</w:t>
      </w:r>
    </w:p>
    <w:p>
      <w:pPr>
        <w:pStyle w:val="BodyText"/>
      </w:pPr>
      <w:r>
        <w:t xml:space="preserve">Category counts per coder arm, the modal category share, the chance-expected agreement Pc, and Po − Pc for the three nominal fields that cleared Po ≥ 0.80 while α fell below 0.67 (computed from the frozen coded data). The four binary endpoint indicators with the same Po-pass/α-fail pattern (endpoint_L1, L3, L4, L6) are per-label yes/no indicators of one multi-label variable; their low α coincides with category imbalance (a rare negative category for endpoint_L1; a rare positive category for L3, L4 and L6); prevalence, positive- and negative-specific agreement and PABAK are reported in S1c.2.</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field</w:t>
            </w:r>
          </w:p>
        </w:tc>
        <w:tc>
          <w:tcPr/>
          <w:p>
            <w:pPr>
              <w:pStyle w:val="Compact"/>
              <w:jc w:val="left"/>
            </w:pPr>
            <w:r>
              <w:t xml:space="preserve">arm</w:t>
            </w:r>
          </w:p>
        </w:tc>
        <w:tc>
          <w:tcPr/>
          <w:p>
            <w:pPr>
              <w:pStyle w:val="Compact"/>
              <w:jc w:val="left"/>
            </w:pPr>
            <w:r>
              <w:t xml:space="preserve">category counts</w:t>
            </w:r>
          </w:p>
        </w:tc>
        <w:tc>
          <w:tcPr/>
          <w:p>
            <w:pPr>
              <w:pStyle w:val="Compact"/>
              <w:jc w:val="left"/>
            </w:pPr>
            <w:r>
              <w:t xml:space="preserve">modal category</w:t>
            </w:r>
          </w:p>
        </w:tc>
        <w:tc>
          <w:tcPr/>
          <w:p>
            <w:pPr>
              <w:pStyle w:val="Compact"/>
              <w:jc w:val="left"/>
            </w:pPr>
            <w:r>
              <w:t xml:space="preserve">modal share (%)</w:t>
            </w:r>
          </w:p>
        </w:tc>
        <w:tc>
          <w:tcPr/>
          <w:p>
            <w:pPr>
              <w:pStyle w:val="Compact"/>
              <w:jc w:val="left"/>
            </w:pPr>
            <w:r>
              <w:t xml:space="preserve">Pc</w:t>
            </w:r>
          </w:p>
        </w:tc>
        <w:tc>
          <w:tcPr/>
          <w:p>
            <w:pPr>
              <w:pStyle w:val="Compact"/>
              <w:jc w:val="left"/>
            </w:pPr>
            <w:r>
              <w:t xml:space="preserve">Po − Pc</w:t>
            </w:r>
          </w:p>
        </w:tc>
      </w:tr>
      <w:tr>
        <w:tc>
          <w:tcPr/>
          <w:p>
            <w:pPr>
              <w:pStyle w:val="Compact"/>
              <w:jc w:val="left"/>
            </w:pPr>
            <w:r>
              <w:t xml:space="preserve">E3_image_relevant_to_use</w:t>
            </w:r>
          </w:p>
        </w:tc>
        <w:tc>
          <w:tcPr/>
          <w:p>
            <w:pPr>
              <w:pStyle w:val="Compact"/>
              <w:jc w:val="left"/>
            </w:pPr>
            <w:r>
              <w:t xml:space="preserve">A</w:t>
            </w:r>
          </w:p>
        </w:tc>
        <w:tc>
          <w:tcPr/>
          <w:p>
            <w:pPr>
              <w:pStyle w:val="Compact"/>
              <w:jc w:val="left"/>
            </w:pPr>
            <w:r>
              <w:t xml:space="preserve">yes 296; no 44; unable to determine 50</w:t>
            </w:r>
          </w:p>
        </w:tc>
        <w:tc>
          <w:tcPr/>
          <w:p>
            <w:pPr>
              <w:pStyle w:val="Compact"/>
              <w:jc w:val="left"/>
            </w:pPr>
            <w:r>
              <w:t xml:space="preserve">yes</w:t>
            </w:r>
          </w:p>
        </w:tc>
        <w:tc>
          <w:tcPr/>
          <w:p>
            <w:pPr>
              <w:pStyle w:val="Compact"/>
              <w:jc w:val="left"/>
            </w:pPr>
            <w:r>
              <w:t xml:space="preserve">75.9</w:t>
            </w:r>
          </w:p>
        </w:tc>
        <w:tc>
          <w:tcPr/>
          <w:p>
            <w:pPr>
              <w:pStyle w:val="Compact"/>
              <w:jc w:val="left"/>
            </w:pPr>
            <w:r>
              <w:t xml:space="preserve">0.6503</w:t>
            </w:r>
          </w:p>
        </w:tc>
        <w:tc>
          <w:tcPr/>
          <w:p>
            <w:pPr>
              <w:pStyle w:val="Compact"/>
              <w:jc w:val="left"/>
            </w:pPr>
            <w:r>
              <w:t xml:space="preserve">0.1882</w:t>
            </w:r>
          </w:p>
        </w:tc>
      </w:tr>
      <w:tr>
        <w:tc>
          <w:tcPr/>
          <w:p>
            <w:pPr>
              <w:pStyle w:val="Compact"/>
              <w:jc w:val="left"/>
            </w:pPr>
            <w:r>
              <w:t xml:space="preserve">E3_image_relevant_to_use</w:t>
            </w:r>
          </w:p>
        </w:tc>
        <w:tc>
          <w:tcPr/>
          <w:p>
            <w:pPr>
              <w:pStyle w:val="Compact"/>
              <w:jc w:val="left"/>
            </w:pPr>
            <w:r>
              <w:t xml:space="preserve">B</w:t>
            </w:r>
          </w:p>
        </w:tc>
        <w:tc>
          <w:tcPr/>
          <w:p>
            <w:pPr>
              <w:pStyle w:val="Compact"/>
              <w:jc w:val="left"/>
            </w:pPr>
            <w:r>
              <w:t xml:space="preserve">yes 324; no 50; unable to determine 16</w:t>
            </w:r>
          </w:p>
        </w:tc>
        <w:tc>
          <w:tcPr/>
          <w:p>
            <w:pPr>
              <w:pStyle w:val="Compact"/>
              <w:jc w:val="left"/>
            </w:pPr>
            <w:r>
              <w:t xml:space="preserve">yes</w:t>
            </w:r>
          </w:p>
        </w:tc>
        <w:tc>
          <w:tcPr/>
          <w:p>
            <w:pPr>
              <w:pStyle w:val="Compact"/>
              <w:jc w:val="left"/>
            </w:pPr>
            <w:r>
              <w:t xml:space="preserve">83.1</w:t>
            </w:r>
          </w:p>
        </w:tc>
        <w:tc>
          <w:tcPr/>
          <w:p>
            <w:pPr>
              <w:pStyle w:val="Compact"/>
              <w:jc w:val="left"/>
            </w:pPr>
            <w:r>
              <w:t xml:space="preserve">0.6503</w:t>
            </w:r>
          </w:p>
        </w:tc>
        <w:tc>
          <w:tcPr/>
          <w:p>
            <w:pPr>
              <w:pStyle w:val="Compact"/>
              <w:jc w:val="left"/>
            </w:pPr>
            <w:r>
              <w:t xml:space="preserve">0.1882</w:t>
            </w:r>
          </w:p>
        </w:tc>
      </w:tr>
      <w:tr>
        <w:tc>
          <w:tcPr/>
          <w:p>
            <w:pPr>
              <w:pStyle w:val="Compact"/>
              <w:jc w:val="left"/>
            </w:pPr>
            <w:r>
              <w:t xml:space="preserve">access_openness</w:t>
            </w:r>
          </w:p>
        </w:tc>
        <w:tc>
          <w:tcPr/>
          <w:p>
            <w:pPr>
              <w:pStyle w:val="Compact"/>
              <w:jc w:val="left"/>
            </w:pPr>
            <w:r>
              <w:t xml:space="preserve">A</w:t>
            </w:r>
          </w:p>
        </w:tc>
        <w:tc>
          <w:tcPr/>
          <w:p>
            <w:pPr>
              <w:pStyle w:val="Compact"/>
              <w:jc w:val="left"/>
            </w:pPr>
            <w:r>
              <w:t xml:space="preserve">closed 317; open 44; unclear or not reported 29</w:t>
            </w:r>
          </w:p>
        </w:tc>
        <w:tc>
          <w:tcPr/>
          <w:p>
            <w:pPr>
              <w:pStyle w:val="Compact"/>
              <w:jc w:val="left"/>
            </w:pPr>
            <w:r>
              <w:t xml:space="preserve">closed</w:t>
            </w:r>
          </w:p>
        </w:tc>
        <w:tc>
          <w:tcPr/>
          <w:p>
            <w:pPr>
              <w:pStyle w:val="Compact"/>
              <w:jc w:val="left"/>
            </w:pPr>
            <w:r>
              <w:t xml:space="preserve">81.3</w:t>
            </w:r>
          </w:p>
        </w:tc>
        <w:tc>
          <w:tcPr/>
          <w:p>
            <w:pPr>
              <w:pStyle w:val="Compact"/>
              <w:jc w:val="left"/>
            </w:pPr>
            <w:r>
              <w:t xml:space="preserve">0.6254</w:t>
            </w:r>
          </w:p>
        </w:tc>
        <w:tc>
          <w:tcPr/>
          <w:p>
            <w:pPr>
              <w:pStyle w:val="Compact"/>
              <w:jc w:val="left"/>
            </w:pPr>
            <w:r>
              <w:t xml:space="preserve">0.2182</w:t>
            </w:r>
          </w:p>
        </w:tc>
      </w:tr>
      <w:tr>
        <w:tc>
          <w:tcPr/>
          <w:p>
            <w:pPr>
              <w:pStyle w:val="Compact"/>
              <w:jc w:val="left"/>
            </w:pPr>
            <w:r>
              <w:t xml:space="preserve">access_openness</w:t>
            </w:r>
          </w:p>
        </w:tc>
        <w:tc>
          <w:tcPr/>
          <w:p>
            <w:pPr>
              <w:pStyle w:val="Compact"/>
              <w:jc w:val="left"/>
            </w:pPr>
            <w:r>
              <w:t xml:space="preserve">B</w:t>
            </w:r>
          </w:p>
        </w:tc>
        <w:tc>
          <w:tcPr/>
          <w:p>
            <w:pPr>
              <w:pStyle w:val="Compact"/>
              <w:jc w:val="left"/>
            </w:pPr>
            <w:r>
              <w:t xml:space="preserve">closed 290; open 20; unclear or not reported 80</w:t>
            </w:r>
          </w:p>
        </w:tc>
        <w:tc>
          <w:tcPr/>
          <w:p>
            <w:pPr>
              <w:pStyle w:val="Compact"/>
              <w:jc w:val="left"/>
            </w:pPr>
            <w:r>
              <w:t xml:space="preserve">closed</w:t>
            </w:r>
          </w:p>
        </w:tc>
        <w:tc>
          <w:tcPr/>
          <w:p>
            <w:pPr>
              <w:pStyle w:val="Compact"/>
              <w:jc w:val="left"/>
            </w:pPr>
            <w:r>
              <w:t xml:space="preserve">74.4</w:t>
            </w:r>
          </w:p>
        </w:tc>
        <w:tc>
          <w:tcPr/>
          <w:p>
            <w:pPr>
              <w:pStyle w:val="Compact"/>
              <w:jc w:val="left"/>
            </w:pPr>
            <w:r>
              <w:t xml:space="preserve">0.6254</w:t>
            </w:r>
          </w:p>
        </w:tc>
        <w:tc>
          <w:tcPr/>
          <w:p>
            <w:pPr>
              <w:pStyle w:val="Compact"/>
              <w:jc w:val="left"/>
            </w:pPr>
            <w:r>
              <w:t xml:space="preserve">0.2182</w:t>
            </w:r>
          </w:p>
        </w:tc>
      </w:tr>
      <w:tr>
        <w:tc>
          <w:tcPr/>
          <w:p>
            <w:pPr>
              <w:pStyle w:val="Compact"/>
              <w:jc w:val="left"/>
            </w:pPr>
            <w:r>
              <w:t xml:space="preserve">training_scale_unit</w:t>
            </w:r>
          </w:p>
        </w:tc>
        <w:tc>
          <w:tcPr/>
          <w:p>
            <w:pPr>
              <w:pStyle w:val="Compact"/>
              <w:jc w:val="left"/>
            </w:pPr>
            <w:r>
              <w:t xml:space="preserve">A</w:t>
            </w:r>
          </w:p>
        </w:tc>
        <w:tc>
          <w:tcPr/>
          <w:p>
            <w:pPr>
              <w:pStyle w:val="Compact"/>
              <w:jc w:val="left"/>
            </w:pPr>
            <w:r>
              <w:t xml:space="preserve">unreported 332; image 40; case 6; patient 4; dataset 3; question 3; document 2; other 0</w:t>
            </w:r>
          </w:p>
        </w:tc>
        <w:tc>
          <w:tcPr/>
          <w:p>
            <w:pPr>
              <w:pStyle w:val="Compact"/>
              <w:jc w:val="left"/>
            </w:pPr>
            <w:r>
              <w:t xml:space="preserve">unreported</w:t>
            </w:r>
          </w:p>
        </w:tc>
        <w:tc>
          <w:tcPr/>
          <w:p>
            <w:pPr>
              <w:pStyle w:val="Compact"/>
              <w:jc w:val="left"/>
            </w:pPr>
            <w:r>
              <w:t xml:space="preserve">85.1</w:t>
            </w:r>
          </w:p>
        </w:tc>
        <w:tc>
          <w:tcPr/>
          <w:p>
            <w:pPr>
              <w:pStyle w:val="Compact"/>
              <w:jc w:val="left"/>
            </w:pPr>
            <w:r>
              <w:t xml:space="preserve">0.7036</w:t>
            </w:r>
          </w:p>
        </w:tc>
        <w:tc>
          <w:tcPr/>
          <w:p>
            <w:pPr>
              <w:pStyle w:val="Compact"/>
              <w:jc w:val="left"/>
            </w:pPr>
            <w:r>
              <w:t xml:space="preserve">0.1785</w:t>
            </w:r>
          </w:p>
        </w:tc>
      </w:tr>
      <w:tr>
        <w:tc>
          <w:tcPr/>
          <w:p>
            <w:pPr>
              <w:pStyle w:val="Compact"/>
              <w:jc w:val="left"/>
            </w:pPr>
            <w:r>
              <w:t xml:space="preserve">training_scale_unit</w:t>
            </w:r>
          </w:p>
        </w:tc>
        <w:tc>
          <w:tcPr/>
          <w:p>
            <w:pPr>
              <w:pStyle w:val="Compact"/>
              <w:jc w:val="left"/>
            </w:pPr>
            <w:r>
              <w:t xml:space="preserve">B</w:t>
            </w:r>
          </w:p>
        </w:tc>
        <w:tc>
          <w:tcPr/>
          <w:p>
            <w:pPr>
              <w:pStyle w:val="Compact"/>
              <w:jc w:val="left"/>
            </w:pPr>
            <w:r>
              <w:t xml:space="preserve">unreported 316; image 51; question 7; other 5; patient 4; dataset 3; document 2; case 2</w:t>
            </w:r>
          </w:p>
        </w:tc>
        <w:tc>
          <w:tcPr/>
          <w:p>
            <w:pPr>
              <w:pStyle w:val="Compact"/>
              <w:jc w:val="left"/>
            </w:pPr>
            <w:r>
              <w:t xml:space="preserve">unreported</w:t>
            </w:r>
          </w:p>
        </w:tc>
        <w:tc>
          <w:tcPr/>
          <w:p>
            <w:pPr>
              <w:pStyle w:val="Compact"/>
              <w:jc w:val="left"/>
            </w:pPr>
            <w:r>
              <w:t xml:space="preserve">81.0</w:t>
            </w:r>
          </w:p>
        </w:tc>
        <w:tc>
          <w:tcPr/>
          <w:p>
            <w:pPr>
              <w:pStyle w:val="Compact"/>
              <w:jc w:val="left"/>
            </w:pPr>
            <w:r>
              <w:t xml:space="preserve">0.7036</w:t>
            </w:r>
          </w:p>
        </w:tc>
        <w:tc>
          <w:tcPr/>
          <w:p>
            <w:pPr>
              <w:pStyle w:val="Compact"/>
              <w:jc w:val="left"/>
            </w:pPr>
            <w:r>
              <w:t xml:space="preserve">0.1785</w:t>
            </w:r>
          </w:p>
        </w:tc>
      </w:tr>
    </w:tbl>
    <w:p>
      <w:pPr>
        <w:pStyle w:val="BodyText"/>
      </w:pPr>
      <w:r>
        <w:t xml:space="preserve">Note: Pc here is a post hoc descriptive statistic — the chance-expected agreement computed as the product of the two coder-arm marginal proportions (a κ-type chance model) — reported alongside α as a supplementary descriptive statistic; it is not the chance model that underlies the Krippendorff α, and Po − Pc is therefore not convertible back to α.</w:t>
      </w:r>
    </w:p>
    <w:bookmarkEnd w:id="26"/>
    <w:bookmarkStart w:id="27" w:name="X2d2d220764313e019fad5b0e59e68a88d0eead6"/>
    <w:p>
      <w:pPr>
        <w:pStyle w:val="Heading3"/>
      </w:pPr>
      <w:r>
        <w:t xml:space="preserve">S1c.2 Prevalence-adjusted agreement for the six binary endpoint indicators</w:t>
      </w:r>
    </w:p>
    <w:p>
      <w:pPr>
        <w:pStyle w:val="BlockText"/>
      </w:pPr>
      <w:r>
        <w:rPr>
          <w:bCs/>
          <w:b/>
        </w:rPr>
        <w:t xml:space="preserve">Denominator note.</w:t>
      </w:r>
      <w:r>
        <w:t xml:space="preserve"> </w:t>
      </w:r>
      <w:r>
        <w:t xml:space="preserve">This table is computed on the pre-adjudication coded corpus of 390 records. After the eligibility re-adjudication (Manuscript §2.9; S-map) the included set is 277 reports; the two denominators differ by design and they are not the same analysis denominator.</w:t>
      </w:r>
    </w:p>
    <w:p>
      <w:pPr>
        <w:pStyle w:val="FirstParagraph"/>
      </w:pPr>
      <w:r>
        <w:t xml:space="preserve">Note: this table is based on the pre-adjudication 390-record coded corpus; the included set is 277, and the differing denominators are by design.</w:t>
      </w:r>
    </w:p>
    <w:p>
      <w:pPr>
        <w:pStyle w:val="BodyText"/>
      </w:pPr>
      <w:r>
        <w:t xml:space="preserve">Two-arm cross-tabulation (A yes/B yes, A yes/B no, A no/B yes, A no/B no), mean prevalence of the yes category, positive-specific agreement 2a/(2a+b+c), negative-specific agreement 2d/(2d+b+c), prevalence- and bias-adjusted κ (PABAK = 2Po − 1) and bias index (b − c)/n, computed from the frozen coded data (n = 390 each). Post hoc descriptive statistics; no threshold or verdict is attached.</w:t>
      </w:r>
    </w:p>
    <w:tbl>
      <w:tblPr>
        <w:tblStyle w:val="Table"/>
        <w:tblW w:type="pct" w:w="5000"/>
        <w:tblLook w:firstRow="1" w:lastRow="0" w:firstColumn="0" w:lastColumn="0" w:noHBand="0" w:noVBand="0" w:val="0020"/>
        <w:jc w:val="start"/>
      </w:tblPr>
      <w:tblGrid>
        <w:gridCol w:w="505"/>
        <w:gridCol w:w="674"/>
        <w:gridCol w:w="674"/>
        <w:gridCol w:w="674"/>
        <w:gridCol w:w="674"/>
        <w:gridCol w:w="674"/>
        <w:gridCol w:w="674"/>
        <w:gridCol w:w="674"/>
        <w:gridCol w:w="674"/>
        <w:gridCol w:w="674"/>
        <w:gridCol w:w="674"/>
        <w:gridCol w:w="674"/>
      </w:tblGrid>
      <w:tr>
        <w:trPr>
          <w:tblHeader w:val="true"/>
        </w:trPr>
        <w:tc>
          <w:tcPr/>
          <w:p>
            <w:pPr>
              <w:pStyle w:val="Compact"/>
              <w:jc w:val="left"/>
            </w:pPr>
            <w:r>
              <w:t xml:space="preserve">field</w:t>
            </w:r>
          </w:p>
        </w:tc>
        <w:tc>
          <w:tcPr/>
          <w:p>
            <w:pPr>
              <w:pStyle w:val="Compact"/>
              <w:jc w:val="right"/>
            </w:pPr>
            <w:r>
              <w:t xml:space="preserve">yes/yes</w:t>
            </w:r>
          </w:p>
        </w:tc>
        <w:tc>
          <w:tcPr/>
          <w:p>
            <w:pPr>
              <w:pStyle w:val="Compact"/>
              <w:jc w:val="right"/>
            </w:pPr>
            <w:r>
              <w:t xml:space="preserve">yes/no</w:t>
            </w:r>
          </w:p>
        </w:tc>
        <w:tc>
          <w:tcPr/>
          <w:p>
            <w:pPr>
              <w:pStyle w:val="Compact"/>
              <w:jc w:val="right"/>
            </w:pPr>
            <w:r>
              <w:t xml:space="preserve">no/yes</w:t>
            </w:r>
          </w:p>
        </w:tc>
        <w:tc>
          <w:tcPr/>
          <w:p>
            <w:pPr>
              <w:pStyle w:val="Compact"/>
              <w:jc w:val="right"/>
            </w:pPr>
            <w:r>
              <w:t xml:space="preserve">no/no</w:t>
            </w:r>
          </w:p>
        </w:tc>
        <w:tc>
          <w:tcPr/>
          <w:p>
            <w:pPr>
              <w:pStyle w:val="Compact"/>
              <w:jc w:val="right"/>
            </w:pPr>
            <w:r>
              <w:t xml:space="preserve">prevalence (yes)</w:t>
            </w:r>
          </w:p>
        </w:tc>
        <w:tc>
          <w:tcPr/>
          <w:p>
            <w:pPr>
              <w:pStyle w:val="Compact"/>
              <w:jc w:val="right"/>
            </w:pPr>
            <w:r>
              <w:t xml:space="preserve">Po</w:t>
            </w:r>
          </w:p>
        </w:tc>
        <w:tc>
          <w:tcPr/>
          <w:p>
            <w:pPr>
              <w:pStyle w:val="Compact"/>
              <w:jc w:val="right"/>
            </w:pPr>
            <w:r>
              <w:t xml:space="preserve">α</w:t>
            </w:r>
          </w:p>
        </w:tc>
        <w:tc>
          <w:tcPr/>
          <w:p>
            <w:pPr>
              <w:pStyle w:val="Compact"/>
              <w:jc w:val="right"/>
            </w:pPr>
            <w:r>
              <w:t xml:space="preserve">positive-specific</w:t>
            </w:r>
          </w:p>
        </w:tc>
        <w:tc>
          <w:tcPr/>
          <w:p>
            <w:pPr>
              <w:pStyle w:val="Compact"/>
              <w:jc w:val="right"/>
            </w:pPr>
            <w:r>
              <w:t xml:space="preserve">negative-specific</w:t>
            </w:r>
          </w:p>
        </w:tc>
        <w:tc>
          <w:tcPr/>
          <w:p>
            <w:pPr>
              <w:pStyle w:val="Compact"/>
              <w:jc w:val="right"/>
            </w:pPr>
            <w:r>
              <w:t xml:space="preserve">PABAK</w:t>
            </w:r>
          </w:p>
        </w:tc>
        <w:tc>
          <w:tcPr/>
          <w:p>
            <w:pPr>
              <w:pStyle w:val="Compact"/>
              <w:jc w:val="right"/>
            </w:pPr>
            <w:r>
              <w:t xml:space="preserve">bias index</w:t>
            </w:r>
          </w:p>
        </w:tc>
      </w:tr>
      <w:tr>
        <w:tc>
          <w:tcPr/>
          <w:p>
            <w:pPr>
              <w:pStyle w:val="Compact"/>
              <w:jc w:val="left"/>
            </w:pPr>
            <w:r>
              <w:t xml:space="preserve">endpoint_L1</w:t>
            </w:r>
          </w:p>
        </w:tc>
        <w:tc>
          <w:tcPr/>
          <w:p>
            <w:pPr>
              <w:pStyle w:val="Compact"/>
              <w:jc w:val="right"/>
            </w:pPr>
            <w:r>
              <w:t xml:space="preserve">358</w:t>
            </w:r>
          </w:p>
        </w:tc>
        <w:tc>
          <w:tcPr/>
          <w:p>
            <w:pPr>
              <w:pStyle w:val="Compact"/>
              <w:jc w:val="right"/>
            </w:pPr>
            <w:r>
              <w:t xml:space="preserve">11</w:t>
            </w:r>
          </w:p>
        </w:tc>
        <w:tc>
          <w:tcPr/>
          <w:p>
            <w:pPr>
              <w:pStyle w:val="Compact"/>
              <w:jc w:val="right"/>
            </w:pPr>
            <w:r>
              <w:t xml:space="preserve">12</w:t>
            </w:r>
          </w:p>
        </w:tc>
        <w:tc>
          <w:tcPr/>
          <w:p>
            <w:pPr>
              <w:pStyle w:val="Compact"/>
              <w:jc w:val="right"/>
            </w:pPr>
            <w:r>
              <w:t xml:space="preserve">9</w:t>
            </w:r>
          </w:p>
        </w:tc>
        <w:tc>
          <w:tcPr/>
          <w:p>
            <w:pPr>
              <w:pStyle w:val="Compact"/>
              <w:jc w:val="right"/>
            </w:pPr>
            <w:r>
              <w:t xml:space="preserve">0.947</w:t>
            </w:r>
          </w:p>
        </w:tc>
        <w:tc>
          <w:tcPr/>
          <w:p>
            <w:pPr>
              <w:pStyle w:val="Compact"/>
              <w:jc w:val="right"/>
            </w:pPr>
            <w:r>
              <w:t xml:space="preserve">0.9410</w:t>
            </w:r>
          </w:p>
        </w:tc>
        <w:tc>
          <w:tcPr/>
          <w:p>
            <w:pPr>
              <w:pStyle w:val="Compact"/>
              <w:jc w:val="right"/>
            </w:pPr>
            <w:r>
              <w:t xml:space="preserve">0.409</w:t>
            </w:r>
          </w:p>
        </w:tc>
        <w:tc>
          <w:tcPr/>
          <w:p>
            <w:pPr>
              <w:pStyle w:val="Compact"/>
              <w:jc w:val="right"/>
            </w:pPr>
            <w:r>
              <w:t xml:space="preserve">0.969</w:t>
            </w:r>
          </w:p>
        </w:tc>
        <w:tc>
          <w:tcPr/>
          <w:p>
            <w:pPr>
              <w:pStyle w:val="Compact"/>
              <w:jc w:val="right"/>
            </w:pPr>
            <w:r>
              <w:t xml:space="preserve">0.439</w:t>
            </w:r>
          </w:p>
        </w:tc>
        <w:tc>
          <w:tcPr/>
          <w:p>
            <w:pPr>
              <w:pStyle w:val="Compact"/>
              <w:jc w:val="right"/>
            </w:pPr>
            <w:r>
              <w:t xml:space="preserve">0.882</w:t>
            </w:r>
          </w:p>
        </w:tc>
        <w:tc>
          <w:tcPr/>
          <w:p>
            <w:pPr>
              <w:pStyle w:val="Compact"/>
              <w:jc w:val="right"/>
            </w:pPr>
            <w:r>
              <w:t xml:space="preserve">-0.003</w:t>
            </w:r>
          </w:p>
        </w:tc>
      </w:tr>
      <w:tr>
        <w:tc>
          <w:tcPr/>
          <w:p>
            <w:pPr>
              <w:pStyle w:val="Compact"/>
              <w:jc w:val="left"/>
            </w:pPr>
            <w:r>
              <w:t xml:space="preserve">endpoint_L2</w:t>
            </w:r>
          </w:p>
        </w:tc>
        <w:tc>
          <w:tcPr/>
          <w:p>
            <w:pPr>
              <w:pStyle w:val="Compact"/>
              <w:jc w:val="right"/>
            </w:pPr>
            <w:r>
              <w:t xml:space="preserve">122</w:t>
            </w:r>
          </w:p>
        </w:tc>
        <w:tc>
          <w:tcPr/>
          <w:p>
            <w:pPr>
              <w:pStyle w:val="Compact"/>
              <w:jc w:val="right"/>
            </w:pPr>
            <w:r>
              <w:t xml:space="preserve">11</w:t>
            </w:r>
          </w:p>
        </w:tc>
        <w:tc>
          <w:tcPr/>
          <w:p>
            <w:pPr>
              <w:pStyle w:val="Compact"/>
              <w:jc w:val="right"/>
            </w:pPr>
            <w:r>
              <w:t xml:space="preserve">68</w:t>
            </w:r>
          </w:p>
        </w:tc>
        <w:tc>
          <w:tcPr/>
          <w:p>
            <w:pPr>
              <w:pStyle w:val="Compact"/>
              <w:jc w:val="right"/>
            </w:pPr>
            <w:r>
              <w:t xml:space="preserve">189</w:t>
            </w:r>
          </w:p>
        </w:tc>
        <w:tc>
          <w:tcPr/>
          <w:p>
            <w:pPr>
              <w:pStyle w:val="Compact"/>
              <w:jc w:val="right"/>
            </w:pPr>
            <w:r>
              <w:t xml:space="preserve">0.414</w:t>
            </w:r>
          </w:p>
        </w:tc>
        <w:tc>
          <w:tcPr/>
          <w:p>
            <w:pPr>
              <w:pStyle w:val="Compact"/>
              <w:jc w:val="right"/>
            </w:pPr>
            <w:r>
              <w:t xml:space="preserve">0.7974</w:t>
            </w:r>
          </w:p>
        </w:tc>
        <w:tc>
          <w:tcPr/>
          <w:p>
            <w:pPr>
              <w:pStyle w:val="Compact"/>
              <w:jc w:val="right"/>
            </w:pPr>
            <w:r>
              <w:t xml:space="preserve">0.583</w:t>
            </w:r>
          </w:p>
        </w:tc>
        <w:tc>
          <w:tcPr/>
          <w:p>
            <w:pPr>
              <w:pStyle w:val="Compact"/>
              <w:jc w:val="right"/>
            </w:pPr>
            <w:r>
              <w:t xml:space="preserve">0.755</w:t>
            </w:r>
          </w:p>
        </w:tc>
        <w:tc>
          <w:tcPr/>
          <w:p>
            <w:pPr>
              <w:pStyle w:val="Compact"/>
              <w:jc w:val="right"/>
            </w:pPr>
            <w:r>
              <w:t xml:space="preserve">0.827</w:t>
            </w:r>
          </w:p>
        </w:tc>
        <w:tc>
          <w:tcPr/>
          <w:p>
            <w:pPr>
              <w:pStyle w:val="Compact"/>
              <w:jc w:val="right"/>
            </w:pPr>
            <w:r>
              <w:t xml:space="preserve">0.595</w:t>
            </w:r>
          </w:p>
        </w:tc>
        <w:tc>
          <w:tcPr/>
          <w:p>
            <w:pPr>
              <w:pStyle w:val="Compact"/>
              <w:jc w:val="right"/>
            </w:pPr>
            <w:r>
              <w:t xml:space="preserve">-0.146</w:t>
            </w:r>
          </w:p>
        </w:tc>
      </w:tr>
      <w:tr>
        <w:tc>
          <w:tcPr/>
          <w:p>
            <w:pPr>
              <w:pStyle w:val="Compact"/>
              <w:jc w:val="left"/>
            </w:pPr>
            <w:r>
              <w:t xml:space="preserve">endpoint_L3</w:t>
            </w:r>
          </w:p>
        </w:tc>
        <w:tc>
          <w:tcPr/>
          <w:p>
            <w:pPr>
              <w:pStyle w:val="Compact"/>
              <w:jc w:val="right"/>
            </w:pPr>
            <w:r>
              <w:t xml:space="preserve">21</w:t>
            </w:r>
          </w:p>
        </w:tc>
        <w:tc>
          <w:tcPr/>
          <w:p>
            <w:pPr>
              <w:pStyle w:val="Compact"/>
              <w:jc w:val="right"/>
            </w:pPr>
            <w:r>
              <w:t xml:space="preserve">4</w:t>
            </w:r>
          </w:p>
        </w:tc>
        <w:tc>
          <w:tcPr/>
          <w:p>
            <w:pPr>
              <w:pStyle w:val="Compact"/>
              <w:jc w:val="right"/>
            </w:pPr>
            <w:r>
              <w:t xml:space="preserve">42</w:t>
            </w:r>
          </w:p>
        </w:tc>
        <w:tc>
          <w:tcPr/>
          <w:p>
            <w:pPr>
              <w:pStyle w:val="Compact"/>
              <w:jc w:val="right"/>
            </w:pPr>
            <w:r>
              <w:t xml:space="preserve">323</w:t>
            </w:r>
          </w:p>
        </w:tc>
        <w:tc>
          <w:tcPr/>
          <w:p>
            <w:pPr>
              <w:pStyle w:val="Compact"/>
              <w:jc w:val="right"/>
            </w:pPr>
            <w:r>
              <w:t xml:space="preserve">0.113</w:t>
            </w:r>
          </w:p>
        </w:tc>
        <w:tc>
          <w:tcPr/>
          <w:p>
            <w:pPr>
              <w:pStyle w:val="Compact"/>
              <w:jc w:val="right"/>
            </w:pPr>
            <w:r>
              <w:t xml:space="preserve">0.8821</w:t>
            </w:r>
          </w:p>
        </w:tc>
        <w:tc>
          <w:tcPr/>
          <w:p>
            <w:pPr>
              <w:pStyle w:val="Compact"/>
              <w:jc w:val="right"/>
            </w:pPr>
            <w:r>
              <w:t xml:space="preserve">0.412</w:t>
            </w:r>
          </w:p>
        </w:tc>
        <w:tc>
          <w:tcPr/>
          <w:p>
            <w:pPr>
              <w:pStyle w:val="Compact"/>
              <w:jc w:val="right"/>
            </w:pPr>
            <w:r>
              <w:t xml:space="preserve">0.477</w:t>
            </w:r>
          </w:p>
        </w:tc>
        <w:tc>
          <w:tcPr/>
          <w:p>
            <w:pPr>
              <w:pStyle w:val="Compact"/>
              <w:jc w:val="right"/>
            </w:pPr>
            <w:r>
              <w:t xml:space="preserve">0.934</w:t>
            </w:r>
          </w:p>
        </w:tc>
        <w:tc>
          <w:tcPr/>
          <w:p>
            <w:pPr>
              <w:pStyle w:val="Compact"/>
              <w:jc w:val="right"/>
            </w:pPr>
            <w:r>
              <w:t xml:space="preserve">0.764</w:t>
            </w:r>
          </w:p>
        </w:tc>
        <w:tc>
          <w:tcPr/>
          <w:p>
            <w:pPr>
              <w:pStyle w:val="Compact"/>
              <w:jc w:val="right"/>
            </w:pPr>
            <w:r>
              <w:t xml:space="preserve">-0.097</w:t>
            </w:r>
          </w:p>
        </w:tc>
      </w:tr>
      <w:tr>
        <w:tc>
          <w:tcPr/>
          <w:p>
            <w:pPr>
              <w:pStyle w:val="Compact"/>
              <w:jc w:val="left"/>
            </w:pPr>
            <w:r>
              <w:t xml:space="preserve">endpoint_L4</w:t>
            </w:r>
          </w:p>
        </w:tc>
        <w:tc>
          <w:tcPr/>
          <w:p>
            <w:pPr>
              <w:pStyle w:val="Compact"/>
              <w:jc w:val="right"/>
            </w:pPr>
            <w:r>
              <w:t xml:space="preserve">1</w:t>
            </w:r>
          </w:p>
        </w:tc>
        <w:tc>
          <w:tcPr/>
          <w:p>
            <w:pPr>
              <w:pStyle w:val="Compact"/>
              <w:jc w:val="right"/>
            </w:pPr>
            <w:r>
              <w:t xml:space="preserve">9</w:t>
            </w:r>
          </w:p>
        </w:tc>
        <w:tc>
          <w:tcPr/>
          <w:p>
            <w:pPr>
              <w:pStyle w:val="Compact"/>
              <w:jc w:val="right"/>
            </w:pPr>
            <w:r>
              <w:t xml:space="preserve">1</w:t>
            </w:r>
          </w:p>
        </w:tc>
        <w:tc>
          <w:tcPr/>
          <w:p>
            <w:pPr>
              <w:pStyle w:val="Compact"/>
              <w:jc w:val="right"/>
            </w:pPr>
            <w:r>
              <w:t xml:space="preserve">379</w:t>
            </w:r>
          </w:p>
        </w:tc>
        <w:tc>
          <w:tcPr/>
          <w:p>
            <w:pPr>
              <w:pStyle w:val="Compact"/>
              <w:jc w:val="right"/>
            </w:pPr>
            <w:r>
              <w:t xml:space="preserve">0.015</w:t>
            </w:r>
          </w:p>
        </w:tc>
        <w:tc>
          <w:tcPr/>
          <w:p>
            <w:pPr>
              <w:pStyle w:val="Compact"/>
              <w:jc w:val="right"/>
            </w:pPr>
            <w:r>
              <w:t xml:space="preserve">0.9744</w:t>
            </w:r>
          </w:p>
        </w:tc>
        <w:tc>
          <w:tcPr/>
          <w:p>
            <w:pPr>
              <w:pStyle w:val="Compact"/>
              <w:jc w:val="right"/>
            </w:pPr>
            <w:r>
              <w:t xml:space="preserve">0.155</w:t>
            </w:r>
          </w:p>
        </w:tc>
        <w:tc>
          <w:tcPr/>
          <w:p>
            <w:pPr>
              <w:pStyle w:val="Compact"/>
              <w:jc w:val="right"/>
            </w:pPr>
            <w:r>
              <w:t xml:space="preserve">0.167</w:t>
            </w:r>
          </w:p>
        </w:tc>
        <w:tc>
          <w:tcPr/>
          <w:p>
            <w:pPr>
              <w:pStyle w:val="Compact"/>
              <w:jc w:val="right"/>
            </w:pPr>
            <w:r>
              <w:t xml:space="preserve">0.987</w:t>
            </w:r>
          </w:p>
        </w:tc>
        <w:tc>
          <w:tcPr/>
          <w:p>
            <w:pPr>
              <w:pStyle w:val="Compact"/>
              <w:jc w:val="right"/>
            </w:pPr>
            <w:r>
              <w:t xml:space="preserve">0.949</w:t>
            </w:r>
          </w:p>
        </w:tc>
        <w:tc>
          <w:tcPr/>
          <w:p>
            <w:pPr>
              <w:pStyle w:val="Compact"/>
              <w:jc w:val="right"/>
            </w:pPr>
            <w:r>
              <w:t xml:space="preserve">0.021</w:t>
            </w:r>
          </w:p>
        </w:tc>
      </w:tr>
      <w:tr>
        <w:tc>
          <w:tcPr/>
          <w:p>
            <w:pPr>
              <w:pStyle w:val="Compact"/>
              <w:jc w:val="left"/>
            </w:pPr>
            <w:r>
              <w:t xml:space="preserve">endpoint_L5</w:t>
            </w:r>
          </w:p>
        </w:tc>
        <w:tc>
          <w:tcPr/>
          <w:p>
            <w:pPr>
              <w:pStyle w:val="Compact"/>
              <w:jc w:val="right"/>
            </w:pPr>
            <w:r>
              <w:t xml:space="preserve">4</w:t>
            </w:r>
          </w:p>
        </w:tc>
        <w:tc>
          <w:tcPr/>
          <w:p>
            <w:pPr>
              <w:pStyle w:val="Compact"/>
              <w:jc w:val="right"/>
            </w:pPr>
            <w:r>
              <w:t xml:space="preserve">1</w:t>
            </w:r>
          </w:p>
        </w:tc>
        <w:tc>
          <w:tcPr/>
          <w:p>
            <w:pPr>
              <w:pStyle w:val="Compact"/>
              <w:jc w:val="right"/>
            </w:pPr>
            <w:r>
              <w:t xml:space="preserve">2</w:t>
            </w:r>
          </w:p>
        </w:tc>
        <w:tc>
          <w:tcPr/>
          <w:p>
            <w:pPr>
              <w:pStyle w:val="Compact"/>
              <w:jc w:val="right"/>
            </w:pPr>
            <w:r>
              <w:t xml:space="preserve">383</w:t>
            </w:r>
          </w:p>
        </w:tc>
        <w:tc>
          <w:tcPr/>
          <w:p>
            <w:pPr>
              <w:pStyle w:val="Compact"/>
              <w:jc w:val="right"/>
            </w:pPr>
            <w:r>
              <w:t xml:space="preserve">0.014</w:t>
            </w:r>
          </w:p>
        </w:tc>
        <w:tc>
          <w:tcPr/>
          <w:p>
            <w:pPr>
              <w:pStyle w:val="Compact"/>
              <w:jc w:val="right"/>
            </w:pPr>
            <w:r>
              <w:t xml:space="preserve">0.9923</w:t>
            </w:r>
          </w:p>
        </w:tc>
        <w:tc>
          <w:tcPr/>
          <w:p>
            <w:pPr>
              <w:pStyle w:val="Compact"/>
              <w:jc w:val="right"/>
            </w:pPr>
            <w:r>
              <w:t xml:space="preserve">0.724</w:t>
            </w:r>
          </w:p>
        </w:tc>
        <w:tc>
          <w:tcPr/>
          <w:p>
            <w:pPr>
              <w:pStyle w:val="Compact"/>
              <w:jc w:val="right"/>
            </w:pPr>
            <w:r>
              <w:t xml:space="preserve">0.727</w:t>
            </w:r>
          </w:p>
        </w:tc>
        <w:tc>
          <w:tcPr/>
          <w:p>
            <w:pPr>
              <w:pStyle w:val="Compact"/>
              <w:jc w:val="right"/>
            </w:pPr>
            <w:r>
              <w:t xml:space="preserve">0.996</w:t>
            </w:r>
          </w:p>
        </w:tc>
        <w:tc>
          <w:tcPr/>
          <w:p>
            <w:pPr>
              <w:pStyle w:val="Compact"/>
              <w:jc w:val="right"/>
            </w:pPr>
            <w:r>
              <w:t xml:space="preserve">0.985</w:t>
            </w:r>
          </w:p>
        </w:tc>
        <w:tc>
          <w:tcPr/>
          <w:p>
            <w:pPr>
              <w:pStyle w:val="Compact"/>
              <w:jc w:val="right"/>
            </w:pPr>
            <w:r>
              <w:t xml:space="preserve">-0.003</w:t>
            </w:r>
          </w:p>
        </w:tc>
      </w:tr>
      <w:tr>
        <w:tc>
          <w:tcPr/>
          <w:p>
            <w:pPr>
              <w:pStyle w:val="Compact"/>
              <w:jc w:val="left"/>
            </w:pPr>
            <w:r>
              <w:t xml:space="preserve">endpoint_L6</w:t>
            </w:r>
          </w:p>
        </w:tc>
        <w:tc>
          <w:tcPr/>
          <w:p>
            <w:pPr>
              <w:pStyle w:val="Compact"/>
              <w:jc w:val="right"/>
            </w:pPr>
            <w:r>
              <w:t xml:space="preserve">4</w:t>
            </w:r>
          </w:p>
        </w:tc>
        <w:tc>
          <w:tcPr/>
          <w:p>
            <w:pPr>
              <w:pStyle w:val="Compact"/>
              <w:jc w:val="right"/>
            </w:pPr>
            <w:r>
              <w:t xml:space="preserve">0</w:t>
            </w:r>
          </w:p>
        </w:tc>
        <w:tc>
          <w:tcPr/>
          <w:p>
            <w:pPr>
              <w:pStyle w:val="Compact"/>
              <w:jc w:val="right"/>
            </w:pPr>
            <w:r>
              <w:t xml:space="preserve">6</w:t>
            </w:r>
          </w:p>
        </w:tc>
        <w:tc>
          <w:tcPr/>
          <w:p>
            <w:pPr>
              <w:pStyle w:val="Compact"/>
              <w:jc w:val="right"/>
            </w:pPr>
            <w:r>
              <w:t xml:space="preserve">380</w:t>
            </w:r>
          </w:p>
        </w:tc>
        <w:tc>
          <w:tcPr/>
          <w:p>
            <w:pPr>
              <w:pStyle w:val="Compact"/>
              <w:jc w:val="right"/>
            </w:pPr>
            <w:r>
              <w:t xml:space="preserve">0.018</w:t>
            </w:r>
          </w:p>
        </w:tc>
        <w:tc>
          <w:tcPr/>
          <w:p>
            <w:pPr>
              <w:pStyle w:val="Compact"/>
              <w:jc w:val="right"/>
            </w:pPr>
            <w:r>
              <w:t xml:space="preserve">0.9846</w:t>
            </w:r>
          </w:p>
        </w:tc>
        <w:tc>
          <w:tcPr/>
          <w:p>
            <w:pPr>
              <w:pStyle w:val="Compact"/>
              <w:jc w:val="right"/>
            </w:pPr>
            <w:r>
              <w:t xml:space="preserve">0.564</w:t>
            </w:r>
          </w:p>
        </w:tc>
        <w:tc>
          <w:tcPr/>
          <w:p>
            <w:pPr>
              <w:pStyle w:val="Compact"/>
              <w:jc w:val="right"/>
            </w:pPr>
            <w:r>
              <w:t xml:space="preserve">0.571</w:t>
            </w:r>
          </w:p>
        </w:tc>
        <w:tc>
          <w:tcPr/>
          <w:p>
            <w:pPr>
              <w:pStyle w:val="Compact"/>
              <w:jc w:val="right"/>
            </w:pPr>
            <w:r>
              <w:t xml:space="preserve">0.992</w:t>
            </w:r>
          </w:p>
        </w:tc>
        <w:tc>
          <w:tcPr/>
          <w:p>
            <w:pPr>
              <w:pStyle w:val="Compact"/>
              <w:jc w:val="right"/>
            </w:pPr>
            <w:r>
              <w:t xml:space="preserve">0.969</w:t>
            </w:r>
          </w:p>
        </w:tc>
        <w:tc>
          <w:tcPr/>
          <w:p>
            <w:pPr>
              <w:pStyle w:val="Compact"/>
              <w:jc w:val="right"/>
            </w:pPr>
            <w:r>
              <w:t xml:space="preserve">-0.015</w:t>
            </w:r>
          </w:p>
        </w:tc>
      </w:tr>
    </w:tbl>
    <w:p>
      <w:pPr>
        <w:pStyle w:val="BodyText"/>
      </w:pPr>
      <w:r>
        <w:t xml:space="preserve">Note: where the yes category is rare (endpoint_L4, L5, L6; prevalence ≤ 0.018), Po and PABAK are dominated by no/no agreement, while positive-specific agreement shows how often the two arms agreed on the rare yes; endpoint_L1 shows the mirror case, with a rare no category (negative-specific agreement 0.439).</w:t>
      </w:r>
    </w:p>
    <w:bookmarkEnd w:id="27"/>
    <w:bookmarkEnd w:id="28"/>
    <w:bookmarkStart w:id="29" w:name="s2.-citation-anchoring-tier-counts"/>
    <w:p>
      <w:pPr>
        <w:pStyle w:val="Heading2"/>
      </w:pPr>
      <w:r>
        <w:t xml:space="preserve">S2. Citation anchoring tier counts</w:t>
      </w:r>
    </w:p>
    <w:p>
      <w:pPr>
        <w:pStyle w:val="FirstParagraph"/>
      </w:pPr>
      <w:r>
        <w:t xml:space="preserve">Table of 9,415 citation judgments by tier, with field-level and multi-citation cell breakdowns. Field names as in the field table.</w:t>
      </w:r>
    </w:p>
    <w:p>
      <w:pPr>
        <w:pStyle w:val="BodyText"/>
      </w:pPr>
      <w:r>
        <w:t xml:space="preserve">Layer counts: 6,215 whole-passage verbatim (66.0%), 2,229 first-25-character only (23.7%) and 971 unmatched (10.3%), summing to 9,415. The unmatched tier holds 721 multi-citation-cell citations (in 594 unique cells, 114 of which hold more than one unmatched citation) and 250 single-citation citations; the latter split into 50 with no 8-character prefix match (zero-prefix failures) and 200 other single-citation failures. The two named subsets (721 and 50) are mutually exclusive and together cover 771 of the 971.</w:t>
      </w:r>
    </w:p>
    <w:bookmarkEnd w:id="29"/>
    <w:bookmarkStart w:id="30" w:name="Xc179ee3fbd359ee7075d83a63707bfc02efca2c"/>
    <w:p>
      <w:pPr>
        <w:pStyle w:val="Heading2"/>
      </w:pPr>
      <w:r>
        <w:t xml:space="preserve">S3. Null-model sampling and unmatched subsets</w:t>
      </w:r>
    </w:p>
    <w:p>
      <w:pPr>
        <w:pStyle w:val="FirstParagraph"/>
      </w:pPr>
      <w:r>
        <w:t xml:space="preserve">For each normalized citation: 200 random equal-length segments, comparison pool of source text, seed 20260926; base rate 0.0016% (mean per-citation exact-match rate 0.001593% over 1,883,000 valid draws = 9,415 citations × 200, none discarded for length; maximum per-citation rate 3.5%). In total 30 of 1,883,000 draws matched (0.0016%), in 8 of 9,415 citations. Each draw took an equal-length substring at a uniformly random offset in the full text of a randomly chosen other report, with no length weighting. This is a descriptive random-match baseline only and is not evidence that a citation supports its extracted value. Includes the 721 multi-citation-cell unmatched subset and the 50 no-8-character-prefix subset.</w:t>
      </w:r>
    </w:p>
    <w:bookmarkEnd w:id="30"/>
    <w:bookmarkStart w:id="31" w:name="Xac5dc09760848e4962b53f5861ff41d07ef4652"/>
    <w:p>
      <w:pPr>
        <w:pStyle w:val="Heading2"/>
      </w:pPr>
      <w:r>
        <w:t xml:space="preserve">S3b. Disposition of the unmatched tier (971 citations)</w:t>
      </w:r>
    </w:p>
    <w:p>
      <w:pPr>
        <w:numPr>
          <w:ilvl w:val="0"/>
          <w:numId w:val="1003"/>
        </w:numPr>
        <w:pStyle w:val="Compact"/>
      </w:pPr>
      <w:r>
        <w:t xml:space="preserve">citations in multi-citation cells:</w:t>
      </w:r>
      <w:r>
        <w:t xml:space="preserve"> </w:t>
      </w:r>
      <w:r>
        <w:rPr>
          <w:bCs/>
          <w:b/>
        </w:rPr>
        <w:t xml:space="preserve">721</w:t>
      </w:r>
    </w:p>
    <w:p>
      <w:pPr>
        <w:numPr>
          <w:ilvl w:val="0"/>
          <w:numId w:val="1003"/>
        </w:numPr>
        <w:pStyle w:val="Compact"/>
      </w:pPr>
      <w:r>
        <w:t xml:space="preserve">zero-prefix citations in single-citation cells (no 8-character prefix match):</w:t>
      </w:r>
      <w:r>
        <w:t xml:space="preserve"> </w:t>
      </w:r>
      <w:r>
        <w:rPr>
          <w:bCs/>
          <w:b/>
        </w:rPr>
        <w:t xml:space="preserve">50</w:t>
      </w:r>
    </w:p>
    <w:p>
      <w:pPr>
        <w:numPr>
          <w:ilvl w:val="0"/>
          <w:numId w:val="1003"/>
        </w:numPr>
        <w:pStyle w:val="Compact"/>
      </w:pPr>
      <w:r>
        <w:t xml:space="preserve">remaining single-citation failures:</w:t>
      </w:r>
      <w:r>
        <w:t xml:space="preserve"> </w:t>
      </w:r>
      <w:r>
        <w:rPr>
          <w:bCs/>
          <w:b/>
        </w:rPr>
        <w:t xml:space="preserve">200</w:t>
      </w:r>
      <w:r>
        <w:t xml:space="preserve"> </w:t>
      </w:r>
      <w:r>
        <w:t xml:space="preserve">(of which 8 carry an ellipsis marker)</w:t>
      </w:r>
    </w:p>
    <w:p>
      <w:pPr>
        <w:numPr>
          <w:ilvl w:val="0"/>
          <w:numId w:val="1003"/>
        </w:numPr>
        <w:pStyle w:val="Compact"/>
      </w:pPr>
      <w:r>
        <w:t xml:space="preserve">total: 971 (equals the unmatched tier of 971)</w:t>
      </w:r>
    </w:p>
    <w:p>
      <w:pPr>
        <w:pStyle w:val="FirstParagraph"/>
      </w:pPr>
      <w:r>
        <w:t xml:space="preserve">The remaining single-citation failures by evidence column (22 columns represented here; the 23 evidence-class columns in the frozen extraction file refer to the overall evidence schema, not to columns represented in this subset):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column</w:t>
            </w:r>
          </w:p>
        </w:tc>
        <w:tc>
          <w:tcPr/>
          <w:p>
            <w:pPr>
              <w:pStyle w:val="Compact"/>
              <w:jc w:val="right"/>
            </w:pPr>
            <w:r>
              <w:t xml:space="preserve">n</w:t>
            </w:r>
          </w:p>
        </w:tc>
      </w:tr>
      <w:tr>
        <w:tc>
          <w:tcPr/>
          <w:p>
            <w:pPr>
              <w:pStyle w:val="Compact"/>
              <w:jc w:val="left"/>
            </w:pPr>
            <w:r>
              <w:t xml:space="preserve">report_model_version_evidence</w:t>
            </w:r>
          </w:p>
        </w:tc>
        <w:tc>
          <w:tcPr/>
          <w:p>
            <w:pPr>
              <w:pStyle w:val="Compact"/>
              <w:jc w:val="right"/>
            </w:pPr>
            <w:r>
              <w:t xml:space="preserve">22</w:t>
            </w:r>
          </w:p>
        </w:tc>
      </w:tr>
      <w:tr>
        <w:tc>
          <w:tcPr/>
          <w:p>
            <w:pPr>
              <w:pStyle w:val="Compact"/>
              <w:jc w:val="left"/>
            </w:pPr>
            <w:r>
              <w:t xml:space="preserve">report_sampling_evidence</w:t>
            </w:r>
          </w:p>
        </w:tc>
        <w:tc>
          <w:tcPr/>
          <w:p>
            <w:pPr>
              <w:pStyle w:val="Compact"/>
              <w:jc w:val="right"/>
            </w:pPr>
            <w:r>
              <w:t xml:space="preserve">17</w:t>
            </w:r>
          </w:p>
        </w:tc>
      </w:tr>
      <w:tr>
        <w:tc>
          <w:tcPr/>
          <w:p>
            <w:pPr>
              <w:pStyle w:val="Compact"/>
              <w:jc w:val="left"/>
            </w:pPr>
            <w:r>
              <w:t xml:space="preserve">report_dataset_evidence</w:t>
            </w:r>
          </w:p>
        </w:tc>
        <w:tc>
          <w:tcPr/>
          <w:p>
            <w:pPr>
              <w:pStyle w:val="Compact"/>
              <w:jc w:val="right"/>
            </w:pPr>
            <w:r>
              <w:t xml:space="preserve">15</w:t>
            </w:r>
          </w:p>
        </w:tc>
      </w:tr>
      <w:tr>
        <w:tc>
          <w:tcPr/>
          <w:p>
            <w:pPr>
              <w:pStyle w:val="Compact"/>
              <w:jc w:val="left"/>
            </w:pPr>
            <w:r>
              <w:t xml:space="preserve">report_split_evidence</w:t>
            </w:r>
          </w:p>
        </w:tc>
        <w:tc>
          <w:tcPr/>
          <w:p>
            <w:pPr>
              <w:pStyle w:val="Compact"/>
              <w:jc w:val="right"/>
            </w:pPr>
            <w:r>
              <w:t xml:space="preserve">15</w:t>
            </w:r>
          </w:p>
        </w:tc>
      </w:tr>
      <w:tr>
        <w:tc>
          <w:tcPr/>
          <w:p>
            <w:pPr>
              <w:pStyle w:val="Compact"/>
              <w:jc w:val="left"/>
            </w:pPr>
            <w:r>
              <w:t xml:space="preserve">reader_characteristics_evidence</w:t>
            </w:r>
          </w:p>
        </w:tc>
        <w:tc>
          <w:tcPr/>
          <w:p>
            <w:pPr>
              <w:pStyle w:val="Compact"/>
              <w:jc w:val="right"/>
            </w:pPr>
            <w:r>
              <w:t xml:space="preserve">13</w:t>
            </w:r>
          </w:p>
        </w:tc>
      </w:tr>
      <w:tr>
        <w:tc>
          <w:tcPr/>
          <w:p>
            <w:pPr>
              <w:pStyle w:val="Compact"/>
              <w:jc w:val="left"/>
            </w:pPr>
            <w:r>
              <w:t xml:space="preserve">report_preprocessing_evidence</w:t>
            </w:r>
          </w:p>
        </w:tc>
        <w:tc>
          <w:tcPr/>
          <w:p>
            <w:pPr>
              <w:pStyle w:val="Compact"/>
              <w:jc w:val="right"/>
            </w:pPr>
            <w:r>
              <w:t xml:space="preserve">13</w:t>
            </w:r>
          </w:p>
        </w:tc>
      </w:tr>
      <w:tr>
        <w:tc>
          <w:tcPr/>
          <w:p>
            <w:pPr>
              <w:pStyle w:val="Compact"/>
              <w:jc w:val="left"/>
            </w:pPr>
            <w:r>
              <w:t xml:space="preserve">report_uncertainty_evidence</w:t>
            </w:r>
          </w:p>
        </w:tc>
        <w:tc>
          <w:tcPr/>
          <w:p>
            <w:pPr>
              <w:pStyle w:val="Compact"/>
              <w:jc w:val="right"/>
            </w:pPr>
            <w:r>
              <w:t xml:space="preserve">13</w:t>
            </w:r>
          </w:p>
        </w:tc>
      </w:tr>
      <w:tr>
        <w:tc>
          <w:tcPr/>
          <w:p>
            <w:pPr>
              <w:pStyle w:val="Compact"/>
              <w:jc w:val="left"/>
            </w:pPr>
            <w:r>
              <w:t xml:space="preserve">E2_contrast_evidence</w:t>
            </w:r>
          </w:p>
        </w:tc>
        <w:tc>
          <w:tcPr/>
          <w:p>
            <w:pPr>
              <w:pStyle w:val="Compact"/>
              <w:jc w:val="right"/>
            </w:pPr>
            <w:r>
              <w:t xml:space="preserve">12</w:t>
            </w:r>
          </w:p>
        </w:tc>
      </w:tr>
      <w:tr>
        <w:tc>
          <w:tcPr/>
          <w:p>
            <w:pPr>
              <w:pStyle w:val="Compact"/>
              <w:jc w:val="left"/>
            </w:pPr>
            <w:r>
              <w:t xml:space="preserve">report_prompt_evidence</w:t>
            </w:r>
          </w:p>
        </w:tc>
        <w:tc>
          <w:tcPr/>
          <w:p>
            <w:pPr>
              <w:pStyle w:val="Compact"/>
              <w:jc w:val="right"/>
            </w:pPr>
            <w:r>
              <w:t xml:space="preserve">11</w:t>
            </w:r>
          </w:p>
        </w:tc>
      </w:tr>
      <w:tr>
        <w:tc>
          <w:tcPr/>
          <w:p>
            <w:pPr>
              <w:pStyle w:val="Compact"/>
              <w:jc w:val="left"/>
            </w:pPr>
            <w:r>
              <w:t xml:space="preserve">failure_analysis_evidence</w:t>
            </w:r>
          </w:p>
        </w:tc>
        <w:tc>
          <w:tcPr/>
          <w:p>
            <w:pPr>
              <w:pStyle w:val="Compact"/>
              <w:jc w:val="right"/>
            </w:pPr>
            <w:r>
              <w:t xml:space="preserve">11</w:t>
            </w:r>
          </w:p>
        </w:tc>
      </w:tr>
      <w:tr>
        <w:tc>
          <w:tcPr/>
          <w:p>
            <w:pPr>
              <w:pStyle w:val="Compact"/>
              <w:jc w:val="left"/>
            </w:pPr>
            <w:r>
              <w:t xml:space="preserve">E3_evidence</w:t>
            </w:r>
          </w:p>
        </w:tc>
        <w:tc>
          <w:tcPr/>
          <w:p>
            <w:pPr>
              <w:pStyle w:val="Compact"/>
              <w:jc w:val="right"/>
            </w:pPr>
            <w:r>
              <w:t xml:space="preserve">10</w:t>
            </w:r>
          </w:p>
        </w:tc>
      </w:tr>
      <w:tr>
        <w:tc>
          <w:tcPr/>
          <w:p>
            <w:pPr>
              <w:pStyle w:val="Compact"/>
              <w:jc w:val="left"/>
            </w:pPr>
            <w:r>
              <w:t xml:space="preserve">report_sample_size_evidence</w:t>
            </w:r>
          </w:p>
        </w:tc>
        <w:tc>
          <w:tcPr/>
          <w:p>
            <w:pPr>
              <w:pStyle w:val="Compact"/>
              <w:jc w:val="right"/>
            </w:pPr>
            <w:r>
              <w:t xml:space="preserve">10</w:t>
            </w:r>
          </w:p>
        </w:tc>
      </w:tr>
      <w:tr>
        <w:tc>
          <w:tcPr/>
          <w:p>
            <w:pPr>
              <w:pStyle w:val="Compact"/>
              <w:jc w:val="left"/>
            </w:pPr>
            <w:r>
              <w:t xml:space="preserve">blinding_evidence</w:t>
            </w:r>
          </w:p>
        </w:tc>
        <w:tc>
          <w:tcPr/>
          <w:p>
            <w:pPr>
              <w:pStyle w:val="Compact"/>
              <w:jc w:val="right"/>
            </w:pPr>
            <w:r>
              <w:t xml:space="preserve">9</w:t>
            </w:r>
          </w:p>
        </w:tc>
      </w:tr>
      <w:tr>
        <w:tc>
          <w:tcPr/>
          <w:p>
            <w:pPr>
              <w:pStyle w:val="Compact"/>
              <w:jc w:val="left"/>
            </w:pPr>
            <w:r>
              <w:t xml:space="preserve">safety_failure_evidence</w:t>
            </w:r>
          </w:p>
        </w:tc>
        <w:tc>
          <w:tcPr/>
          <w:p>
            <w:pPr>
              <w:pStyle w:val="Compact"/>
              <w:jc w:val="right"/>
            </w:pPr>
            <w:r>
              <w:t xml:space="preserve">7</w:t>
            </w:r>
          </w:p>
        </w:tc>
      </w:tr>
      <w:tr>
        <w:tc>
          <w:tcPr/>
          <w:p>
            <w:pPr>
              <w:pStyle w:val="Compact"/>
              <w:jc w:val="left"/>
            </w:pPr>
            <w:r>
              <w:t xml:space="preserve">E1_evidence</w:t>
            </w:r>
          </w:p>
        </w:tc>
        <w:tc>
          <w:tcPr/>
          <w:p>
            <w:pPr>
              <w:pStyle w:val="Compact"/>
              <w:jc w:val="right"/>
            </w:pPr>
            <w:r>
              <w:t xml:space="preserve">5</w:t>
            </w:r>
          </w:p>
        </w:tc>
      </w:tr>
      <w:tr>
        <w:tc>
          <w:tcPr/>
          <w:p>
            <w:pPr>
              <w:pStyle w:val="Compact"/>
              <w:jc w:val="left"/>
            </w:pPr>
            <w:r>
              <w:t xml:space="preserve">E2_result_evidence</w:t>
            </w:r>
          </w:p>
        </w:tc>
        <w:tc>
          <w:tcPr/>
          <w:p>
            <w:pPr>
              <w:pStyle w:val="Compact"/>
              <w:jc w:val="right"/>
            </w:pPr>
            <w:r>
              <w:t xml:space="preserve">4</w:t>
            </w:r>
          </w:p>
        </w:tc>
      </w:tr>
      <w:tr>
        <w:tc>
          <w:tcPr/>
          <w:p>
            <w:pPr>
              <w:pStyle w:val="Compact"/>
              <w:jc w:val="left"/>
            </w:pPr>
            <w:r>
              <w:t xml:space="preserve">safety_evidence</w:t>
            </w:r>
          </w:p>
        </w:tc>
        <w:tc>
          <w:tcPr/>
          <w:p>
            <w:pPr>
              <w:pStyle w:val="Compact"/>
              <w:jc w:val="right"/>
            </w:pPr>
            <w:r>
              <w:t xml:space="preserve">3</w:t>
            </w:r>
          </w:p>
        </w:tc>
      </w:tr>
      <w:tr>
        <w:tc>
          <w:tcPr/>
          <w:p>
            <w:pPr>
              <w:pStyle w:val="Compact"/>
              <w:jc w:val="left"/>
            </w:pPr>
            <w:r>
              <w:t xml:space="preserve">endpoint_evidence</w:t>
            </w:r>
          </w:p>
        </w:tc>
        <w:tc>
          <w:tcPr/>
          <w:p>
            <w:pPr>
              <w:pStyle w:val="Compact"/>
              <w:jc w:val="right"/>
            </w:pPr>
            <w:r>
              <w:t xml:space="preserve">3</w:t>
            </w:r>
          </w:p>
        </w:tc>
      </w:tr>
      <w:tr>
        <w:tc>
          <w:tcPr/>
          <w:p>
            <w:pPr>
              <w:pStyle w:val="Compact"/>
              <w:jc w:val="left"/>
            </w:pPr>
            <w:r>
              <w:t xml:space="preserve">code_availability_evidence</w:t>
            </w:r>
          </w:p>
        </w:tc>
        <w:tc>
          <w:tcPr/>
          <w:p>
            <w:pPr>
              <w:pStyle w:val="Compact"/>
              <w:jc w:val="right"/>
            </w:pPr>
            <w:r>
              <w:t xml:space="preserve">2</w:t>
            </w:r>
          </w:p>
        </w:tc>
      </w:tr>
      <w:tr>
        <w:tc>
          <w:tcPr/>
          <w:p>
            <w:pPr>
              <w:pStyle w:val="Compact"/>
              <w:jc w:val="left"/>
            </w:pPr>
            <w:r>
              <w:t xml:space="preserve">intended_use_evidence</w:t>
            </w:r>
          </w:p>
        </w:tc>
        <w:tc>
          <w:tcPr/>
          <w:p>
            <w:pPr>
              <w:pStyle w:val="Compact"/>
              <w:jc w:val="right"/>
            </w:pPr>
            <w:r>
              <w:t xml:space="preserve">2</w:t>
            </w:r>
          </w:p>
        </w:tc>
      </w:tr>
      <w:tr>
        <w:tc>
          <w:tcPr/>
          <w:p>
            <w:pPr>
              <w:pStyle w:val="Compact"/>
              <w:jc w:val="left"/>
            </w:pPr>
            <w:r>
              <w:t xml:space="preserve">scale_evidence</w:t>
            </w:r>
          </w:p>
        </w:tc>
        <w:tc>
          <w:tcPr/>
          <w:p>
            <w:pPr>
              <w:pStyle w:val="Compact"/>
              <w:jc w:val="right"/>
            </w:pPr>
            <w:r>
              <w:t xml:space="preserve">2</w:t>
            </w:r>
          </w:p>
        </w:tc>
      </w:tr>
      <w:tr>
        <w:tc>
          <w:tcPr/>
          <w:p>
            <w:pPr>
              <w:pStyle w:val="Compact"/>
              <w:jc w:val="left"/>
            </w:pPr>
            <w:r>
              <w:t xml:space="preserve">weights_availability_evidence</w:t>
            </w:r>
          </w:p>
        </w:tc>
        <w:tc>
          <w:tcPr/>
          <w:p>
            <w:pPr>
              <w:pStyle w:val="Compact"/>
              <w:jc w:val="right"/>
            </w:pPr>
            <w:r>
              <w:t xml:space="preserve">1</w:t>
            </w:r>
          </w:p>
        </w:tc>
      </w:tr>
    </w:tbl>
    <w:bookmarkEnd w:id="31"/>
    <w:bookmarkStart w:id="32" w:name="s4.-voided-batch-and-hash-manifest"/>
    <w:p>
      <w:pPr>
        <w:pStyle w:val="Heading2"/>
      </w:pPr>
      <w:r>
        <w:t xml:space="preserve">S4. Voided batch and hash manifest</w:t>
      </w:r>
    </w:p>
    <w:p>
      <w:pPr>
        <w:pStyle w:val="FirstParagraph"/>
      </w:pPr>
      <w:r>
        <w:t xml:space="preserve">One batch is voided (the K100 judgment batch, n = 100 cells) and sealed with a hash manifest carrying SHA-256 89c5bda9ed662a366116677f0a2140b7b19f6293326605ae46560b45bcfea77d. Its broken category definitions are held out of reuse. The rebuilt criteria table governs only the post hoc re-run in S7; the main results come from the frozen first-round records, which the voided batch never entered.</w:t>
      </w:r>
    </w:p>
    <w:bookmarkEnd w:id="32"/>
    <w:bookmarkStart w:id="33" w:name="Xaa0caec0001f28a55fb7ea740f3621c0175627f"/>
    <w:p>
      <w:pPr>
        <w:pStyle w:val="Heading2"/>
      </w:pPr>
      <w:r>
        <w:t xml:space="preserve">S4b. Gate 1 diagnostic subset (23 cells) and key-to-row reconciliation</w:t>
      </w:r>
    </w:p>
    <w:p>
      <w:pPr>
        <w:pStyle w:val="FirstParagraph"/>
      </w:pPr>
      <w:r>
        <w:t xml:space="preserve">The Gate 1 diagnostic subset held 23 cells drawn from the 115-row attribution frame and keyed by (screening_id, field). All 23 keys occur in the 115-row ledger. One key, (S-02428, training_data_source), appears in two attribution-ledger rows (two model families), so the 23 keys map to 24 ledger rows; the table below lists one Gate 1 outcome per key (23 table rows), not every corresponding ledger row. Two keys each occur twice across the full 115-row ledger — (S-02428, training_data_source) and (S-05812, endpoint_L2, spanning the calib4v2 and recode5 layers) — leaving 113 unique (screening_id, field) keys. The frozen Gate 3 denominator remains 115 rows; duplicates are disclosed rather than silently deduplicated. The reported Gate 3 Po uses all 115 rows; a sensitivity value on the 113 unique keys is given in S8 (C3).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screening_id</w:t>
            </w:r>
          </w:p>
        </w:tc>
        <w:tc>
          <w:tcPr/>
          <w:p>
            <w:pPr>
              <w:pStyle w:val="Compact"/>
              <w:jc w:val="left"/>
            </w:pPr>
            <w:r>
              <w:t xml:space="preserve">layer</w:t>
            </w:r>
          </w:p>
        </w:tc>
        <w:tc>
          <w:tcPr/>
          <w:p>
            <w:pPr>
              <w:pStyle w:val="Compact"/>
              <w:jc w:val="left"/>
            </w:pPr>
            <w:r>
              <w:t xml:space="preserve">field</w:t>
            </w:r>
          </w:p>
        </w:tc>
        <w:tc>
          <w:tcPr/>
          <w:p>
            <w:pPr>
              <w:pStyle w:val="Compact"/>
              <w:jc w:val="left"/>
            </w:pPr>
            <w:r>
              <w:t xml:space="preserve">Gate 1 outcome</w:t>
            </w:r>
          </w:p>
        </w:tc>
      </w:tr>
      <w:tr>
        <w:tc>
          <w:tcPr/>
          <w:p>
            <w:pPr>
              <w:pStyle w:val="Compact"/>
              <w:jc w:val="left"/>
            </w:pPr>
            <w:r>
              <w:t xml:space="preserve">S-02711</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partial</w:t>
            </w:r>
          </w:p>
        </w:tc>
      </w:tr>
      <w:tr>
        <w:tc>
          <w:tcPr/>
          <w:p>
            <w:pPr>
              <w:pStyle w:val="Compact"/>
              <w:jc w:val="left"/>
            </w:pPr>
            <w:r>
              <w:t xml:space="preserve">S-02294</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no citation</w:t>
            </w:r>
          </w:p>
        </w:tc>
      </w:tr>
      <w:tr>
        <w:tc>
          <w:tcPr/>
          <w:p>
            <w:pPr>
              <w:pStyle w:val="Compact"/>
              <w:jc w:val="left"/>
            </w:pPr>
            <w:r>
              <w:t xml:space="preserve">S-04799</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hit</w:t>
            </w:r>
          </w:p>
        </w:tc>
      </w:tr>
      <w:tr>
        <w:tc>
          <w:tcPr/>
          <w:p>
            <w:pPr>
              <w:pStyle w:val="Compact"/>
              <w:jc w:val="left"/>
            </w:pPr>
            <w:r>
              <w:t xml:space="preserve">S-06219</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partial</w:t>
            </w:r>
          </w:p>
        </w:tc>
      </w:tr>
      <w:tr>
        <w:tc>
          <w:tcPr/>
          <w:p>
            <w:pPr>
              <w:pStyle w:val="Compact"/>
              <w:jc w:val="left"/>
            </w:pPr>
            <w:r>
              <w:t xml:space="preserve">S-02909</w:t>
            </w:r>
          </w:p>
        </w:tc>
        <w:tc>
          <w:tcPr/>
          <w:p>
            <w:pPr>
              <w:pStyle w:val="Compact"/>
              <w:jc w:val="left"/>
            </w:pPr>
            <w:r>
              <w:t xml:space="preserve">calib4v2</w:t>
            </w:r>
          </w:p>
        </w:tc>
        <w:tc>
          <w:tcPr/>
          <w:p>
            <w:pPr>
              <w:pStyle w:val="Compact"/>
              <w:jc w:val="left"/>
            </w:pPr>
            <w:r>
              <w:t xml:space="preserve">intended_use_explicitly_reported</w:t>
            </w:r>
          </w:p>
        </w:tc>
        <w:tc>
          <w:tcPr/>
          <w:p>
            <w:pPr>
              <w:pStyle w:val="Compact"/>
              <w:jc w:val="left"/>
            </w:pPr>
            <w:r>
              <w:t xml:space="preserve">hit</w:t>
            </w:r>
          </w:p>
        </w:tc>
      </w:tr>
      <w:tr>
        <w:tc>
          <w:tcPr/>
          <w:p>
            <w:pPr>
              <w:pStyle w:val="Compact"/>
              <w:jc w:val="left"/>
            </w:pPr>
            <w:r>
              <w:t xml:space="preserve">S-05764</w:t>
            </w:r>
          </w:p>
        </w:tc>
        <w:tc>
          <w:tcPr/>
          <w:p>
            <w:pPr>
              <w:pStyle w:val="Compact"/>
              <w:jc w:val="left"/>
            </w:pPr>
            <w:r>
              <w:t xml:space="preserve">calib5</w:t>
            </w:r>
          </w:p>
        </w:tc>
        <w:tc>
          <w:tcPr/>
          <w:p>
            <w:pPr>
              <w:pStyle w:val="Compact"/>
              <w:jc w:val="left"/>
            </w:pPr>
            <w:r>
              <w:t xml:space="preserve">evaluation_data_source</w:t>
            </w:r>
          </w:p>
        </w:tc>
        <w:tc>
          <w:tcPr/>
          <w:p>
            <w:pPr>
              <w:pStyle w:val="Compact"/>
              <w:jc w:val="left"/>
            </w:pPr>
            <w:r>
              <w:t xml:space="preserve">hit</w:t>
            </w:r>
          </w:p>
        </w:tc>
      </w:tr>
      <w:tr>
        <w:tc>
          <w:tcPr/>
          <w:p>
            <w:pPr>
              <w:pStyle w:val="Compact"/>
              <w:jc w:val="left"/>
            </w:pPr>
            <w:r>
              <w:t xml:space="preserve">S-04009</w:t>
            </w:r>
          </w:p>
        </w:tc>
        <w:tc>
          <w:tcPr/>
          <w:p>
            <w:pPr>
              <w:pStyle w:val="Compact"/>
              <w:jc w:val="left"/>
            </w:pPr>
            <w:r>
              <w:t xml:space="preserve">calib5</w:t>
            </w:r>
          </w:p>
        </w:tc>
        <w:tc>
          <w:tcPr/>
          <w:p>
            <w:pPr>
              <w:pStyle w:val="Compact"/>
              <w:jc w:val="left"/>
            </w:pPr>
            <w:r>
              <w:t xml:space="preserve">comparator_type</w:t>
            </w:r>
          </w:p>
        </w:tc>
        <w:tc>
          <w:tcPr/>
          <w:p>
            <w:pPr>
              <w:pStyle w:val="Compact"/>
              <w:jc w:val="left"/>
            </w:pPr>
            <w:r>
              <w:t xml:space="preserve">hit</w:t>
            </w:r>
          </w:p>
        </w:tc>
      </w:tr>
      <w:tr>
        <w:tc>
          <w:tcPr/>
          <w:p>
            <w:pPr>
              <w:pStyle w:val="Compact"/>
              <w:jc w:val="left"/>
            </w:pPr>
            <w:r>
              <w:t xml:space="preserve">S-01257</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partial</w:t>
            </w:r>
          </w:p>
        </w:tc>
      </w:tr>
      <w:tr>
        <w:tc>
          <w:tcPr/>
          <w:p>
            <w:pPr>
              <w:pStyle w:val="Compact"/>
              <w:jc w:val="left"/>
            </w:pPr>
            <w:r>
              <w:t xml:space="preserve">S-04087</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hit</w:t>
            </w:r>
          </w:p>
        </w:tc>
      </w:tr>
      <w:tr>
        <w:tc>
          <w:tcPr/>
          <w:p>
            <w:pPr>
              <w:pStyle w:val="Compact"/>
              <w:jc w:val="left"/>
            </w:pPr>
            <w:r>
              <w:t xml:space="preserve">S-04067</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hit</w:t>
            </w:r>
          </w:p>
        </w:tc>
      </w:tr>
      <w:tr>
        <w:tc>
          <w:tcPr/>
          <w:p>
            <w:pPr>
              <w:pStyle w:val="Compact"/>
              <w:jc w:val="left"/>
            </w:pPr>
            <w:r>
              <w:t xml:space="preserve">S-04158</w:t>
            </w:r>
          </w:p>
        </w:tc>
        <w:tc>
          <w:tcPr/>
          <w:p>
            <w:pPr>
              <w:pStyle w:val="Compact"/>
              <w:jc w:val="left"/>
            </w:pPr>
            <w:r>
              <w:t xml:space="preserve">calib5</w:t>
            </w:r>
          </w:p>
        </w:tc>
        <w:tc>
          <w:tcPr/>
          <w:p>
            <w:pPr>
              <w:pStyle w:val="Compact"/>
              <w:jc w:val="left"/>
            </w:pPr>
            <w:r>
              <w:t xml:space="preserve">evaluation_data_source</w:t>
            </w:r>
          </w:p>
        </w:tc>
        <w:tc>
          <w:tcPr/>
          <w:p>
            <w:pPr>
              <w:pStyle w:val="Compact"/>
              <w:jc w:val="left"/>
            </w:pPr>
            <w:r>
              <w:t xml:space="preserve">hit</w:t>
            </w:r>
          </w:p>
        </w:tc>
      </w:tr>
      <w:tr>
        <w:tc>
          <w:tcPr/>
          <w:p>
            <w:pPr>
              <w:pStyle w:val="Compact"/>
              <w:jc w:val="left"/>
            </w:pPr>
            <w:r>
              <w:t xml:space="preserve">S-04684</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hit</w:t>
            </w:r>
          </w:p>
        </w:tc>
      </w:tr>
      <w:tr>
        <w:tc>
          <w:tcPr/>
          <w:p>
            <w:pPr>
              <w:pStyle w:val="Compact"/>
              <w:jc w:val="left"/>
            </w:pPr>
            <w:r>
              <w:t xml:space="preserve">S-04073</w:t>
            </w:r>
          </w:p>
        </w:tc>
        <w:tc>
          <w:tcPr/>
          <w:p>
            <w:pPr>
              <w:pStyle w:val="Compact"/>
              <w:jc w:val="left"/>
            </w:pPr>
            <w:r>
              <w:t xml:space="preserve">recode5</w:t>
            </w:r>
          </w:p>
        </w:tc>
        <w:tc>
          <w:tcPr/>
          <w:p>
            <w:pPr>
              <w:pStyle w:val="Compact"/>
              <w:jc w:val="left"/>
            </w:pPr>
            <w:r>
              <w:t xml:space="preserve">endpoint_L2</w:t>
            </w:r>
          </w:p>
        </w:tc>
        <w:tc>
          <w:tcPr/>
          <w:p>
            <w:pPr>
              <w:pStyle w:val="Compact"/>
              <w:jc w:val="left"/>
            </w:pPr>
            <w:r>
              <w:t xml:space="preserve">partial</w:t>
            </w:r>
          </w:p>
        </w:tc>
      </w:tr>
      <w:tr>
        <w:tc>
          <w:tcPr/>
          <w:p>
            <w:pPr>
              <w:pStyle w:val="Compact"/>
              <w:jc w:val="left"/>
            </w:pPr>
            <w:r>
              <w:t xml:space="preserve">S-06637</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partial</w:t>
            </w:r>
          </w:p>
        </w:tc>
      </w:tr>
      <w:tr>
        <w:tc>
          <w:tcPr/>
          <w:p>
            <w:pPr>
              <w:pStyle w:val="Compact"/>
              <w:jc w:val="left"/>
            </w:pPr>
            <w:r>
              <w:t xml:space="preserve">S-03719</w:t>
            </w:r>
          </w:p>
        </w:tc>
        <w:tc>
          <w:tcPr/>
          <w:p>
            <w:pPr>
              <w:pStyle w:val="Compact"/>
              <w:jc w:val="left"/>
            </w:pPr>
            <w:r>
              <w:t xml:space="preserve">calib5</w:t>
            </w:r>
          </w:p>
        </w:tc>
        <w:tc>
          <w:tcPr/>
          <w:p>
            <w:pPr>
              <w:pStyle w:val="Compact"/>
              <w:jc w:val="left"/>
            </w:pPr>
            <w:r>
              <w:t xml:space="preserve">config_role</w:t>
            </w:r>
          </w:p>
        </w:tc>
        <w:tc>
          <w:tcPr/>
          <w:p>
            <w:pPr>
              <w:pStyle w:val="Compact"/>
              <w:jc w:val="left"/>
            </w:pPr>
            <w:r>
              <w:t xml:space="preserve">hit</w:t>
            </w:r>
          </w:p>
        </w:tc>
      </w:tr>
      <w:tr>
        <w:tc>
          <w:tcPr/>
          <w:p>
            <w:pPr>
              <w:pStyle w:val="Compact"/>
              <w:jc w:val="left"/>
            </w:pPr>
            <w:r>
              <w:t xml:space="preserve">S-04704</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hit</w:t>
            </w:r>
          </w:p>
        </w:tc>
      </w:tr>
      <w:tr>
        <w:tc>
          <w:tcPr/>
          <w:p>
            <w:pPr>
              <w:pStyle w:val="Compact"/>
              <w:jc w:val="left"/>
            </w:pPr>
            <w:r>
              <w:t xml:space="preserve">S-01653</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hit</w:t>
            </w:r>
          </w:p>
        </w:tc>
      </w:tr>
      <w:tr>
        <w:tc>
          <w:tcPr/>
          <w:p>
            <w:pPr>
              <w:pStyle w:val="Compact"/>
              <w:jc w:val="left"/>
            </w:pPr>
            <w:r>
              <w:t xml:space="preserve">S-04382</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partial</w:t>
            </w:r>
          </w:p>
        </w:tc>
      </w:tr>
      <w:tr>
        <w:tc>
          <w:tcPr/>
          <w:p>
            <w:pPr>
              <w:pStyle w:val="Compact"/>
              <w:jc w:val="left"/>
            </w:pPr>
            <w:r>
              <w:t xml:space="preserve">S-02428</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not found</w:t>
            </w:r>
          </w:p>
        </w:tc>
      </w:tr>
      <w:tr>
        <w:tc>
          <w:tcPr/>
          <w:p>
            <w:pPr>
              <w:pStyle w:val="Compact"/>
              <w:jc w:val="left"/>
            </w:pPr>
            <w:r>
              <w:t xml:space="preserve">S-05897</w:t>
            </w:r>
          </w:p>
        </w:tc>
        <w:tc>
          <w:tcPr/>
          <w:p>
            <w:pPr>
              <w:pStyle w:val="Compact"/>
              <w:jc w:val="left"/>
            </w:pPr>
            <w:r>
              <w:t xml:space="preserve">recode5</w:t>
            </w:r>
          </w:p>
        </w:tc>
        <w:tc>
          <w:tcPr/>
          <w:p>
            <w:pPr>
              <w:pStyle w:val="Compact"/>
              <w:jc w:val="left"/>
            </w:pPr>
            <w:r>
              <w:t xml:space="preserve">endpoint_L2</w:t>
            </w:r>
          </w:p>
        </w:tc>
        <w:tc>
          <w:tcPr/>
          <w:p>
            <w:pPr>
              <w:pStyle w:val="Compact"/>
              <w:jc w:val="left"/>
            </w:pPr>
            <w:r>
              <w:t xml:space="preserve">hit</w:t>
            </w:r>
          </w:p>
        </w:tc>
      </w:tr>
      <w:tr>
        <w:tc>
          <w:tcPr/>
          <w:p>
            <w:pPr>
              <w:pStyle w:val="Compact"/>
              <w:jc w:val="left"/>
            </w:pPr>
            <w:r>
              <w:t xml:space="preserve">S-04563</w:t>
            </w:r>
          </w:p>
        </w:tc>
        <w:tc>
          <w:tcPr/>
          <w:p>
            <w:pPr>
              <w:pStyle w:val="Compact"/>
              <w:jc w:val="left"/>
            </w:pPr>
            <w:r>
              <w:t xml:space="preserve">calib4v2</w:t>
            </w:r>
          </w:p>
        </w:tc>
        <w:tc>
          <w:tcPr/>
          <w:p>
            <w:pPr>
              <w:pStyle w:val="Compact"/>
              <w:jc w:val="left"/>
            </w:pPr>
            <w:r>
              <w:t xml:space="preserve">intended_use_explicitly_reported</w:t>
            </w:r>
          </w:p>
        </w:tc>
        <w:tc>
          <w:tcPr/>
          <w:p>
            <w:pPr>
              <w:pStyle w:val="Compact"/>
              <w:jc w:val="left"/>
            </w:pPr>
            <w:r>
              <w:t xml:space="preserve">hit</w:t>
            </w:r>
          </w:p>
        </w:tc>
      </w:tr>
      <w:tr>
        <w:tc>
          <w:tcPr/>
          <w:p>
            <w:pPr>
              <w:pStyle w:val="Compact"/>
              <w:jc w:val="left"/>
            </w:pPr>
            <w:r>
              <w:t xml:space="preserve">S-03265</w:t>
            </w:r>
          </w:p>
        </w:tc>
        <w:tc>
          <w:tcPr/>
          <w:p>
            <w:pPr>
              <w:pStyle w:val="Compact"/>
              <w:jc w:val="left"/>
            </w:pPr>
            <w:r>
              <w:t xml:space="preserve">calib5</w:t>
            </w:r>
          </w:p>
        </w:tc>
        <w:tc>
          <w:tcPr/>
          <w:p>
            <w:pPr>
              <w:pStyle w:val="Compact"/>
              <w:jc w:val="left"/>
            </w:pPr>
            <w:r>
              <w:t xml:space="preserve">training_data_source</w:t>
            </w:r>
          </w:p>
        </w:tc>
        <w:tc>
          <w:tcPr/>
          <w:p>
            <w:pPr>
              <w:pStyle w:val="Compact"/>
              <w:jc w:val="left"/>
            </w:pPr>
            <w:r>
              <w:t xml:space="preserve">hit</w:t>
            </w:r>
          </w:p>
        </w:tc>
      </w:tr>
      <w:tr>
        <w:tc>
          <w:tcPr/>
          <w:p>
            <w:pPr>
              <w:pStyle w:val="Compact"/>
              <w:jc w:val="left"/>
            </w:pPr>
            <w:r>
              <w:t xml:space="preserve">S-04059</w:t>
            </w:r>
          </w:p>
        </w:tc>
        <w:tc>
          <w:tcPr/>
          <w:p>
            <w:pPr>
              <w:pStyle w:val="Compact"/>
              <w:jc w:val="left"/>
            </w:pPr>
            <w:r>
              <w:t xml:space="preserve">calib5</w:t>
            </w:r>
          </w:p>
        </w:tc>
        <w:tc>
          <w:tcPr/>
          <w:p>
            <w:pPr>
              <w:pStyle w:val="Compact"/>
              <w:jc w:val="left"/>
            </w:pPr>
            <w:r>
              <w:t xml:space="preserve">external_validation</w:t>
            </w:r>
          </w:p>
        </w:tc>
        <w:tc>
          <w:tcPr/>
          <w:p>
            <w:pPr>
              <w:pStyle w:val="Compact"/>
              <w:jc w:val="left"/>
            </w:pPr>
            <w:r>
              <w:t xml:space="preserve">hit</w:t>
            </w:r>
          </w:p>
        </w:tc>
      </w:tr>
    </w:tbl>
    <w:p>
      <w:pPr>
        <w:pStyle w:val="BodyText"/>
      </w:pPr>
      <w:r>
        <w:t xml:space="preserve">Outcome: hit = the cited source text was retrieved verbatim; partial = the first 25 characters matched and the remainder did not; not found = no match; no citation = the cell carried no extractable quotation. Fifteen hits + six partial + one not found + one no citation = 23; the verbatim re-hit rate is 15/23 = 65.2%.</w:t>
      </w:r>
    </w:p>
    <w:p>
      <w:pPr>
        <w:pStyle w:val="BodyText"/>
      </w:pPr>
      <w:r>
        <w:t xml:space="preserve">The attribution frame keys on (screening_id, field) using an attribution-key vocabulary. In the 23-cell subset this vocabulary comprises seven keys: external_validation, training_data_source, evaluation_data_source, comparator_type, config_role, intended_use_explicitly_reported and endpoint_L2. Only endpoint_L2 also names a study-level field in the 29-field reliability table; the other six are attribution/evidence keys distinct from the 29 fields, near-name variants rather than the same field (for example comparator_type here versus comparator in the 29-field table). The two vocabularies serve different purposes — the 29 fields are the coded values whose reliability is reported, while the attribution keys locate where a judgment’s supporting evidence sits — and Supplementary Table S8 aligns them.</w:t>
      </w:r>
    </w:p>
    <w:bookmarkEnd w:id="33"/>
    <w:bookmarkStart w:id="34" w:name="X15481875e1325255f1b01eed64264f4ea3bc45f"/>
    <w:p>
      <w:pPr>
        <w:pStyle w:val="Heading2"/>
      </w:pPr>
      <w:r>
        <w:t xml:space="preserve">S4c. Gate 1 co-conditions, cell by cell (exploratory process record; post hoc re-run)</w:t>
      </w:r>
    </w:p>
    <w:p>
      <w:pPr>
        <w:pStyle w:val="FirstParagraph"/>
      </w:pPr>
      <w:r>
        <w:t xml:space="preserve">The frozen Gate 1 result scored verbatim retrieval only. In the post hoc re-run (S7), the two coders independently judged, for each of the 23 cells, whether the extraction rule applied and whether all three co-conditions were met: (1) original-text evidence, (2) an applicable rule, (3) an independent attribution record. Columns (1)–(3) carry the frozen mechanical values; the last two columns give coder A / coder B. The coders agreed in all 23 cells, so no arbitration was needed. All three co-conditions were met in 15 cells and unmet in 8; the 8 are the cells without a verbatim hit, and in each the unmet condition is (1). Condition (3) was met in all 23 cells. This record does not change the frozen Gate 1 outcome (15/23) or its stopping decision.</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screening_id</w:t>
            </w:r>
          </w:p>
        </w:tc>
        <w:tc>
          <w:tcPr/>
          <w:p>
            <w:pPr>
              <w:pStyle w:val="Compact"/>
              <w:jc w:val="left"/>
            </w:pPr>
            <w:r>
              <w:t xml:space="preserve">field</w:t>
            </w:r>
          </w:p>
        </w:tc>
        <w:tc>
          <w:tcPr/>
          <w:p>
            <w:pPr>
              <w:pStyle w:val="Compact"/>
              <w:jc w:val="left"/>
            </w:pPr>
            <w:r>
              <w:t xml:space="preserve">(1) original-text evidence</w:t>
            </w:r>
          </w:p>
        </w:tc>
        <w:tc>
          <w:tcPr/>
          <w:p>
            <w:pPr>
              <w:pStyle w:val="Compact"/>
              <w:jc w:val="left"/>
            </w:pPr>
            <w:r>
              <w:t xml:space="preserve">(2) rule in rulebook</w:t>
            </w:r>
          </w:p>
        </w:tc>
        <w:tc>
          <w:tcPr/>
          <w:p>
            <w:pPr>
              <w:pStyle w:val="Compact"/>
              <w:jc w:val="left"/>
            </w:pPr>
            <w:r>
              <w:t xml:space="preserve">(3) independent record</w:t>
            </w:r>
          </w:p>
        </w:tc>
        <w:tc>
          <w:tcPr/>
          <w:p>
            <w:pPr>
              <w:pStyle w:val="Compact"/>
              <w:jc w:val="left"/>
            </w:pPr>
            <w:r>
              <w:t xml:space="preserve">rule applies (A / B)</w:t>
            </w:r>
          </w:p>
        </w:tc>
        <w:tc>
          <w:tcPr/>
          <w:p>
            <w:pPr>
              <w:pStyle w:val="Compact"/>
              <w:jc w:val="left"/>
            </w:pPr>
            <w:r>
              <w:t xml:space="preserve">all three met (A / B)</w:t>
            </w:r>
          </w:p>
        </w:tc>
      </w:tr>
      <w:tr>
        <w:tc>
          <w:tcPr/>
          <w:p>
            <w:pPr>
              <w:pStyle w:val="Compact"/>
              <w:jc w:val="left"/>
            </w:pPr>
            <w:r>
              <w:t xml:space="preserve">S-02711</w:t>
            </w:r>
          </w:p>
        </w:tc>
        <w:tc>
          <w:tcPr/>
          <w:p>
            <w:pPr>
              <w:pStyle w:val="Compact"/>
              <w:jc w:val="left"/>
            </w:pPr>
            <w:r>
              <w:t xml:space="preserve">external_validation</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S-02294</w:t>
            </w:r>
          </w:p>
        </w:tc>
        <w:tc>
          <w:tcPr/>
          <w:p>
            <w:pPr>
              <w:pStyle w:val="Compact"/>
              <w:jc w:val="left"/>
            </w:pPr>
            <w:r>
              <w:t xml:space="preserve">training_data_source</w:t>
            </w:r>
          </w:p>
        </w:tc>
        <w:tc>
          <w:tcPr/>
          <w:p>
            <w:pPr>
              <w:pStyle w:val="Compact"/>
              <w:jc w:val="left"/>
            </w:pPr>
            <w:r>
              <w:t xml:space="preserve">no citation</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S-04799</w:t>
            </w:r>
          </w:p>
        </w:tc>
        <w:tc>
          <w:tcPr/>
          <w:p>
            <w:pPr>
              <w:pStyle w:val="Compact"/>
              <w:jc w:val="left"/>
            </w:pPr>
            <w:r>
              <w:t xml:space="preserve">external_validation</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S-06219</w:t>
            </w:r>
          </w:p>
        </w:tc>
        <w:tc>
          <w:tcPr/>
          <w:p>
            <w:pPr>
              <w:pStyle w:val="Compact"/>
              <w:jc w:val="left"/>
            </w:pPr>
            <w:r>
              <w:t xml:space="preserve">external_validation</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S-02909</w:t>
            </w:r>
          </w:p>
        </w:tc>
        <w:tc>
          <w:tcPr/>
          <w:p>
            <w:pPr>
              <w:pStyle w:val="Compact"/>
              <w:jc w:val="left"/>
            </w:pPr>
            <w:r>
              <w:t xml:space="preserve">intended_use_explicitly_reported</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S-05764</w:t>
            </w:r>
          </w:p>
        </w:tc>
        <w:tc>
          <w:tcPr/>
          <w:p>
            <w:pPr>
              <w:pStyle w:val="Compact"/>
              <w:jc w:val="left"/>
            </w:pPr>
            <w:r>
              <w:t xml:space="preserve">evaluation_data_source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S-04009</w:t>
            </w:r>
          </w:p>
        </w:tc>
        <w:tc>
          <w:tcPr/>
          <w:p>
            <w:pPr>
              <w:pStyle w:val="Compact"/>
              <w:jc w:val="left"/>
            </w:pPr>
            <w:r>
              <w:t xml:space="preserve">comparator_type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S-01257</w:t>
            </w:r>
          </w:p>
        </w:tc>
        <w:tc>
          <w:tcPr/>
          <w:p>
            <w:pPr>
              <w:pStyle w:val="Compact"/>
              <w:jc w:val="left"/>
            </w:pPr>
            <w:r>
              <w:t xml:space="preserve">training_data_source</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S-04087</w:t>
            </w:r>
          </w:p>
        </w:tc>
        <w:tc>
          <w:tcPr/>
          <w:p>
            <w:pPr>
              <w:pStyle w:val="Compact"/>
              <w:jc w:val="left"/>
            </w:pPr>
            <w:r>
              <w:t xml:space="preserve">external_validation</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S-04067</w:t>
            </w:r>
          </w:p>
        </w:tc>
        <w:tc>
          <w:tcPr/>
          <w:p>
            <w:pPr>
              <w:pStyle w:val="Compact"/>
              <w:jc w:val="left"/>
            </w:pPr>
            <w:r>
              <w:t xml:space="preserve">external_validation</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S-04158</w:t>
            </w:r>
          </w:p>
        </w:tc>
        <w:tc>
          <w:tcPr/>
          <w:p>
            <w:pPr>
              <w:pStyle w:val="Compact"/>
              <w:jc w:val="left"/>
            </w:pPr>
            <w:r>
              <w:t xml:space="preserve">evaluation_data_source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S-04684</w:t>
            </w:r>
          </w:p>
        </w:tc>
        <w:tc>
          <w:tcPr/>
          <w:p>
            <w:pPr>
              <w:pStyle w:val="Compact"/>
              <w:jc w:val="left"/>
            </w:pPr>
            <w:r>
              <w:t xml:space="preserve">training_data_source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S-04073</w:t>
            </w:r>
          </w:p>
        </w:tc>
        <w:tc>
          <w:tcPr/>
          <w:p>
            <w:pPr>
              <w:pStyle w:val="Compact"/>
              <w:jc w:val="left"/>
            </w:pPr>
            <w:r>
              <w:t xml:space="preserve">endpoint_L2</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S-06637</w:t>
            </w:r>
          </w:p>
        </w:tc>
        <w:tc>
          <w:tcPr/>
          <w:p>
            <w:pPr>
              <w:pStyle w:val="Compact"/>
              <w:jc w:val="left"/>
            </w:pPr>
            <w:r>
              <w:t xml:space="preserve">external_validation</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S-03719</w:t>
            </w:r>
          </w:p>
        </w:tc>
        <w:tc>
          <w:tcPr/>
          <w:p>
            <w:pPr>
              <w:pStyle w:val="Compact"/>
              <w:jc w:val="left"/>
            </w:pPr>
            <w:r>
              <w:t xml:space="preserve">config_role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S-04704</w:t>
            </w:r>
          </w:p>
        </w:tc>
        <w:tc>
          <w:tcPr/>
          <w:p>
            <w:pPr>
              <w:pStyle w:val="Compact"/>
              <w:jc w:val="left"/>
            </w:pPr>
            <w:r>
              <w:t xml:space="preserve">training_data_source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S-01653</w:t>
            </w:r>
          </w:p>
        </w:tc>
        <w:tc>
          <w:tcPr/>
          <w:p>
            <w:pPr>
              <w:pStyle w:val="Compact"/>
              <w:jc w:val="left"/>
            </w:pPr>
            <w:r>
              <w:t xml:space="preserve">external_validation</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S-04382</w:t>
            </w:r>
          </w:p>
        </w:tc>
        <w:tc>
          <w:tcPr/>
          <w:p>
            <w:pPr>
              <w:pStyle w:val="Compact"/>
              <w:jc w:val="left"/>
            </w:pPr>
            <w:r>
              <w:t xml:space="preserve">external_validation</w:t>
            </w:r>
          </w:p>
        </w:tc>
        <w:tc>
          <w:tcPr/>
          <w:p>
            <w:pPr>
              <w:pStyle w:val="Compact"/>
              <w:jc w:val="left"/>
            </w:pPr>
            <w:r>
              <w:t xml:space="preserve">partial</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S-02428</w:t>
            </w:r>
          </w:p>
        </w:tc>
        <w:tc>
          <w:tcPr/>
          <w:p>
            <w:pPr>
              <w:pStyle w:val="Compact"/>
              <w:jc w:val="left"/>
            </w:pPr>
            <w:r>
              <w:t xml:space="preserve">training_data_source</w:t>
            </w:r>
          </w:p>
        </w:tc>
        <w:tc>
          <w:tcPr/>
          <w:p>
            <w:pPr>
              <w:pStyle w:val="Compact"/>
              <w:jc w:val="left"/>
            </w:pPr>
            <w:r>
              <w:t xml:space="preserve">not found</w:t>
            </w:r>
          </w:p>
        </w:tc>
        <w:tc>
          <w:tcPr/>
          <w:p>
            <w:pPr>
              <w:pStyle w:val="Compact"/>
              <w:jc w:val="left"/>
            </w:pPr>
            <w:r>
              <w:t xml:space="preserve">hit</w:t>
            </w:r>
          </w:p>
        </w:tc>
        <w:tc>
          <w:tcPr/>
          <w:p>
            <w:pPr>
              <w:pStyle w:val="Compact"/>
              <w:jc w:val="left"/>
            </w:pPr>
            <w:r>
              <w:t xml:space="preserve">yes</w:t>
            </w:r>
          </w:p>
        </w:tc>
        <w:tc>
          <w:tcPr/>
          <w:p>
            <w:pPr>
              <w:pStyle w:val="Compact"/>
              <w:jc w:val="left"/>
            </w:pPr>
            <w:r>
              <w:t xml:space="preserve">not applicable / not applicable</w:t>
            </w:r>
          </w:p>
        </w:tc>
        <w:tc>
          <w:tcPr/>
          <w:p>
            <w:pPr>
              <w:pStyle w:val="Compact"/>
              <w:jc w:val="left"/>
            </w:pPr>
            <w:r>
              <w:t xml:space="preserve">no / no</w:t>
            </w:r>
          </w:p>
        </w:tc>
      </w:tr>
      <w:tr>
        <w:tc>
          <w:tcPr/>
          <w:p>
            <w:pPr>
              <w:pStyle w:val="Compact"/>
              <w:jc w:val="left"/>
            </w:pPr>
            <w:r>
              <w:t xml:space="preserve">S-05897</w:t>
            </w:r>
          </w:p>
        </w:tc>
        <w:tc>
          <w:tcPr/>
          <w:p>
            <w:pPr>
              <w:pStyle w:val="Compact"/>
              <w:jc w:val="left"/>
            </w:pPr>
            <w:r>
              <w:t xml:space="preserve">endpoint_L2</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S-04563</w:t>
            </w:r>
          </w:p>
        </w:tc>
        <w:tc>
          <w:tcPr/>
          <w:p>
            <w:pPr>
              <w:pStyle w:val="Compact"/>
              <w:jc w:val="left"/>
            </w:pPr>
            <w:r>
              <w:t xml:space="preserve">intended_use_explicitly_reported</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S-03265</w:t>
            </w:r>
          </w:p>
        </w:tc>
        <w:tc>
          <w:tcPr/>
          <w:p>
            <w:pPr>
              <w:pStyle w:val="Compact"/>
              <w:jc w:val="left"/>
            </w:pPr>
            <w:r>
              <w:t xml:space="preserve">training_data_source</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r>
        <w:tc>
          <w:tcPr/>
          <w:p>
            <w:pPr>
              <w:pStyle w:val="Compact"/>
              <w:jc w:val="left"/>
            </w:pPr>
            <w:r>
              <w:t xml:space="preserve">S-04059</w:t>
            </w:r>
          </w:p>
        </w:tc>
        <w:tc>
          <w:tcPr/>
          <w:p>
            <w:pPr>
              <w:pStyle w:val="Compact"/>
              <w:jc w:val="left"/>
            </w:pPr>
            <w:r>
              <w:t xml:space="preserve">external_validation</w:t>
            </w:r>
          </w:p>
        </w:tc>
        <w:tc>
          <w:tcPr/>
          <w:p>
            <w:pPr>
              <w:pStyle w:val="Compact"/>
              <w:jc w:val="left"/>
            </w:pPr>
            <w:r>
              <w:t xml:space="preserve">hit</w:t>
            </w:r>
          </w:p>
        </w:tc>
        <w:tc>
          <w:tcPr/>
          <w:p>
            <w:pPr>
              <w:pStyle w:val="Compact"/>
              <w:jc w:val="left"/>
            </w:pPr>
            <w:r>
              <w:t xml:space="preserve">hit</w:t>
            </w:r>
          </w:p>
        </w:tc>
        <w:tc>
          <w:tcPr/>
          <w:p>
            <w:pPr>
              <w:pStyle w:val="Compact"/>
              <w:jc w:val="left"/>
            </w:pPr>
            <w:r>
              <w:t xml:space="preserve">yes</w:t>
            </w:r>
          </w:p>
        </w:tc>
        <w:tc>
          <w:tcPr/>
          <w:p>
            <w:pPr>
              <w:pStyle w:val="Compact"/>
              <w:jc w:val="left"/>
            </w:pPr>
            <w:r>
              <w:t xml:space="preserve">applicable / applicable</w:t>
            </w:r>
          </w:p>
        </w:tc>
        <w:tc>
          <w:tcPr/>
          <w:p>
            <w:pPr>
              <w:pStyle w:val="Compact"/>
              <w:jc w:val="left"/>
            </w:pPr>
            <w:r>
              <w:t xml:space="preserve">yes / yes</w:t>
            </w:r>
          </w:p>
        </w:tc>
      </w:tr>
    </w:tbl>
    <w:bookmarkEnd w:id="34"/>
    <w:bookmarkStart w:id="35" w:name="X7f0509c00af44fce9b44323483360590744e967"/>
    <w:p>
      <w:pPr>
        <w:pStyle w:val="Heading2"/>
      </w:pPr>
      <w:r>
        <w:t xml:space="preserve">S5. Versioned analysis plan and registration update log (Table 5)</w:t>
      </w:r>
    </w:p>
    <w:p>
      <w:pPr>
        <w:pStyle w:val="FirstParagraph"/>
      </w:pPr>
      <w:r>
        <w:t xml:space="preserve">OSF registration osf.io/mhjtz, DOI 10.17605/osf.io/mhjtz, 2026-09-12. Platform update numbering and the version labels in this table are not identical: the platform numbers its update responses sequentially (the 2026-09-29 eligibility re-adjudication is OSF Update No.5), whereas the V labels below are the internal version log of the project. Selecting or redefining analyses after the data are visible is a recognised route to selective reporting. This audit falls within that concern: its co-primary measures were set after the extracted data were visible. We therefore list every version of the plan with the reason for the revision and its status, so that each choice can be judged on its own. No revision below is presented as prespecified; rows marked post hoc are exploratory.</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version</w:t>
            </w:r>
          </w:p>
        </w:tc>
        <w:tc>
          <w:tcPr/>
          <w:p>
            <w:pPr>
              <w:pStyle w:val="Compact"/>
              <w:jc w:val="left"/>
            </w:pPr>
            <w:r>
              <w:t xml:space="preserve">date_2026</w:t>
            </w:r>
          </w:p>
        </w:tc>
        <w:tc>
          <w:tcPr/>
          <w:p>
            <w:pPr>
              <w:pStyle w:val="Compact"/>
              <w:jc w:val="left"/>
            </w:pPr>
            <w:r>
              <w:t xml:space="preserve">revision</w:t>
            </w:r>
          </w:p>
        </w:tc>
        <w:tc>
          <w:tcPr/>
          <w:p>
            <w:pPr>
              <w:pStyle w:val="Compact"/>
              <w:jc w:val="left"/>
            </w:pPr>
            <w:r>
              <w:t xml:space="preserve">reason</w:t>
            </w:r>
          </w:p>
        </w:tc>
        <w:tc>
          <w:tcPr/>
          <w:p>
            <w:pPr>
              <w:pStyle w:val="Compact"/>
              <w:jc w:val="left"/>
            </w:pPr>
            <w:r>
              <w:t xml:space="preserve">status</w:t>
            </w:r>
          </w:p>
        </w:tc>
        <w:tc>
          <w:tcPr/>
          <w:p>
            <w:pPr>
              <w:pStyle w:val="Compact"/>
              <w:jc w:val="left"/>
            </w:pPr>
            <w:r>
              <w:t xml:space="preserve">form</w:t>
            </w:r>
          </w:p>
        </w:tc>
        <w:tc>
          <w:tcPr/>
          <w:p>
            <w:pPr>
              <w:pStyle w:val="Compact"/>
              <w:jc w:val="left"/>
            </w:pPr>
            <w:r>
              <w:t xml:space="preserve">osf_id</w:t>
            </w:r>
          </w:p>
        </w:tc>
      </w:tr>
      <w:tr>
        <w:tc>
          <w:tcPr/>
          <w:p>
            <w:pPr>
              <w:pStyle w:val="Compact"/>
              <w:jc w:val="left"/>
            </w:pPr>
            <w:r>
              <w:t xml:space="preserve">V-1</w:t>
            </w:r>
          </w:p>
        </w:tc>
        <w:tc>
          <w:tcPr/>
          <w:p>
            <w:pPr>
              <w:pStyle w:val="Compact"/>
              <w:jc w:val="left"/>
            </w:pPr>
            <w:r>
              <w:t xml:space="preserve">08-30</w:t>
            </w:r>
          </w:p>
        </w:tc>
        <w:tc>
          <w:tcPr/>
          <w:p>
            <w:pPr>
              <w:pStyle w:val="Compact"/>
              <w:jc w:val="left"/>
            </w:pPr>
            <w:r>
              <w:t xml:space="preserve">Early registration (osf.io/rx8sm)</w:t>
            </w:r>
          </w:p>
        </w:tc>
        <w:tc>
          <w:tcPr/>
          <w:p>
            <w:pPr>
              <w:pStyle w:val="Compact"/>
              <w:jc w:val="left"/>
            </w:pPr>
            <w:r>
              <w:t xml:space="preserve">Earlier registration of the audited review; not used for these analyses (see Manuscript §2.1)</w:t>
            </w:r>
          </w:p>
        </w:tc>
        <w:tc>
          <w:tcPr/>
          <w:p>
            <w:pPr>
              <w:pStyle w:val="Compact"/>
              <w:jc w:val="left"/>
            </w:pPr>
            <w:r>
              <w:t xml:space="preserve">separate registration</w:t>
            </w:r>
          </w:p>
        </w:tc>
        <w:tc>
          <w:tcPr/>
          <w:p>
            <w:pPr>
              <w:pStyle w:val="Compact"/>
              <w:jc w:val="left"/>
            </w:pPr>
            <w:r>
              <w:t xml:space="preserve">separate registration</w:t>
            </w:r>
          </w:p>
        </w:tc>
        <w:tc>
          <w:tcPr/>
          <w:p>
            <w:pPr>
              <w:pStyle w:val="Compact"/>
              <w:jc w:val="left"/>
            </w:pPr>
            <w:r>
              <w:t xml:space="preserve">osf.io/rx8sm</w:t>
            </w:r>
          </w:p>
        </w:tc>
      </w:tr>
      <w:tr>
        <w:tc>
          <w:tcPr/>
          <w:p>
            <w:pPr>
              <w:pStyle w:val="Compact"/>
              <w:jc w:val="left"/>
            </w:pPr>
            <w:r>
              <w:t xml:space="preserve">V0</w:t>
            </w:r>
          </w:p>
        </w:tc>
        <w:tc>
          <w:tcPr/>
          <w:p>
            <w:pPr>
              <w:pStyle w:val="Compact"/>
              <w:jc w:val="left"/>
            </w:pPr>
            <w:r>
              <w:t xml:space="preserve">09-12</w:t>
            </w:r>
          </w:p>
        </w:tc>
        <w:tc>
          <w:tcPr/>
          <w:p>
            <w:pPr>
              <w:pStyle w:val="Compact"/>
              <w:jc w:val="left"/>
            </w:pPr>
            <w:r>
              <w:t xml:space="preserve">Original registration (osf.io/mhjtz)</w:t>
            </w:r>
          </w:p>
        </w:tc>
        <w:tc>
          <w:tcPr/>
          <w:p>
            <w:pPr>
              <w:pStyle w:val="Compact"/>
              <w:jc w:val="left"/>
            </w:pPr>
            <w:r>
              <w:t xml:space="preserve">Fixed the extraction and reliability protocol</w:t>
            </w:r>
          </w:p>
        </w:tc>
        <w:tc>
          <w:tcPr/>
          <w:p>
            <w:pPr>
              <w:pStyle w:val="Compact"/>
              <w:jc w:val="left"/>
            </w:pPr>
            <w:r>
              <w:t xml:space="preserve">registered</w:t>
            </w:r>
          </w:p>
        </w:tc>
        <w:tc>
          <w:tcPr/>
          <w:p>
            <w:pPr>
              <w:pStyle w:val="Compact"/>
              <w:jc w:val="left"/>
            </w:pPr>
            <w:r>
              <w:t xml:space="preserve">registration</w:t>
            </w:r>
          </w:p>
        </w:tc>
        <w:tc>
          <w:tcPr/>
          <w:p>
            <w:pPr>
              <w:pStyle w:val="Compact"/>
              <w:jc w:val="left"/>
            </w:pPr>
            <w:r>
              <w:t xml:space="preserve">osf.io/mhjtz</w:t>
            </w:r>
          </w:p>
        </w:tc>
      </w:tr>
      <w:tr>
        <w:tc>
          <w:tcPr/>
          <w:p>
            <w:pPr>
              <w:pStyle w:val="Compact"/>
              <w:jc w:val="left"/>
            </w:pPr>
            <w:r>
              <w:t xml:space="preserve">V1</w:t>
            </w:r>
          </w:p>
        </w:tc>
        <w:tc>
          <w:tcPr/>
          <w:p>
            <w:pPr>
              <w:pStyle w:val="Compact"/>
              <w:jc w:val="left"/>
            </w:pPr>
            <w:r>
              <w:t xml:space="preserve">09-12</w:t>
            </w:r>
          </w:p>
        </w:tc>
        <w:tc>
          <w:tcPr/>
          <w:p>
            <w:pPr>
              <w:pStyle w:val="Compact"/>
              <w:jc w:val="left"/>
            </w:pPr>
            <w:r>
              <w:t xml:space="preserve">Amendment 1 (recovery searches)</w:t>
            </w:r>
          </w:p>
        </w:tc>
        <w:tc>
          <w:tcPr/>
          <w:p>
            <w:pPr>
              <w:pStyle w:val="Compact"/>
              <w:jc w:val="left"/>
            </w:pPr>
            <w:r>
              <w:t xml:space="preserve">Improve recall; eligibility criteria unchanged</w:t>
            </w:r>
          </w:p>
        </w:tc>
        <w:tc>
          <w:tcPr/>
          <w:p>
            <w:pPr>
              <w:pStyle w:val="Compact"/>
              <w:jc w:val="left"/>
            </w:pPr>
            <w:r>
              <w:t xml:space="preserve">registered revision</w:t>
            </w:r>
          </w:p>
        </w:tc>
        <w:tc>
          <w:tcPr/>
          <w:p>
            <w:pPr>
              <w:pStyle w:val="Compact"/>
              <w:jc w:val="left"/>
            </w:pPr>
            <w:r>
              <w:t xml:space="preserve">update</w:t>
            </w:r>
          </w:p>
        </w:tc>
        <w:tc>
          <w:tcPr/>
          <w:p>
            <w:pPr>
              <w:pStyle w:val="Compact"/>
              <w:jc w:val="left"/>
            </w:pPr>
            <w:r>
              <w:t xml:space="preserve">OSF Update No.1</w:t>
            </w:r>
          </w:p>
        </w:tc>
      </w:tr>
      <w:tr>
        <w:tc>
          <w:tcPr/>
          <w:p>
            <w:pPr>
              <w:pStyle w:val="Compact"/>
              <w:jc w:val="left"/>
            </w:pPr>
            <w:r>
              <w:t xml:space="preserve">V2</w:t>
            </w:r>
          </w:p>
        </w:tc>
        <w:tc>
          <w:tcPr/>
          <w:p>
            <w:pPr>
              <w:pStyle w:val="Compact"/>
              <w:jc w:val="left"/>
            </w:pPr>
            <w:r>
              <w:t xml:space="preserve">09-13 to 09-20</w:t>
            </w:r>
          </w:p>
        </w:tc>
        <w:tc>
          <w:tcPr/>
          <w:p>
            <w:pPr>
              <w:pStyle w:val="Compact"/>
              <w:jc w:val="left"/>
            </w:pPr>
            <w:r>
              <w:t xml:space="preserve">Update 2 (seed definition and internal QC statement)</w:t>
            </w:r>
          </w:p>
        </w:tc>
        <w:tc>
          <w:tcPr/>
          <w:p>
            <w:pPr>
              <w:pStyle w:val="Compact"/>
              <w:jc w:val="left"/>
            </w:pPr>
            <w:r>
              <w:t xml:space="preserve">Clarify the citation-chasing seed definition and disclose internal quality control</w:t>
            </w:r>
          </w:p>
        </w:tc>
        <w:tc>
          <w:tcPr/>
          <w:p>
            <w:pPr>
              <w:pStyle w:val="Compact"/>
              <w:jc w:val="left"/>
            </w:pPr>
            <w:r>
              <w:t xml:space="preserve">registered disclosure</w:t>
            </w:r>
          </w:p>
        </w:tc>
        <w:tc>
          <w:tcPr/>
          <w:p>
            <w:pPr>
              <w:pStyle w:val="Compact"/>
              <w:jc w:val="left"/>
            </w:pPr>
            <w:r>
              <w:t xml:space="preserve">disclosure</w:t>
            </w:r>
          </w:p>
        </w:tc>
        <w:tc>
          <w:tcPr/>
          <w:p>
            <w:pPr>
              <w:pStyle w:val="Compact"/>
              <w:jc w:val="left"/>
            </w:pPr>
            <w:r>
              <w:t xml:space="preserve">OSF Update No.2–No.3</w:t>
            </w:r>
          </w:p>
        </w:tc>
      </w:tr>
      <w:tr>
        <w:tc>
          <w:tcPr/>
          <w:p>
            <w:pPr>
              <w:pStyle w:val="Compact"/>
              <w:jc w:val="left"/>
            </w:pPr>
            <w:r>
              <w:t xml:space="preserve">V3</w:t>
            </w:r>
          </w:p>
        </w:tc>
        <w:tc>
          <w:tcPr/>
          <w:p>
            <w:pPr>
              <w:pStyle w:val="Compact"/>
              <w:jc w:val="left"/>
            </w:pPr>
            <w:r>
              <w:t xml:space="preserve">09-20</w:t>
            </w:r>
          </w:p>
        </w:tc>
        <w:tc>
          <w:tcPr/>
          <w:p>
            <w:pPr>
              <w:pStyle w:val="Compact"/>
              <w:jc w:val="left"/>
            </w:pPr>
            <w:r>
              <w:t xml:space="preserve">Update 3</w:t>
            </w:r>
          </w:p>
        </w:tc>
        <w:tc>
          <w:tcPr/>
          <w:p>
            <w:pPr>
              <w:pStyle w:val="Compact"/>
              <w:jc w:val="left"/>
            </w:pPr>
            <w:r>
              <w:t xml:space="preserve">Register the tiered extraction scheme, the α ≥ 0.80 reliability floor and the calibration pilot</w:t>
            </w:r>
          </w:p>
        </w:tc>
        <w:tc>
          <w:tcPr/>
          <w:p>
            <w:pPr>
              <w:pStyle w:val="Compact"/>
              <w:jc w:val="left"/>
            </w:pPr>
            <w:r>
              <w:t xml:space="preserve">registered disclosure</w:t>
            </w:r>
          </w:p>
        </w:tc>
        <w:tc>
          <w:tcPr/>
          <w:p>
            <w:pPr>
              <w:pStyle w:val="Compact"/>
              <w:jc w:val="left"/>
            </w:pPr>
            <w:r>
              <w:t xml:space="preserve">disclosure</w:t>
            </w:r>
          </w:p>
        </w:tc>
        <w:tc>
          <w:tcPr/>
          <w:p>
            <w:pPr>
              <w:pStyle w:val="Compact"/>
              <w:jc w:val="left"/>
            </w:pPr>
            <w:r>
              <w:t xml:space="preserve">OSF Update No.3</w:t>
            </w:r>
          </w:p>
        </w:tc>
      </w:tr>
      <w:tr>
        <w:tc>
          <w:tcPr/>
          <w:p>
            <w:pPr>
              <w:pStyle w:val="Compact"/>
              <w:jc w:val="left"/>
            </w:pPr>
            <w:r>
              <w:t xml:space="preserve">V4</w:t>
            </w:r>
          </w:p>
        </w:tc>
        <w:tc>
          <w:tcPr/>
          <w:p>
            <w:pPr>
              <w:pStyle w:val="Compact"/>
              <w:jc w:val="left"/>
            </w:pPr>
            <w:r>
              <w:t xml:space="preserve">09-21</w:t>
            </w:r>
          </w:p>
        </w:tc>
        <w:tc>
          <w:tcPr/>
          <w:p>
            <w:pPr>
              <w:pStyle w:val="Compact"/>
              <w:jc w:val="left"/>
            </w:pPr>
            <w:r>
              <w:t xml:space="preserve">Screening and eligibility revision; Update 4 (pre-screening)</w:t>
            </w:r>
          </w:p>
        </w:tc>
        <w:tc>
          <w:tcPr/>
          <w:p>
            <w:pPr>
              <w:pStyle w:val="Compact"/>
              <w:jc w:val="left"/>
            </w:pPr>
            <w:r>
              <w:t xml:space="preserve">Register decision thresholds, version merging and the identification count</w:t>
            </w:r>
          </w:p>
        </w:tc>
        <w:tc>
          <w:tcPr/>
          <w:p>
            <w:pPr>
              <w:pStyle w:val="Compact"/>
              <w:jc w:val="left"/>
            </w:pPr>
            <w:r>
              <w:t xml:space="preserve">registered revision</w:t>
            </w:r>
          </w:p>
        </w:tc>
        <w:tc>
          <w:tcPr/>
          <w:p>
            <w:pPr>
              <w:pStyle w:val="Compact"/>
              <w:jc w:val="left"/>
            </w:pPr>
            <w:r>
              <w:t xml:space="preserve">update</w:t>
            </w:r>
          </w:p>
        </w:tc>
        <w:tc>
          <w:tcPr/>
          <w:p>
            <w:pPr>
              <w:pStyle w:val="Compact"/>
              <w:jc w:val="left"/>
            </w:pPr>
            <w:r>
              <w:t xml:space="preserve">OSF Update No.4</w:t>
            </w:r>
          </w:p>
        </w:tc>
      </w:tr>
      <w:tr>
        <w:tc>
          <w:tcPr/>
          <w:p>
            <w:pPr>
              <w:pStyle w:val="Compact"/>
              <w:jc w:val="left"/>
            </w:pPr>
            <w:r>
              <w:t xml:space="preserve">V5</w:t>
            </w:r>
          </w:p>
        </w:tc>
        <w:tc>
          <w:tcPr/>
          <w:p>
            <w:pPr>
              <w:pStyle w:val="Compact"/>
              <w:jc w:val="left"/>
            </w:pPr>
            <w:r>
              <w:t xml:space="preserve">09-22</w:t>
            </w:r>
          </w:p>
        </w:tc>
        <w:tc>
          <w:tcPr/>
          <w:p>
            <w:pPr>
              <w:pStyle w:val="Compact"/>
              <w:jc w:val="left"/>
            </w:pPr>
            <w:r>
              <w:t xml:space="preserve">Amendment 2</w:t>
            </w:r>
          </w:p>
        </w:tc>
        <w:tc>
          <w:tcPr/>
          <w:p>
            <w:pPr>
              <w:pStyle w:val="Compact"/>
              <w:jc w:val="left"/>
            </w:pPr>
            <w:r>
              <w:t xml:space="preserve">Harmonise exclusion-reason precedence and fix the reliability denominator rule</w:t>
            </w:r>
          </w:p>
        </w:tc>
        <w:tc>
          <w:tcPr/>
          <w:p>
            <w:pPr>
              <w:pStyle w:val="Compact"/>
              <w:jc w:val="left"/>
            </w:pPr>
            <w:r>
              <w:t xml:space="preserve">registered revision</w:t>
            </w:r>
          </w:p>
        </w:tc>
        <w:tc>
          <w:tcPr/>
          <w:p>
            <w:pPr>
              <w:pStyle w:val="Compact"/>
              <w:jc w:val="left"/>
            </w:pPr>
            <w:r>
              <w:t xml:space="preserve">separate registration</w:t>
            </w:r>
          </w:p>
        </w:tc>
        <w:tc>
          <w:tcPr/>
          <w:p>
            <w:pPr>
              <w:pStyle w:val="Compact"/>
              <w:jc w:val="left"/>
            </w:pPr>
            <w:r>
              <w:t xml:space="preserve">—（未对应平台编号）</w:t>
            </w:r>
          </w:p>
        </w:tc>
      </w:tr>
      <w:tr>
        <w:tc>
          <w:tcPr/>
          <w:p>
            <w:pPr>
              <w:pStyle w:val="Compact"/>
              <w:jc w:val="left"/>
            </w:pPr>
            <w:r>
              <w:t xml:space="preserve">V6</w:t>
            </w:r>
          </w:p>
        </w:tc>
        <w:tc>
          <w:tcPr/>
          <w:p>
            <w:pPr>
              <w:pStyle w:val="Compact"/>
              <w:jc w:val="left"/>
            </w:pPr>
            <w:r>
              <w:t xml:space="preserve">09-23</w:t>
            </w:r>
          </w:p>
        </w:tc>
        <w:tc>
          <w:tcPr/>
          <w:p>
            <w:pPr>
              <w:pStyle w:val="Compact"/>
              <w:jc w:val="left"/>
            </w:pPr>
            <w:r>
              <w:t xml:space="preserve">Amendments 3 and 4</w:t>
            </w:r>
          </w:p>
        </w:tc>
        <w:tc>
          <w:tcPr/>
          <w:p>
            <w:pPr>
              <w:pStyle w:val="Compact"/>
              <w:jc w:val="left"/>
            </w:pPr>
            <w:r>
              <w:t xml:space="preserve">Register the supplementary database search and the included set (count later corrected to 390), extend double coding to all fields and remove the language restriction</w:t>
            </w:r>
          </w:p>
        </w:tc>
        <w:tc>
          <w:tcPr/>
          <w:p>
            <w:pPr>
              <w:pStyle w:val="Compact"/>
              <w:jc w:val="left"/>
            </w:pPr>
            <w:r>
              <w:t xml:space="preserve">registered revision</w:t>
            </w:r>
          </w:p>
        </w:tc>
        <w:tc>
          <w:tcPr/>
          <w:p>
            <w:pPr>
              <w:pStyle w:val="Compact"/>
              <w:jc w:val="left"/>
            </w:pPr>
            <w:r>
              <w:t xml:space="preserve">update</w:t>
            </w:r>
          </w:p>
        </w:tc>
        <w:tc>
          <w:tcPr/>
          <w:p>
            <w:pPr>
              <w:pStyle w:val="Compact"/>
              <w:jc w:val="left"/>
            </w:pPr>
            <w:r>
              <w:t xml:space="preserve">—（未对应平台编号）</w:t>
            </w:r>
          </w:p>
        </w:tc>
      </w:tr>
      <w:tr>
        <w:tc>
          <w:tcPr/>
          <w:p>
            <w:pPr>
              <w:pStyle w:val="Compact"/>
              <w:jc w:val="left"/>
            </w:pPr>
            <w:r>
              <w:t xml:space="preserve">V7</w:t>
            </w:r>
          </w:p>
        </w:tc>
        <w:tc>
          <w:tcPr/>
          <w:p>
            <w:pPr>
              <w:pStyle w:val="Compact"/>
              <w:jc w:val="left"/>
            </w:pPr>
            <w:r>
              <w:t xml:space="preserve">09-25</w:t>
            </w:r>
          </w:p>
        </w:tc>
        <w:tc>
          <w:tcPr/>
          <w:p>
            <w:pPr>
              <w:pStyle w:val="Compact"/>
              <w:jc w:val="left"/>
            </w:pPr>
            <w:r>
              <w:t xml:space="preserve">Update effective 17:28:11 (+08), osf.io/xm6kq</w:t>
            </w:r>
          </w:p>
        </w:tc>
        <w:tc>
          <w:tcPr/>
          <w:p>
            <w:pPr>
              <w:pStyle w:val="Compact"/>
              <w:jc w:val="left"/>
            </w:pPr>
            <w:r>
              <w:t xml:space="preserve">Record the change of study axis after a study-level endpoint field fell below the reliability floor; frozen thresholds unchanged</w:t>
            </w:r>
          </w:p>
        </w:tc>
        <w:tc>
          <w:tcPr/>
          <w:p>
            <w:pPr>
              <w:pStyle w:val="Compact"/>
              <w:jc w:val="left"/>
            </w:pPr>
            <w:r>
              <w:t xml:space="preserve">post hoc disclosure</w:t>
            </w:r>
          </w:p>
        </w:tc>
        <w:tc>
          <w:tcPr/>
          <w:p>
            <w:pPr>
              <w:pStyle w:val="Compact"/>
              <w:jc w:val="left"/>
            </w:pPr>
            <w:r>
              <w:t xml:space="preserve">disclosure</w:t>
            </w:r>
          </w:p>
        </w:tc>
        <w:tc>
          <w:tcPr/>
          <w:p>
            <w:pPr>
              <w:pStyle w:val="Compact"/>
              <w:jc w:val="left"/>
            </w:pPr>
            <w:r>
              <w:t xml:space="preserve">osf.io/xm6kq</w:t>
            </w:r>
          </w:p>
        </w:tc>
      </w:tr>
      <w:tr>
        <w:tc>
          <w:tcPr/>
          <w:p>
            <w:pPr>
              <w:pStyle w:val="Compact"/>
              <w:jc w:val="left"/>
            </w:pPr>
            <w:r>
              <w:t xml:space="preserve">V8</w:t>
            </w:r>
          </w:p>
        </w:tc>
        <w:tc>
          <w:tcPr/>
          <w:p>
            <w:pPr>
              <w:pStyle w:val="Compact"/>
              <w:jc w:val="left"/>
            </w:pPr>
            <w:r>
              <w:t xml:space="preserve">09-25 to 09-26</w:t>
            </w:r>
          </w:p>
        </w:tc>
        <w:tc>
          <w:tcPr/>
          <w:p>
            <w:pPr>
              <w:pStyle w:val="Compact"/>
              <w:jc w:val="left"/>
            </w:pPr>
            <w:r>
              <w:t xml:space="preserve">Two changes of analytic axis; co-primary measures set</w:t>
            </w:r>
          </w:p>
        </w:tc>
        <w:tc>
          <w:tcPr/>
          <w:p>
            <w:pPr>
              <w:pStyle w:val="Compact"/>
              <w:jc w:val="left"/>
            </w:pPr>
            <w:r>
              <w:t xml:space="preserve">Attribution analysis downgraded to exploratory; co-primary measures re-specified as field-level Po and the verbatim-anchoring rate (α secondary)</w:t>
            </w:r>
          </w:p>
        </w:tc>
        <w:tc>
          <w:tcPr/>
          <w:p>
            <w:pPr>
              <w:pStyle w:val="Compact"/>
              <w:jc w:val="left"/>
            </w:pPr>
            <w:r>
              <w:t xml:space="preserve">post hoc</w:t>
            </w:r>
          </w:p>
        </w:tc>
        <w:tc>
          <w:tcPr/>
          <w:p>
            <w:pPr>
              <w:pStyle w:val="Compact"/>
              <w:jc w:val="left"/>
            </w:pPr>
            <w:r>
              <w:t xml:space="preserve">update</w:t>
            </w:r>
          </w:p>
        </w:tc>
        <w:tc>
          <w:tcPr/>
          <w:p>
            <w:pPr>
              <w:pStyle w:val="Compact"/>
              <w:jc w:val="left"/>
            </w:pPr>
            <w:r>
              <w:t xml:space="preserve">—（未对应平台编号）</w:t>
            </w:r>
          </w:p>
        </w:tc>
      </w:tr>
      <w:tr>
        <w:tc>
          <w:tcPr/>
          <w:p>
            <w:pPr>
              <w:pStyle w:val="Compact"/>
              <w:jc w:val="left"/>
            </w:pPr>
            <w:r>
              <w:t xml:space="preserve">V9</w:t>
            </w:r>
          </w:p>
        </w:tc>
        <w:tc>
          <w:tcPr/>
          <w:p>
            <w:pPr>
              <w:pStyle w:val="Compact"/>
              <w:jc w:val="left"/>
            </w:pPr>
            <w:r>
              <w:t xml:space="preserve">09-26</w:t>
            </w:r>
          </w:p>
        </w:tc>
        <w:tc>
          <w:tcPr/>
          <w:p>
            <w:pPr>
              <w:pStyle w:val="Compact"/>
              <w:jc w:val="left"/>
            </w:pPr>
            <w:r>
              <w:t xml:space="preserve">Judgement-rubric defect; batch voided and sealed</w:t>
            </w:r>
          </w:p>
        </w:tc>
        <w:tc>
          <w:tcPr/>
          <w:p>
            <w:pPr>
              <w:pStyle w:val="Compact"/>
              <w:jc w:val="left"/>
            </w:pPr>
            <w:r>
              <w:t xml:space="preserve">Rubric categories were not mutually exclusive and exhaustive; the batch was sealed, not deleted</w:t>
            </w:r>
          </w:p>
        </w:tc>
        <w:tc>
          <w:tcPr/>
          <w:p>
            <w:pPr>
              <w:pStyle w:val="Compact"/>
              <w:jc w:val="left"/>
            </w:pPr>
            <w:r>
              <w:t xml:space="preserve">post hoc</w:t>
            </w:r>
          </w:p>
        </w:tc>
        <w:tc>
          <w:tcPr/>
          <w:p>
            <w:pPr>
              <w:pStyle w:val="Compact"/>
              <w:jc w:val="left"/>
            </w:pPr>
            <w:r>
              <w:t xml:space="preserve">disclosure</w:t>
            </w:r>
          </w:p>
        </w:tc>
        <w:tc>
          <w:tcPr/>
          <w:p>
            <w:pPr>
              <w:pStyle w:val="Compact"/>
              <w:jc w:val="left"/>
            </w:pPr>
            <w:r>
              <w:t xml:space="preserve">—（未对应平台编号）</w:t>
            </w:r>
          </w:p>
        </w:tc>
      </w:tr>
      <w:tr>
        <w:tc>
          <w:tcPr/>
          <w:p>
            <w:pPr>
              <w:pStyle w:val="Compact"/>
              <w:jc w:val="left"/>
            </w:pPr>
            <w:r>
              <w:t xml:space="preserve">V10</w:t>
            </w:r>
          </w:p>
        </w:tc>
        <w:tc>
          <w:tcPr/>
          <w:p>
            <w:pPr>
              <w:pStyle w:val="Compact"/>
              <w:jc w:val="left"/>
            </w:pPr>
            <w:r>
              <w:t xml:space="preserve">09-27</w:t>
            </w:r>
          </w:p>
        </w:tc>
        <w:tc>
          <w:tcPr/>
          <w:p>
            <w:pPr>
              <w:pStyle w:val="Compact"/>
              <w:jc w:val="left"/>
            </w:pPr>
            <w:r>
              <w:t xml:space="preserve">Update registered before the full-text re-analysis of the 971 unmatched citation judgments (S7)</w:t>
            </w:r>
          </w:p>
        </w:tc>
        <w:tc>
          <w:tcPr/>
          <w:p>
            <w:pPr>
              <w:pStyle w:val="Compact"/>
              <w:jc w:val="left"/>
            </w:pPr>
            <w:r>
              <w:t xml:space="preserve">Fix the re-analysis procedure before it was run</w:t>
            </w:r>
          </w:p>
        </w:tc>
        <w:tc>
          <w:tcPr/>
          <w:p>
            <w:pPr>
              <w:pStyle w:val="Compact"/>
              <w:jc w:val="left"/>
            </w:pPr>
            <w:r>
              <w:t xml:space="preserve">registered update</w:t>
            </w:r>
          </w:p>
        </w:tc>
        <w:tc>
          <w:tcPr/>
          <w:p>
            <w:pPr>
              <w:pStyle w:val="Compact"/>
              <w:jc w:val="left"/>
            </w:pPr>
            <w:r>
              <w:t xml:space="preserve">update</w:t>
            </w:r>
          </w:p>
        </w:tc>
        <w:tc>
          <w:tcPr/>
          <w:p>
            <w:pPr>
              <w:pStyle w:val="Compact"/>
              <w:jc w:val="left"/>
            </w:pPr>
            <w:r>
              <w:t xml:space="preserve">—（未对应平台编号）</w:t>
            </w:r>
          </w:p>
        </w:tc>
      </w:tr>
      <w:tr>
        <w:tc>
          <w:tcPr/>
          <w:p>
            <w:pPr>
              <w:pStyle w:val="Compact"/>
              <w:jc w:val="left"/>
            </w:pPr>
            <w:r>
              <w:t xml:space="preserve">V11</w:t>
            </w:r>
          </w:p>
        </w:tc>
        <w:tc>
          <w:tcPr/>
          <w:p>
            <w:pPr>
              <w:pStyle w:val="Compact"/>
              <w:jc w:val="left"/>
            </w:pPr>
            <w:r>
              <w:t xml:space="preserve">09-29</w:t>
            </w:r>
          </w:p>
        </w:tc>
        <w:tc>
          <w:tcPr/>
          <w:p>
            <w:pPr>
              <w:pStyle w:val="Compact"/>
              <w:jc w:val="left"/>
            </w:pPr>
            <w:r>
              <w:t xml:space="preserve">Eligibility re-adjudication</w:t>
            </w:r>
          </w:p>
        </w:tc>
        <w:tc>
          <w:tcPr/>
          <w:p>
            <w:pPr>
              <w:pStyle w:val="Compact"/>
              <w:jc w:val="left"/>
            </w:pPr>
            <w:r>
              <w:t xml:space="preserve">Record the post-hoc re-adjudication of eligibility against the existing screening rule (115 coded records examined: 107 excluded, 6 unresolved, 2 confirmed); included set 390 → 277</w:t>
            </w:r>
          </w:p>
        </w:tc>
        <w:tc>
          <w:tcPr/>
          <w:p>
            <w:pPr>
              <w:pStyle w:val="Compact"/>
              <w:jc w:val="left"/>
            </w:pPr>
            <w:r>
              <w:t xml:space="preserve">post hoc; registered 2026-09-29 as OSF Update No.5 (response 6abbbcf710930dd26edbef04)</w:t>
            </w:r>
          </w:p>
        </w:tc>
        <w:tc>
          <w:tcPr/>
          <w:p>
            <w:pPr>
              <w:pStyle w:val="Compact"/>
              <w:jc w:val="left"/>
            </w:pPr>
            <w:r>
              <w:t xml:space="preserve">update</w:t>
            </w:r>
          </w:p>
        </w:tc>
        <w:tc>
          <w:tcPr/>
          <w:p>
            <w:pPr>
              <w:pStyle w:val="Compact"/>
              <w:jc w:val="left"/>
            </w:pPr>
            <w:r>
              <w:t xml:space="preserve">mhjtz / OSF Update No.5</w:t>
            </w:r>
          </w:p>
        </w:tc>
      </w:tr>
    </w:tbl>
    <w:p>
      <w:pPr>
        <w:pStyle w:val="BodyText"/>
      </w:pPr>
      <w:r>
        <w:rPr>
          <w:bCs/>
          <w:b/>
        </w:rPr>
        <w:t xml:space="preserve">Data-visibility chronology (dates from Supplementary Table S5 and frozen records).</w:t>
      </w:r>
      <w:r>
        <w:t xml:space="preserve"> </w:t>
      </w:r>
      <w:r>
        <w:t xml:space="preserve">V−1 2026-08-30 (osf.io/rx8sm); V0/V1 2026-09-12 (osf.io/mhjtz); V2 2026-09-13 to 2026-09-20; V3 2026-09-20; V4 2026-09-21; V5 2026-09-22; V6 2026-09-23; V7 2026-09-25 (osf.io/xm6kq); V8 2026-09-25 to 2026-09-26; V9 2026-09-26; V10 2026-09-27; frozen extraction file 2026-09-28; eligibility re-adjudication 2026-09-29. Formal extraction timeline (from the charting-pilot registration and frozen records): 2026-09-14 charting pilot registered (design fixed); 2026-09-19 after the third batch was returned, the included set was aggregated and the sampling script was run; formal extraction began after the 2026-09-19 inclusion-set/sampling freeze; 2026-09-28 extraction file frozen (</w:t>
      </w:r>
      <w:r>
        <w:rPr>
          <w:rStyle w:val="VerbatimChar"/>
        </w:rPr>
        <w:t xml:space="preserve">extraction-A.csv</w:t>
      </w:r>
      <w:r>
        <w:t xml:space="preserve">, MD5 dad0bf229ca02c2262df497e116eb867); 2026-09-29 eligibility re-adjudication. The formal extraction end date is anchored to the 2026-09-28 extraction-file freeze date.</w:t>
      </w:r>
    </w:p>
    <w:bookmarkEnd w:id="35"/>
    <w:bookmarkStart w:id="36" w:name="s6.-cells-not-verified-before-submission"/>
    <w:p>
      <w:pPr>
        <w:pStyle w:val="Heading2"/>
      </w:pPr>
      <w:r>
        <w:t xml:space="preserve">S6. Cells not verified before submission</w:t>
      </w:r>
    </w:p>
    <w:p>
      <w:pPr>
        <w:pStyle w:val="FirstParagraph"/>
      </w:pPr>
      <w:r>
        <w:t xml:space="preserve">Twelve cells remained unverified at the time of submission. They belong to auxiliary screening-verification and cross-use re-coding tasks; none enters the coded corpus of 390 records, the 277 included reports, the 29-field coding, the 9,415 citation judgments or the 115-row attribution ledger, so no reported estimate depends on them. Their identifiers are listed so this boundary is auditable. The frozen denominators — 9,415 citation judgments, 390 reports and the 115-row attribution frame — are stated before this listing and are not reduced by it; no estimate was recomputed after the listing. The model-family names in the table below identify the models studied in the audited literature, not the tools used to prepare this manuscript. One screening_id, S-02909, appears in two distinct records: a screening-verification cell (model family GPT) in this list and an attribution-ledger cell (field intended_use_explicitly_reported) in Supplementary Table S4b. These are distinct tasks keyed on different fields and are not the same record. The completed PRISMA 2020 checklist is supplied as a separate package file (PRISMA-2020-Checklist.md).</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source task</w:t>
            </w:r>
          </w:p>
        </w:tc>
        <w:tc>
          <w:tcPr/>
          <w:p>
            <w:pPr>
              <w:pStyle w:val="Compact"/>
              <w:jc w:val="left"/>
            </w:pPr>
            <w:r>
              <w:t xml:space="preserve">key</w:t>
            </w:r>
          </w:p>
        </w:tc>
        <w:tc>
          <w:tcPr/>
          <w:p>
            <w:pPr>
              <w:pStyle w:val="Compact"/>
              <w:jc w:val="left"/>
            </w:pPr>
            <w:r>
              <w:t xml:space="preserve">model family / field</w:t>
            </w:r>
          </w:p>
        </w:tc>
        <w:tc>
          <w:tcPr/>
          <w:p>
            <w:pPr>
              <w:pStyle w:val="Compact"/>
              <w:jc w:val="left"/>
            </w:pPr>
            <w:r>
              <w:t xml:space="preserve">coder A</w:t>
            </w:r>
          </w:p>
        </w:tc>
        <w:tc>
          <w:tcPr/>
          <w:p>
            <w:pPr>
              <w:pStyle w:val="Compact"/>
              <w:jc w:val="left"/>
            </w:pPr>
            <w:r>
              <w:t xml:space="preserve">coder B</w:t>
            </w:r>
          </w:p>
        </w:tc>
        <w:tc>
          <w:tcPr/>
          <w:p>
            <w:pPr>
              <w:pStyle w:val="Compact"/>
              <w:jc w:val="left"/>
            </w:pPr>
            <w:r>
              <w:t xml:space="preserve">status</w:t>
            </w:r>
          </w:p>
        </w:tc>
      </w:tr>
      <w:tr>
        <w:tc>
          <w:tcPr/>
          <w:p>
            <w:pPr>
              <w:pStyle w:val="Compact"/>
              <w:jc w:val="left"/>
            </w:pPr>
            <w:r>
              <w:t xml:space="preserve">screening verification</w:t>
            </w:r>
          </w:p>
        </w:tc>
        <w:tc>
          <w:tcPr/>
          <w:p>
            <w:pPr>
              <w:pStyle w:val="Compact"/>
              <w:jc w:val="left"/>
            </w:pPr>
            <w:r>
              <w:t xml:space="preserve">S-00637</w:t>
            </w:r>
          </w:p>
        </w:tc>
        <w:tc>
          <w:tcPr/>
          <w:p>
            <w:pPr>
              <w:pStyle w:val="Compact"/>
              <w:jc w:val="left"/>
            </w:pPr>
            <w:r>
              <w:t xml:space="preserve">Gemini</w:t>
            </w:r>
          </w:p>
        </w:tc>
        <w:tc>
          <w:tcPr/>
          <w:p>
            <w:pPr>
              <w:pStyle w:val="Compact"/>
              <w:jc w:val="left"/>
            </w:pPr>
            <w:r>
              <w:t xml:space="preserve">no</w:t>
            </w:r>
          </w:p>
        </w:tc>
        <w:tc>
          <w:tcPr/>
          <w:p>
            <w:pPr>
              <w:pStyle w:val="Compact"/>
              <w:jc w:val="left"/>
            </w:pPr>
            <w:r>
              <w:t xml:space="preserve">yes</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S-01240</w:t>
            </w:r>
          </w:p>
        </w:tc>
        <w:tc>
          <w:tcPr/>
          <w:p>
            <w:pPr>
              <w:pStyle w:val="Compact"/>
              <w:jc w:val="left"/>
            </w:pPr>
            <w:r>
              <w:t xml:space="preserve">GPT</w:t>
            </w:r>
          </w:p>
        </w:tc>
        <w:tc>
          <w:tcPr/>
          <w:p>
            <w:pPr>
              <w:pStyle w:val="Compact"/>
              <w:jc w:val="left"/>
            </w:pPr>
            <w:r>
              <w:t xml:space="preserve">no</w:t>
            </w:r>
          </w:p>
        </w:tc>
        <w:tc>
          <w:tcPr/>
          <w:p>
            <w:pPr>
              <w:pStyle w:val="Compact"/>
              <w:jc w:val="left"/>
            </w:pPr>
            <w:r>
              <w:t xml:space="preserve">yes</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S-02311</w:t>
            </w:r>
          </w:p>
        </w:tc>
        <w:tc>
          <w:tcPr/>
          <w:p>
            <w:pPr>
              <w:pStyle w:val="Compact"/>
              <w:jc w:val="left"/>
            </w:pPr>
            <w:r>
              <w:t xml:space="preserve">Gemini</w:t>
            </w:r>
          </w:p>
        </w:tc>
        <w:tc>
          <w:tcPr/>
          <w:p>
            <w:pPr>
              <w:pStyle w:val="Compact"/>
              <w:jc w:val="left"/>
            </w:pPr>
            <w:r>
              <w:t xml:space="preserve">yes</w:t>
            </w:r>
          </w:p>
        </w:tc>
        <w:tc>
          <w:tcPr/>
          <w:p>
            <w:pPr>
              <w:pStyle w:val="Compact"/>
              <w:jc w:val="left"/>
            </w:pPr>
            <w:r>
              <w:t xml:space="preserve">no</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S-02469</w:t>
            </w:r>
          </w:p>
        </w:tc>
        <w:tc>
          <w:tcPr/>
          <w:p>
            <w:pPr>
              <w:pStyle w:val="Compact"/>
              <w:jc w:val="left"/>
            </w:pPr>
            <w:r>
              <w:t xml:space="preserve">GPT</w:t>
            </w:r>
          </w:p>
        </w:tc>
        <w:tc>
          <w:tcPr/>
          <w:p>
            <w:pPr>
              <w:pStyle w:val="Compact"/>
              <w:jc w:val="left"/>
            </w:pPr>
            <w:r>
              <w:t xml:space="preserve">yes</w:t>
            </w:r>
          </w:p>
        </w:tc>
        <w:tc>
          <w:tcPr/>
          <w:p>
            <w:pPr>
              <w:pStyle w:val="Compact"/>
              <w:jc w:val="left"/>
            </w:pPr>
            <w:r>
              <w:t xml:space="preserve">no</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S-02737</w:t>
            </w:r>
          </w:p>
        </w:tc>
        <w:tc>
          <w:tcPr/>
          <w:p>
            <w:pPr>
              <w:pStyle w:val="Compact"/>
              <w:jc w:val="left"/>
            </w:pPr>
            <w:r>
              <w:t xml:space="preserve">BLIP</w:t>
            </w:r>
          </w:p>
        </w:tc>
        <w:tc>
          <w:tcPr/>
          <w:p>
            <w:pPr>
              <w:pStyle w:val="Compact"/>
              <w:jc w:val="left"/>
            </w:pPr>
            <w:r>
              <w:t xml:space="preserve">no</w:t>
            </w:r>
          </w:p>
        </w:tc>
        <w:tc>
          <w:tcPr/>
          <w:p>
            <w:pPr>
              <w:pStyle w:val="Compact"/>
              <w:jc w:val="left"/>
            </w:pPr>
            <w:r>
              <w:t xml:space="preserve">yes</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S-02737</w:t>
            </w:r>
          </w:p>
        </w:tc>
        <w:tc>
          <w:tcPr/>
          <w:p>
            <w:pPr>
              <w:pStyle w:val="Compact"/>
              <w:jc w:val="left"/>
            </w:pPr>
            <w:r>
              <w:t xml:space="preserve">CLIP</w:t>
            </w:r>
          </w:p>
        </w:tc>
        <w:tc>
          <w:tcPr/>
          <w:p>
            <w:pPr>
              <w:pStyle w:val="Compact"/>
              <w:jc w:val="left"/>
            </w:pPr>
            <w:r>
              <w:t xml:space="preserve">no</w:t>
            </w:r>
          </w:p>
        </w:tc>
        <w:tc>
          <w:tcPr/>
          <w:p>
            <w:pPr>
              <w:pStyle w:val="Compact"/>
              <w:jc w:val="left"/>
            </w:pPr>
            <w:r>
              <w:t xml:space="preserve">yes</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S-02909</w:t>
            </w:r>
          </w:p>
        </w:tc>
        <w:tc>
          <w:tcPr/>
          <w:p>
            <w:pPr>
              <w:pStyle w:val="Compact"/>
              <w:jc w:val="left"/>
            </w:pPr>
            <w:r>
              <w:t xml:space="preserve">GPT</w:t>
            </w:r>
          </w:p>
        </w:tc>
        <w:tc>
          <w:tcPr/>
          <w:p>
            <w:pPr>
              <w:pStyle w:val="Compact"/>
              <w:jc w:val="left"/>
            </w:pPr>
            <w:r>
              <w:t xml:space="preserve">yes</w:t>
            </w:r>
          </w:p>
        </w:tc>
        <w:tc>
          <w:tcPr/>
          <w:p>
            <w:pPr>
              <w:pStyle w:val="Compact"/>
              <w:jc w:val="left"/>
            </w:pPr>
            <w:r>
              <w:t xml:space="preserve">no</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S-04983</w:t>
            </w:r>
          </w:p>
        </w:tc>
        <w:tc>
          <w:tcPr/>
          <w:p>
            <w:pPr>
              <w:pStyle w:val="Compact"/>
              <w:jc w:val="left"/>
            </w:pPr>
            <w:r>
              <w:t xml:space="preserve">GPT</w:t>
            </w:r>
          </w:p>
        </w:tc>
        <w:tc>
          <w:tcPr/>
          <w:p>
            <w:pPr>
              <w:pStyle w:val="Compact"/>
              <w:jc w:val="left"/>
            </w:pPr>
            <w:r>
              <w:t xml:space="preserve">yes</w:t>
            </w:r>
          </w:p>
        </w:tc>
        <w:tc>
          <w:tcPr/>
          <w:p>
            <w:pPr>
              <w:pStyle w:val="Compact"/>
              <w:jc w:val="left"/>
            </w:pPr>
            <w:r>
              <w:t xml:space="preserve">no</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S-05036</w:t>
            </w:r>
          </w:p>
        </w:tc>
        <w:tc>
          <w:tcPr/>
          <w:p>
            <w:pPr>
              <w:pStyle w:val="Compact"/>
              <w:jc w:val="left"/>
            </w:pPr>
            <w:r>
              <w:t xml:space="preserve">Gemini</w:t>
            </w:r>
          </w:p>
        </w:tc>
        <w:tc>
          <w:tcPr/>
          <w:p>
            <w:pPr>
              <w:pStyle w:val="Compact"/>
              <w:jc w:val="left"/>
            </w:pPr>
            <w:r>
              <w:t xml:space="preserve">no</w:t>
            </w:r>
          </w:p>
        </w:tc>
        <w:tc>
          <w:tcPr/>
          <w:p>
            <w:pPr>
              <w:pStyle w:val="Compact"/>
              <w:jc w:val="left"/>
            </w:pPr>
            <w:r>
              <w:t xml:space="preserve">yes</w:t>
            </w:r>
          </w:p>
        </w:tc>
        <w:tc>
          <w:tcPr/>
          <w:p>
            <w:pPr>
              <w:pStyle w:val="Compact"/>
              <w:jc w:val="left"/>
            </w:pPr>
            <w:r>
              <w:t xml:space="preserve">unverified (not adjudicated)</w:t>
            </w:r>
          </w:p>
        </w:tc>
      </w:tr>
      <w:tr>
        <w:tc>
          <w:tcPr/>
          <w:p>
            <w:pPr>
              <w:pStyle w:val="Compact"/>
              <w:jc w:val="left"/>
            </w:pPr>
            <w:r>
              <w:t xml:space="preserve">screening verification</w:t>
            </w:r>
          </w:p>
        </w:tc>
        <w:tc>
          <w:tcPr/>
          <w:p>
            <w:pPr>
              <w:pStyle w:val="Compact"/>
              <w:jc w:val="left"/>
            </w:pPr>
            <w:r>
              <w:t xml:space="preserve">S-06645</w:t>
            </w:r>
          </w:p>
        </w:tc>
        <w:tc>
          <w:tcPr/>
          <w:p>
            <w:pPr>
              <w:pStyle w:val="Compact"/>
              <w:jc w:val="left"/>
            </w:pPr>
            <w:r>
              <w:t xml:space="preserve">GPT</w:t>
            </w:r>
          </w:p>
        </w:tc>
        <w:tc>
          <w:tcPr/>
          <w:p>
            <w:pPr>
              <w:pStyle w:val="Compact"/>
              <w:jc w:val="left"/>
            </w:pPr>
            <w:r>
              <w:t xml:space="preserve">yes</w:t>
            </w:r>
          </w:p>
        </w:tc>
        <w:tc>
          <w:tcPr/>
          <w:p>
            <w:pPr>
              <w:pStyle w:val="Compact"/>
              <w:jc w:val="left"/>
            </w:pPr>
            <w:r>
              <w:t xml:space="preserve">no</w:t>
            </w:r>
          </w:p>
        </w:tc>
        <w:tc>
          <w:tcPr/>
          <w:p>
            <w:pPr>
              <w:pStyle w:val="Compact"/>
              <w:jc w:val="left"/>
            </w:pPr>
            <w:r>
              <w:t xml:space="preserve">unverified (not adjudicated)</w:t>
            </w:r>
          </w:p>
        </w:tc>
      </w:tr>
      <w:tr>
        <w:tc>
          <w:tcPr/>
          <w:p>
            <w:pPr>
              <w:pStyle w:val="Compact"/>
              <w:jc w:val="left"/>
            </w:pPr>
            <w:r>
              <w:t xml:space="preserve">cross-use re-coding</w:t>
            </w:r>
          </w:p>
        </w:tc>
        <w:tc>
          <w:tcPr/>
          <w:p>
            <w:pPr>
              <w:pStyle w:val="Compact"/>
              <w:jc w:val="left"/>
            </w:pPr>
            <w:r>
              <w:t xml:space="preserve">S-03184</w:t>
            </w:r>
          </w:p>
        </w:tc>
        <w:tc>
          <w:tcPr/>
          <w:p>
            <w:pPr>
              <w:pStyle w:val="Compact"/>
              <w:jc w:val="left"/>
            </w:pPr>
            <w:r>
              <w:t xml:space="preserve">Claude</w:t>
            </w:r>
          </w:p>
        </w:tc>
        <w:tc>
          <w:tcPr/>
          <w:p>
            <w:pPr>
              <w:pStyle w:val="Compact"/>
              <w:jc w:val="left"/>
            </w:pPr>
            <w:r>
              <w:t xml:space="preserve">internal_same_source</w:t>
            </w:r>
          </w:p>
        </w:tc>
        <w:tc>
          <w:tcPr/>
          <w:p>
            <w:pPr>
              <w:pStyle w:val="Compact"/>
              <w:jc w:val="left"/>
            </w:pPr>
            <w:r>
              <w:t xml:space="preserve">external_dataset</w:t>
            </w:r>
          </w:p>
        </w:tc>
        <w:tc>
          <w:tcPr/>
          <w:p>
            <w:pPr>
              <w:pStyle w:val="Compact"/>
              <w:jc w:val="left"/>
            </w:pPr>
            <w:r>
              <w:t xml:space="preserve">unverified (not located)</w:t>
            </w:r>
          </w:p>
        </w:tc>
      </w:tr>
      <w:tr>
        <w:tc>
          <w:tcPr/>
          <w:p>
            <w:pPr>
              <w:pStyle w:val="Compact"/>
              <w:jc w:val="left"/>
            </w:pPr>
            <w:r>
              <w:t xml:space="preserve">cross-use re-coding</w:t>
            </w:r>
          </w:p>
        </w:tc>
        <w:tc>
          <w:tcPr/>
          <w:p>
            <w:pPr>
              <w:pStyle w:val="Compact"/>
              <w:jc w:val="left"/>
            </w:pPr>
            <w:r>
              <w:t xml:space="preserve">S-03184</w:t>
            </w:r>
          </w:p>
        </w:tc>
        <w:tc>
          <w:tcPr/>
          <w:p>
            <w:pPr>
              <w:pStyle w:val="Compact"/>
              <w:jc w:val="left"/>
            </w:pPr>
            <w:r>
              <w:t xml:space="preserve">Gemini</w:t>
            </w:r>
          </w:p>
        </w:tc>
        <w:tc>
          <w:tcPr/>
          <w:p>
            <w:pPr>
              <w:pStyle w:val="Compact"/>
              <w:jc w:val="left"/>
            </w:pPr>
            <w:r>
              <w:t xml:space="preserve">internal_same_source</w:t>
            </w:r>
          </w:p>
        </w:tc>
        <w:tc>
          <w:tcPr/>
          <w:p>
            <w:pPr>
              <w:pStyle w:val="Compact"/>
              <w:jc w:val="left"/>
            </w:pPr>
            <w:r>
              <w:t xml:space="preserve">external_dataset</w:t>
            </w:r>
          </w:p>
        </w:tc>
        <w:tc>
          <w:tcPr/>
          <w:p>
            <w:pPr>
              <w:pStyle w:val="Compact"/>
              <w:jc w:val="left"/>
            </w:pPr>
            <w:r>
              <w:t xml:space="preserve">unverified (not located)</w:t>
            </w:r>
          </w:p>
        </w:tc>
      </w:tr>
    </w:tbl>
    <w:p>
      <w:r>
        <w:pict>
          <v:rect style="width:0;height:1.5pt" o:hralign="center" o:hrstd="t" o:hr="t"/>
        </w:pict>
      </w:r>
    </w:p>
    <w:bookmarkEnd w:id="36"/>
    <w:bookmarkStart w:id="47" w:name="X70f0462de49f3c146e4a81dcf43624e710ab7af"/>
    <w:p>
      <w:pPr>
        <w:pStyle w:val="Heading2"/>
      </w:pPr>
      <w:r>
        <w:t xml:space="preserve">S7. Execution record of the re-run under the rebuilt rule set (exploratory process record; post hoc)</w:t>
      </w:r>
    </w:p>
    <w:p>
      <w:pPr>
        <w:pStyle w:val="FirstParagraph"/>
      </w:pPr>
      <w:r>
        <w:t xml:space="preserve">After the quality-control batch was voided (S4), the rule table was rebuilt and frozen (SHA-256, first 12 characters</w:t>
      </w:r>
      <w:r>
        <w:t xml:space="preserve"> </w:t>
      </w:r>
      <w:r>
        <w:rPr>
          <w:rStyle w:val="VerbatimChar"/>
        </w:rPr>
        <w:t xml:space="preserve">31fefb635dbe</w:t>
      </w:r>
      <w:r>
        <w:t xml:space="preserve">) and the affected judgments were re-run.</w:t>
      </w:r>
      <w:r>
        <w:t xml:space="preserve"> </w:t>
      </w:r>
      <w:r>
        <w:rPr>
          <w:bCs/>
          <w:b/>
        </w:rPr>
        <w:t xml:space="preserve">No figure in this section replaces or modifies the main results</w:t>
      </w:r>
      <w:r>
        <w:t xml:space="preserve">, which come from the frozen first-round records and remain post hoc.</w:t>
      </w:r>
    </w:p>
    <w:p>
      <w:pPr>
        <w:pStyle w:val="BodyText"/>
      </w:pPr>
      <w:r>
        <w:rPr>
          <w:bCs/>
          <w:b/>
        </w:rPr>
        <w:t xml:space="preserve">Parallel-layer overview.</w:t>
      </w:r>
      <w:r>
        <w:t xml:space="preserve"> </w:t>
      </w:r>
      <w:r>
        <w:t xml:space="preserve">The records below fall into three classes; only the first enters the conclusions.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class</w:t>
            </w:r>
          </w:p>
        </w:tc>
        <w:tc>
          <w:tcPr/>
          <w:p>
            <w:pPr>
              <w:pStyle w:val="Compact"/>
              <w:jc w:val="left"/>
            </w:pPr>
            <w:r>
              <w:t xml:space="preserve">track</w:t>
            </w:r>
          </w:p>
        </w:tc>
        <w:tc>
          <w:tcPr/>
          <w:p>
            <w:pPr>
              <w:pStyle w:val="Compact"/>
              <w:jc w:val="left"/>
            </w:pPr>
            <w:r>
              <w:t xml:space="preserve">unit / denominator</w:t>
            </w:r>
          </w:p>
        </w:tc>
        <w:tc>
          <w:tcPr/>
          <w:p>
            <w:pPr>
              <w:pStyle w:val="Compact"/>
              <w:jc w:val="left"/>
            </w:pPr>
            <w:r>
              <w:t xml:space="preserve">n</w:t>
            </w:r>
          </w:p>
        </w:tc>
        <w:tc>
          <w:tcPr/>
          <w:p>
            <w:pPr>
              <w:pStyle w:val="Compact"/>
              <w:jc w:val="left"/>
            </w:pPr>
            <w:r>
              <w:t xml:space="preserve">purpose</w:t>
            </w:r>
          </w:p>
        </w:tc>
        <w:tc>
          <w:tcPr/>
          <w:p>
            <w:pPr>
              <w:pStyle w:val="Compact"/>
              <w:jc w:val="left"/>
            </w:pPr>
            <w:r>
              <w:t xml:space="preserve">replaces main result</w:t>
            </w:r>
          </w:p>
        </w:tc>
      </w:tr>
      <w:tr>
        <w:tc>
          <w:tcPr/>
          <w:p>
            <w:pPr>
              <w:pStyle w:val="Compact"/>
              <w:jc w:val="left"/>
            </w:pPr>
            <w:r>
              <w:t xml:space="preserve">① main (frozen)</w:t>
            </w:r>
          </w:p>
        </w:tc>
        <w:tc>
          <w:tcPr/>
          <w:p>
            <w:pPr>
              <w:pStyle w:val="Compact"/>
              <w:jc w:val="left"/>
            </w:pPr>
            <w:r>
              <w:t xml:space="preserve">anchoring tiers</w:t>
            </w:r>
          </w:p>
        </w:tc>
        <w:tc>
          <w:tcPr/>
          <w:p>
            <w:pPr>
              <w:pStyle w:val="Compact"/>
              <w:jc w:val="left"/>
            </w:pPr>
            <w:r>
              <w:t xml:space="preserve">citation judgments</w:t>
            </w:r>
          </w:p>
        </w:tc>
        <w:tc>
          <w:tcPr/>
          <w:p>
            <w:pPr>
              <w:pStyle w:val="Compact"/>
              <w:jc w:val="left"/>
            </w:pPr>
            <w:r>
              <w:t xml:space="preserve">9,415</w:t>
            </w:r>
          </w:p>
        </w:tc>
        <w:tc>
          <w:tcPr/>
          <w:p>
            <w:pPr>
              <w:pStyle w:val="Compact"/>
              <w:jc w:val="left"/>
            </w:pPr>
            <w:r>
              <w:t xml:space="preserve">main-text result (6,215 / 2,229 / 971)</w:t>
            </w:r>
          </w:p>
        </w:tc>
        <w:tc>
          <w:tcPr/>
          <w:p>
            <w:pPr>
              <w:pStyle w:val="Compact"/>
              <w:jc w:val="left"/>
            </w:pPr>
            <w:r>
              <w:t xml:space="preserve">— (is the main result)</w:t>
            </w:r>
          </w:p>
        </w:tc>
      </w:tr>
      <w:tr>
        <w:tc>
          <w:tcPr/>
          <w:p>
            <w:pPr>
              <w:pStyle w:val="Compact"/>
              <w:jc w:val="left"/>
            </w:pPr>
            <w:r>
              <w:t xml:space="preserve">② parallel</w:t>
            </w:r>
          </w:p>
        </w:tc>
        <w:tc>
          <w:tcPr/>
          <w:p>
            <w:pPr>
              <w:pStyle w:val="Compact"/>
              <w:jc w:val="left"/>
            </w:pPr>
            <w:r>
              <w:t xml:space="preserve">971 full-text re-run</w:t>
            </w:r>
          </w:p>
        </w:tc>
        <w:tc>
          <w:tcPr/>
          <w:p>
            <w:pPr>
              <w:pStyle w:val="Compact"/>
              <w:jc w:val="left"/>
            </w:pPr>
            <w:r>
              <w:t xml:space="preserve">unmatched citations</w:t>
            </w:r>
          </w:p>
        </w:tc>
        <w:tc>
          <w:tcPr/>
          <w:p>
            <w:pPr>
              <w:pStyle w:val="Compact"/>
              <w:jc w:val="left"/>
            </w:pPr>
            <w:r>
              <w:t xml:space="preserve">971</w:t>
            </w:r>
          </w:p>
        </w:tc>
        <w:tc>
          <w:tcPr/>
          <w:p>
            <w:pPr>
              <w:pStyle w:val="Compact"/>
              <w:jc w:val="left"/>
            </w:pPr>
            <w:r>
              <w:t xml:space="preserve">re-check first-round</w:t>
            </w:r>
            <w:r>
              <w:t xml:space="preserve"> </w:t>
            </w:r>
            <w:r>
              <w:t xml:space="preserve">“</w:t>
            </w:r>
            <w:r>
              <w:t xml:space="preserve">source not found</w:t>
            </w:r>
            <w:r>
              <w:t xml:space="preserve">”</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721 multi-citation stop-rule re-run</w:t>
            </w:r>
          </w:p>
        </w:tc>
        <w:tc>
          <w:tcPr/>
          <w:p>
            <w:pPr>
              <w:pStyle w:val="Compact"/>
              <w:jc w:val="left"/>
            </w:pPr>
            <w:r>
              <w:t xml:space="preserve">multi-citation-cell citations</w:t>
            </w:r>
          </w:p>
        </w:tc>
        <w:tc>
          <w:tcPr/>
          <w:p>
            <w:pPr>
              <w:pStyle w:val="Compact"/>
              <w:jc w:val="left"/>
            </w:pPr>
            <w:r>
              <w:t xml:space="preserve">721 (594 cells)</w:t>
            </w:r>
          </w:p>
        </w:tc>
        <w:tc>
          <w:tcPr/>
          <w:p>
            <w:pPr>
              <w:pStyle w:val="Compact"/>
              <w:jc w:val="left"/>
            </w:pPr>
            <w:r>
              <w:t xml:space="preserve">stop-rule full coverage</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200 / 521 batches</w:t>
            </w:r>
          </w:p>
        </w:tc>
        <w:tc>
          <w:tcPr/>
          <w:p>
            <w:pPr>
              <w:pStyle w:val="Compact"/>
              <w:jc w:val="left"/>
            </w:pPr>
            <w:r>
              <w:t xml:space="preserve">within the 721 frame</w:t>
            </w:r>
          </w:p>
        </w:tc>
        <w:tc>
          <w:tcPr/>
          <w:p>
            <w:pPr>
              <w:pStyle w:val="Compact"/>
              <w:jc w:val="left"/>
            </w:pPr>
            <w:r>
              <w:t xml:space="preserve">200 + 521</w:t>
            </w:r>
          </w:p>
        </w:tc>
        <w:tc>
          <w:tcPr/>
          <w:p>
            <w:pPr>
              <w:pStyle w:val="Compact"/>
              <w:jc w:val="left"/>
            </w:pPr>
            <w:r>
              <w:t xml:space="preserve">stop-rule staged coding</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200 re-sampling</w:t>
            </w:r>
          </w:p>
        </w:tc>
        <w:tc>
          <w:tcPr/>
          <w:p>
            <w:pPr>
              <w:pStyle w:val="Compact"/>
              <w:jc w:val="left"/>
            </w:pPr>
            <w:r>
              <w:t xml:space="preserve">units</w:t>
            </w:r>
          </w:p>
        </w:tc>
        <w:tc>
          <w:tcPr/>
          <w:p>
            <w:pPr>
              <w:pStyle w:val="Compact"/>
              <w:jc w:val="left"/>
            </w:pPr>
            <w:r>
              <w:t xml:space="preserve">200</w:t>
            </w:r>
          </w:p>
        </w:tc>
        <w:tc>
          <w:tcPr/>
          <w:p>
            <w:pPr>
              <w:pStyle w:val="Compact"/>
              <w:jc w:val="left"/>
            </w:pPr>
            <w:r>
              <w:t xml:space="preserve">stop-rule trigger (T3 &gt; 5%)</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30-row blind-set probe</w:t>
            </w:r>
          </w:p>
        </w:tc>
        <w:tc>
          <w:tcPr/>
          <w:p>
            <w:pPr>
              <w:pStyle w:val="Compact"/>
              <w:jc w:val="left"/>
            </w:pPr>
            <w:r>
              <w:t xml:space="preserve">source-presence disagreement rows</w:t>
            </w:r>
          </w:p>
        </w:tc>
        <w:tc>
          <w:tcPr/>
          <w:p>
            <w:pPr>
              <w:pStyle w:val="Compact"/>
              <w:jc w:val="left"/>
            </w:pPr>
            <w:r>
              <w:t xml:space="preserve">30</w:t>
            </w:r>
          </w:p>
        </w:tc>
        <w:tc>
          <w:tcPr/>
          <w:p>
            <w:pPr>
              <w:pStyle w:val="Compact"/>
              <w:jc w:val="left"/>
            </w:pPr>
            <w:r>
              <w:t xml:space="preserve">test first-round truncation</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610-row arbitration (three batches)</w:t>
            </w:r>
          </w:p>
        </w:tc>
        <w:tc>
          <w:tcPr/>
          <w:p>
            <w:pPr>
              <w:pStyle w:val="Compact"/>
              <w:jc w:val="left"/>
            </w:pPr>
            <w:r>
              <w:t xml:space="preserve">disagreement rows</w:t>
            </w:r>
          </w:p>
        </w:tc>
        <w:tc>
          <w:tcPr/>
          <w:p>
            <w:pPr>
              <w:pStyle w:val="Compact"/>
              <w:jc w:val="left"/>
            </w:pPr>
            <w:r>
              <w:t xml:space="preserve">610</w:t>
            </w:r>
          </w:p>
        </w:tc>
        <w:tc>
          <w:tcPr/>
          <w:p>
            <w:pPr>
              <w:pStyle w:val="Compact"/>
              <w:jc w:val="left"/>
            </w:pPr>
            <w:r>
              <w:t xml:space="preserve">third-arbiter adjudication</w:t>
            </w:r>
          </w:p>
        </w:tc>
        <w:tc>
          <w:tcPr/>
          <w:p>
            <w:pPr>
              <w:pStyle w:val="Compact"/>
              <w:jc w:val="left"/>
            </w:pPr>
            <w:r>
              <w:t xml:space="preserve">no</w:t>
            </w:r>
          </w:p>
        </w:tc>
      </w:tr>
      <w:tr>
        <w:tc>
          <w:tcPr/>
          <w:p>
            <w:pPr>
              <w:pStyle w:val="Compact"/>
              <w:jc w:val="left"/>
            </w:pPr>
            <w:r>
              <w:t xml:space="preserve">② parallel</w:t>
            </w:r>
          </w:p>
        </w:tc>
        <w:tc>
          <w:tcPr/>
          <w:p>
            <w:pPr>
              <w:pStyle w:val="Compact"/>
              <w:jc w:val="left"/>
            </w:pPr>
            <w:r>
              <w:t xml:space="preserve">23-row arbitration (971 re-run)</w:t>
            </w:r>
          </w:p>
        </w:tc>
        <w:tc>
          <w:tcPr/>
          <w:p>
            <w:pPr>
              <w:pStyle w:val="Compact"/>
              <w:jc w:val="left"/>
            </w:pPr>
            <w:r>
              <w:t xml:space="preserve">disagreement rows</w:t>
            </w:r>
          </w:p>
        </w:tc>
        <w:tc>
          <w:tcPr/>
          <w:p>
            <w:pPr>
              <w:pStyle w:val="Compact"/>
              <w:jc w:val="left"/>
            </w:pPr>
            <w:r>
              <w:t xml:space="preserve">23</w:t>
            </w:r>
          </w:p>
        </w:tc>
        <w:tc>
          <w:tcPr/>
          <w:p>
            <w:pPr>
              <w:pStyle w:val="Compact"/>
              <w:jc w:val="left"/>
            </w:pPr>
            <w:r>
              <w:t xml:space="preserve">third-arbiter adjudication</w:t>
            </w:r>
          </w:p>
        </w:tc>
        <w:tc>
          <w:tcPr/>
          <w:p>
            <w:pPr>
              <w:pStyle w:val="Compact"/>
              <w:jc w:val="left"/>
            </w:pPr>
            <w:r>
              <w:t xml:space="preserve">no</w:t>
            </w:r>
          </w:p>
        </w:tc>
      </w:tr>
      <w:tr>
        <w:tc>
          <w:tcPr/>
          <w:p>
            <w:pPr>
              <w:pStyle w:val="Compact"/>
              <w:jc w:val="left"/>
            </w:pPr>
            <w:r>
              <w:t xml:space="preserve">③ not in conclusions</w:t>
            </w:r>
          </w:p>
        </w:tc>
        <w:tc>
          <w:tcPr/>
          <w:p>
            <w:pPr>
              <w:pStyle w:val="Compact"/>
              <w:jc w:val="left"/>
            </w:pPr>
            <w:r>
              <w:t xml:space="preserve">633 referral records</w:t>
            </w:r>
          </w:p>
        </w:tc>
        <w:tc>
          <w:tcPr/>
          <w:p>
            <w:pPr>
              <w:pStyle w:val="Compact"/>
              <w:jc w:val="left"/>
            </w:pPr>
            <w:r>
              <w:t xml:space="preserve">records (not unique units)</w:t>
            </w:r>
          </w:p>
        </w:tc>
        <w:tc>
          <w:tcPr/>
          <w:p>
            <w:pPr>
              <w:pStyle w:val="Compact"/>
              <w:jc w:val="left"/>
            </w:pPr>
            <w:r>
              <w:t xml:space="preserve">633</w:t>
            </w:r>
          </w:p>
        </w:tc>
        <w:tc>
          <w:tcPr/>
          <w:p>
            <w:pPr>
              <w:pStyle w:val="Compact"/>
              <w:jc w:val="left"/>
            </w:pPr>
            <w:r>
              <w:t xml:space="preserve">referral registration</w:t>
            </w:r>
          </w:p>
        </w:tc>
        <w:tc>
          <w:tcPr/>
          <w:p>
            <w:pPr>
              <w:pStyle w:val="Compact"/>
              <w:jc w:val="left"/>
            </w:pPr>
            <w:r>
              <w:t xml:space="preserve">no</w:t>
            </w:r>
          </w:p>
        </w:tc>
      </w:tr>
      <w:tr>
        <w:tc>
          <w:tcPr/>
          <w:p>
            <w:pPr>
              <w:pStyle w:val="Compact"/>
              <w:jc w:val="left"/>
            </w:pPr>
            <w:r>
              <w:t xml:space="preserve">③ not in conclusions</w:t>
            </w:r>
          </w:p>
        </w:tc>
        <w:tc>
          <w:tcPr/>
          <w:p>
            <w:pPr>
              <w:pStyle w:val="Compact"/>
              <w:jc w:val="left"/>
            </w:pPr>
            <w:r>
              <w:t xml:space="preserve">re-sampled batch (100)</w:t>
            </w:r>
          </w:p>
        </w:tc>
        <w:tc>
          <w:tcPr/>
          <w:p>
            <w:pPr>
              <w:pStyle w:val="Compact"/>
              <w:jc w:val="left"/>
            </w:pPr>
            <w:r>
              <w:t xml:space="preserve">parallel record</w:t>
            </w:r>
          </w:p>
        </w:tc>
        <w:tc>
          <w:tcPr/>
          <w:p>
            <w:pPr>
              <w:pStyle w:val="Compact"/>
              <w:jc w:val="left"/>
            </w:pPr>
            <w:r>
              <w:t xml:space="preserve">100</w:t>
            </w:r>
          </w:p>
        </w:tc>
        <w:tc>
          <w:tcPr/>
          <w:p>
            <w:pPr>
              <w:pStyle w:val="Compact"/>
              <w:jc w:val="left"/>
            </w:pPr>
            <w:r>
              <w:t xml:space="preserve">stop-rule parallel record, excluded from row-level totals</w:t>
            </w:r>
          </w:p>
        </w:tc>
        <w:tc>
          <w:tcPr/>
          <w:p>
            <w:pPr>
              <w:pStyle w:val="Compact"/>
              <w:jc w:val="left"/>
            </w:pPr>
            <w:r>
              <w:t xml:space="preserve">no</w:t>
            </w:r>
          </w:p>
        </w:tc>
      </w:tr>
    </w:tbl>
    <w:p>
      <w:pPr>
        <w:pStyle w:val="BodyText"/>
      </w:pPr>
      <w:r>
        <w:t xml:space="preserve">Only the class ① anchoring tiers (6,215 / 2,229 / 971; 66.0% / 23.7% / 10.3%) enter the main results; every other track is a parallel or procedural record that does not replace them.</w:t>
      </w:r>
    </w:p>
    <w:bookmarkStart w:id="37" w:name="procedure"/>
    <w:p>
      <w:pPr>
        <w:pStyle w:val="Heading3"/>
      </w:pPr>
      <w:r>
        <w:t xml:space="preserve">Procedure</w:t>
      </w:r>
    </w:p>
    <w:p>
      <w:pPr>
        <w:pStyle w:val="FirstParagraph"/>
      </w:pPr>
      <w:r>
        <w:t xml:space="preserve">Two coders re-ran the tasks independently. Each coder received only their own arm’s files, physically separated; neither arm could see the other arm’s files, the blind-set assignment key, or any historical judgment value. The rebuilt rule table and its parameters (anchor 8 characters, gap 20, separation 50) were frozen before the re-run and not modified; these parameters apply to this re-run only, not to the frozen main-text tiers. Judge and date columns were left empty in the issued files and are injected by the project side, so a missing judgment cannot be masked. A stop rule was declared in advance: if the T3 share exceeded 5%, the unit frame would be re-sampled without replacement (100 to 200).</w:t>
      </w:r>
    </w:p>
    <w:bookmarkEnd w:id="37"/>
    <w:bookmarkStart w:id="38" w:name="scope"/>
    <w:p>
      <w:pPr>
        <w:pStyle w:val="Heading3"/>
      </w:pPr>
      <w:r>
        <w:t xml:space="preserve">Scope</w:t>
      </w:r>
    </w:p>
    <w:p>
      <w:pPr>
        <w:pStyle w:val="FirstParagraph"/>
      </w:pPr>
      <w:r>
        <w:t xml:space="preserve">Five tasks were re-run: (i) Gate 1 rule applicability, failure class and co-condition completeness over the 23-cell diagnostic subset, with each arm’s failure attribution for those cells; (ii) field-level reliability verdicts for the eight fields below the observed-agreement floor; (iii) source presence for the 971 unmatched citation judgments; (iv) verdicts for the 115-row attribution ledger (76 disagreement cells and 39 control cells, shuffled as a blind set; the assignment key held outside both arms); (v) type assignment for 100 citation units drawn from the frame affected by the voided batch.</w:t>
      </w:r>
    </w:p>
    <w:bookmarkEnd w:id="38"/>
    <w:bookmarkStart w:id="39" w:name="returned-values"/>
    <w:p>
      <w:pPr>
        <w:pStyle w:val="Heading3"/>
      </w:pPr>
      <w:r>
        <w:t xml:space="preserve">Returned values</w:t>
      </w:r>
    </w:p>
    <w:tbl>
      <w:tblPr>
        <w:tblStyle w:val="Table"/>
        <w:tblW w:type="pct" w:w="5000"/>
        <w:tblLook w:firstRow="1" w:lastRow="0" w:firstColumn="0" w:lastColumn="0" w:noHBand="0" w:noVBand="0" w:val="0020"/>
        <w:jc w:val="start"/>
      </w:tblPr>
      <w:tblGrid>
        <w:gridCol w:w="1697"/>
        <w:gridCol w:w="2262"/>
        <w:gridCol w:w="2262"/>
        <w:gridCol w:w="1697"/>
      </w:tblGrid>
      <w:tr>
        <w:trPr>
          <w:tblHeader w:val="true"/>
        </w:trPr>
        <w:tc>
          <w:tcPr/>
          <w:p>
            <w:pPr>
              <w:pStyle w:val="Compact"/>
              <w:jc w:val="left"/>
            </w:pPr>
            <w:r>
              <w:t xml:space="preserve">Task</w:t>
            </w:r>
          </w:p>
        </w:tc>
        <w:tc>
          <w:tcPr/>
          <w:p>
            <w:pPr>
              <w:pStyle w:val="Compact"/>
              <w:jc w:val="right"/>
            </w:pPr>
            <w:r>
              <w:t xml:space="preserve">n</w:t>
            </w:r>
          </w:p>
        </w:tc>
        <w:tc>
          <w:tcPr/>
          <w:p>
            <w:pPr>
              <w:pStyle w:val="Compact"/>
              <w:jc w:val="right"/>
            </w:pPr>
            <w:r>
              <w:t xml:space="preserve">Po</w:t>
            </w:r>
          </w:p>
        </w:tc>
        <w:tc>
          <w:tcPr/>
          <w:p>
            <w:pPr>
              <w:pStyle w:val="Compact"/>
              <w:jc w:val="left"/>
            </w:pPr>
            <w:r>
              <w:t xml:space="preserve">κ</w:t>
            </w:r>
          </w:p>
        </w:tc>
      </w:tr>
      <w:tr>
        <w:tc>
          <w:tcPr/>
          <w:p>
            <w:pPr>
              <w:pStyle w:val="Compact"/>
              <w:jc w:val="left"/>
            </w:pPr>
            <w:r>
              <w:t xml:space="preserve">Gate 1 rule applicability</w:t>
            </w:r>
          </w:p>
        </w:tc>
        <w:tc>
          <w:tcPr/>
          <w:p>
            <w:pPr>
              <w:pStyle w:val="Compact"/>
              <w:jc w:val="right"/>
            </w:pPr>
            <w:r>
              <w:t xml:space="preserve">23</w:t>
            </w:r>
          </w:p>
        </w:tc>
        <w:tc>
          <w:tcPr/>
          <w:p>
            <w:pPr>
              <w:pStyle w:val="Compact"/>
              <w:jc w:val="right"/>
            </w:pPr>
            <w:r>
              <w:t xml:space="preserve">1.000</w:t>
            </w:r>
          </w:p>
        </w:tc>
        <w:tc>
          <w:tcPr/>
          <w:p>
            <w:pPr>
              <w:pStyle w:val="Compact"/>
              <w:jc w:val="left"/>
            </w:pPr>
            <w:r>
              <w:t xml:space="preserve">1.000</w:t>
            </w:r>
          </w:p>
        </w:tc>
      </w:tr>
      <w:tr>
        <w:tc>
          <w:tcPr/>
          <w:p>
            <w:pPr>
              <w:pStyle w:val="Compact"/>
              <w:jc w:val="left"/>
            </w:pPr>
            <w:r>
              <w:t xml:space="preserve">Gate 1 co-condition completeness</w:t>
            </w:r>
          </w:p>
        </w:tc>
        <w:tc>
          <w:tcPr/>
          <w:p>
            <w:pPr>
              <w:pStyle w:val="Compact"/>
              <w:jc w:val="right"/>
            </w:pPr>
            <w:r>
              <w:t xml:space="preserve">23</w:t>
            </w:r>
          </w:p>
        </w:tc>
        <w:tc>
          <w:tcPr/>
          <w:p>
            <w:pPr>
              <w:pStyle w:val="Compact"/>
              <w:jc w:val="right"/>
            </w:pPr>
            <w:r>
              <w:t xml:space="preserve">1.000</w:t>
            </w:r>
          </w:p>
        </w:tc>
        <w:tc>
          <w:tcPr/>
          <w:p>
            <w:pPr>
              <w:pStyle w:val="Compact"/>
              <w:jc w:val="left"/>
            </w:pPr>
            <w:r>
              <w:t xml:space="preserve">1.000</w:t>
            </w:r>
          </w:p>
        </w:tc>
      </w:tr>
      <w:tr>
        <w:tc>
          <w:tcPr/>
          <w:p>
            <w:pPr>
              <w:pStyle w:val="Compact"/>
              <w:jc w:val="left"/>
            </w:pPr>
            <w:r>
              <w:t xml:space="preserve">Gate 1 failure class</w:t>
            </w:r>
          </w:p>
        </w:tc>
        <w:tc>
          <w:tcPr/>
          <w:p>
            <w:pPr>
              <w:pStyle w:val="Compact"/>
              <w:jc w:val="right"/>
            </w:pPr>
            <w:r>
              <w:t xml:space="preserve">23</w:t>
            </w:r>
          </w:p>
        </w:tc>
        <w:tc>
          <w:tcPr/>
          <w:p>
            <w:pPr>
              <w:pStyle w:val="Compact"/>
              <w:jc w:val="right"/>
            </w:pPr>
            <w:r>
              <w:t xml:space="preserve">0.348</w:t>
            </w:r>
          </w:p>
        </w:tc>
        <w:tc>
          <w:tcPr/>
          <w:p>
            <w:pPr>
              <w:pStyle w:val="Compact"/>
              <w:jc w:val="left"/>
            </w:pPr>
            <w:r>
              <w:t xml:space="preserve">0.258</w:t>
            </w:r>
          </w:p>
        </w:tc>
      </w:tr>
      <w:tr>
        <w:tc>
          <w:tcPr/>
          <w:p>
            <w:pPr>
              <w:pStyle w:val="Compact"/>
              <w:jc w:val="left"/>
            </w:pPr>
            <w:r>
              <w:t xml:space="preserve">Failure attribution main class</w:t>
            </w:r>
          </w:p>
        </w:tc>
        <w:tc>
          <w:tcPr/>
          <w:p>
            <w:pPr>
              <w:pStyle w:val="Compact"/>
              <w:jc w:val="right"/>
            </w:pPr>
            <w:r>
              <w:t xml:space="preserve">23</w:t>
            </w:r>
          </w:p>
        </w:tc>
        <w:tc>
          <w:tcPr/>
          <w:p>
            <w:pPr>
              <w:pStyle w:val="Compact"/>
              <w:jc w:val="right"/>
            </w:pPr>
            <w:r>
              <w:t xml:space="preserve">1.000</w:t>
            </w:r>
          </w:p>
        </w:tc>
        <w:tc>
          <w:tcPr/>
          <w:p>
            <w:pPr>
              <w:pStyle w:val="Compact"/>
              <w:jc w:val="left"/>
            </w:pPr>
            <w:r>
              <w:t xml:space="preserve">1.000</w:t>
            </w:r>
          </w:p>
        </w:tc>
      </w:tr>
      <w:tr>
        <w:tc>
          <w:tcPr/>
          <w:p>
            <w:pPr>
              <w:pStyle w:val="Compact"/>
              <w:jc w:val="left"/>
            </w:pPr>
            <w:r>
              <w:t xml:space="preserve">Field reliability verdict</w:t>
            </w:r>
          </w:p>
        </w:tc>
        <w:tc>
          <w:tcPr/>
          <w:p>
            <w:pPr>
              <w:pStyle w:val="Compact"/>
              <w:jc w:val="right"/>
            </w:pPr>
            <w:r>
              <w:t xml:space="preserve">8</w:t>
            </w:r>
          </w:p>
        </w:tc>
        <w:tc>
          <w:tcPr/>
          <w:p>
            <w:pPr>
              <w:pStyle w:val="Compact"/>
              <w:jc w:val="right"/>
            </w:pPr>
            <w:r>
              <w:t xml:space="preserve">0.625</w:t>
            </w:r>
          </w:p>
        </w:tc>
        <w:tc>
          <w:tcPr/>
          <w:p>
            <w:pPr>
              <w:pStyle w:val="Compact"/>
              <w:jc w:val="left"/>
            </w:pPr>
            <w:r>
              <w:t xml:space="preserve">0.000</w:t>
            </w:r>
          </w:p>
        </w:tc>
      </w:tr>
      <w:tr>
        <w:tc>
          <w:tcPr/>
          <w:p>
            <w:pPr>
              <w:pStyle w:val="Compact"/>
              <w:jc w:val="left"/>
            </w:pPr>
            <w:r>
              <w:t xml:space="preserve">Escalation-to-arbitration flag</w:t>
            </w:r>
          </w:p>
        </w:tc>
        <w:tc>
          <w:tcPr/>
          <w:p>
            <w:pPr>
              <w:pStyle w:val="Compact"/>
              <w:jc w:val="right"/>
            </w:pPr>
            <w:r>
              <w:t xml:space="preserve">8</w:t>
            </w:r>
          </w:p>
        </w:tc>
        <w:tc>
          <w:tcPr/>
          <w:p>
            <w:pPr>
              <w:pStyle w:val="Compact"/>
              <w:jc w:val="right"/>
            </w:pPr>
            <w:r>
              <w:t xml:space="preserve">1.000</w:t>
            </w:r>
          </w:p>
        </w:tc>
        <w:tc>
          <w:tcPr/>
          <w:p>
            <w:pPr>
              <w:pStyle w:val="Compact"/>
              <w:jc w:val="left"/>
            </w:pPr>
            <w:r>
              <w:t xml:space="preserve">not estimable (degenerate)</w:t>
            </w:r>
          </w:p>
        </w:tc>
      </w:tr>
      <w:tr>
        <w:tc>
          <w:tcPr/>
          <w:p>
            <w:pPr>
              <w:pStyle w:val="Compact"/>
              <w:jc w:val="left"/>
            </w:pPr>
            <w:r>
              <w:t xml:space="preserve">Source presence of unmatched citations</w:t>
            </w:r>
          </w:p>
        </w:tc>
        <w:tc>
          <w:tcPr/>
          <w:p>
            <w:pPr>
              <w:pStyle w:val="Compact"/>
              <w:jc w:val="right"/>
            </w:pPr>
            <w:r>
              <w:t xml:space="preserve">971</w:t>
            </w:r>
          </w:p>
        </w:tc>
        <w:tc>
          <w:tcPr/>
          <w:p>
            <w:pPr>
              <w:pStyle w:val="Compact"/>
              <w:jc w:val="right"/>
            </w:pPr>
            <w:r>
              <w:t xml:space="preserve">0.749</w:t>
            </w:r>
          </w:p>
        </w:tc>
        <w:tc>
          <w:tcPr/>
          <w:p>
            <w:pPr>
              <w:pStyle w:val="Compact"/>
              <w:jc w:val="left"/>
            </w:pPr>
            <w:r>
              <w:t xml:space="preserve">0.521</w:t>
            </w:r>
          </w:p>
        </w:tc>
      </w:tr>
      <w:tr>
        <w:tc>
          <w:tcPr/>
          <w:p>
            <w:pPr>
              <w:pStyle w:val="Compact"/>
              <w:jc w:val="left"/>
            </w:pPr>
            <w:r>
              <w:t xml:space="preserve">115-row attribution-ledger verdict (blind set)</w:t>
            </w:r>
          </w:p>
        </w:tc>
        <w:tc>
          <w:tcPr/>
          <w:p>
            <w:pPr>
              <w:pStyle w:val="Compact"/>
              <w:jc w:val="right"/>
            </w:pPr>
            <w:r>
              <w:t xml:space="preserve">115</w:t>
            </w:r>
          </w:p>
        </w:tc>
        <w:tc>
          <w:tcPr/>
          <w:p>
            <w:pPr>
              <w:pStyle w:val="Compact"/>
              <w:jc w:val="right"/>
            </w:pPr>
            <w:r>
              <w:t xml:space="preserve">0.774</w:t>
            </w:r>
          </w:p>
        </w:tc>
        <w:tc>
          <w:tcPr/>
          <w:p>
            <w:pPr>
              <w:pStyle w:val="Compact"/>
              <w:jc w:val="left"/>
            </w:pPr>
            <w:r>
              <w:t xml:space="preserve">0.540</w:t>
            </w:r>
          </w:p>
        </w:tc>
      </w:tr>
      <w:tr>
        <w:tc>
          <w:tcPr/>
          <w:p>
            <w:pPr>
              <w:pStyle w:val="Compact"/>
              <w:jc w:val="left"/>
            </w:pPr>
            <w:r>
              <w:t xml:space="preserve">Citation-unit type</w:t>
            </w:r>
          </w:p>
        </w:tc>
        <w:tc>
          <w:tcPr/>
          <w:p>
            <w:pPr>
              <w:pStyle w:val="Compact"/>
              <w:jc w:val="right"/>
            </w:pPr>
            <w:r>
              <w:t xml:space="preserve">100</w:t>
            </w:r>
          </w:p>
        </w:tc>
        <w:tc>
          <w:tcPr/>
          <w:p>
            <w:pPr>
              <w:pStyle w:val="Compact"/>
              <w:jc w:val="right"/>
            </w:pPr>
            <w:r>
              <w:t xml:space="preserve">0.640</w:t>
            </w:r>
          </w:p>
        </w:tc>
        <w:tc>
          <w:tcPr/>
          <w:p>
            <w:pPr>
              <w:pStyle w:val="Compact"/>
              <w:jc w:val="left"/>
            </w:pPr>
            <w:r>
              <w:t xml:space="preserve">0.505</w:t>
            </w:r>
          </w:p>
        </w:tc>
      </w:tr>
      <w:tr>
        <w:tc>
          <w:tcPr/>
          <w:p>
            <w:pPr>
              <w:pStyle w:val="Compact"/>
              <w:jc w:val="left"/>
            </w:pPr>
            <w:r>
              <w:t xml:space="preserve">Re-sampled batch agreement</w:t>
            </w:r>
          </w:p>
        </w:tc>
        <w:tc>
          <w:tcPr/>
          <w:p>
            <w:pPr>
              <w:pStyle w:val="Compact"/>
              <w:jc w:val="right"/>
            </w:pPr>
            <w:r>
              <w:t xml:space="preserve">100</w:t>
            </w:r>
          </w:p>
        </w:tc>
        <w:tc>
          <w:tcPr/>
          <w:p>
            <w:pPr>
              <w:pStyle w:val="Compact"/>
              <w:jc w:val="right"/>
            </w:pPr>
            <w:r>
              <w:t xml:space="preserve">0.550</w:t>
            </w:r>
          </w:p>
        </w:tc>
        <w:tc>
          <w:tcPr/>
          <w:p>
            <w:pPr>
              <w:pStyle w:val="Compact"/>
              <w:jc w:val="left"/>
            </w:pPr>
            <w:r>
              <w:t xml:space="preserve">0.372</w:t>
            </w:r>
          </w:p>
        </w:tc>
      </w:tr>
    </w:tbl>
    <w:p>
      <w:pPr>
        <w:pStyle w:val="BodyText"/>
      </w:pPr>
      <w:r>
        <w:t xml:space="preserve">The re-sampled batch agreement is a stop-rule-triggered parallel record, excluded from the row-level task totals below and not substituting for frozen results.</w:t>
      </w:r>
    </w:p>
    <w:p>
      <w:pPr>
        <w:pStyle w:val="BodyText"/>
      </w:pPr>
      <w:r>
        <w:t xml:space="preserve">Note: the</w:t>
      </w:r>
      <w:r>
        <w:t xml:space="preserve"> </w:t>
      </w:r>
      <w:r>
        <w:rPr>
          <w:rStyle w:val="VerbatimChar"/>
        </w:rPr>
        <w:t xml:space="preserve">n</w:t>
      </w:r>
      <w:r>
        <w:t xml:space="preserve"> </w:t>
      </w:r>
      <w:r>
        <w:t xml:space="preserve">column reports the row count of each task table. The row-level agreement denominator counts each task table once — 23 (Gate 1, listed across its three coded columns) + 23 (failure attribution) + 8 (field reliability, listed across its two coded columns) + 971 (source presence) + 115 (blind set) + 100 (citation-unit type) = 1,240. Summing all ten rows of the</w:t>
      </w:r>
      <w:r>
        <w:t xml:space="preserve"> </w:t>
      </w:r>
      <w:r>
        <w:rPr>
          <w:rStyle w:val="VerbatimChar"/>
        </w:rPr>
        <w:t xml:space="preserve">n</w:t>
      </w:r>
      <w:r>
        <w:t xml:space="preserve"> </w:t>
      </w:r>
      <w:r>
        <w:t xml:space="preserve">column gives 1,394; excluding the re-sampled batch (100), a parallel record, leaves 1,294, which exceeds 1,240 because the Gate 1 table’s 23 rows are listed once per coded column (three columns) and the field-reliability table’s 8 rows are listed once per coded column (two columns), over-counting 46 + 8 = 54. No number is changed.</w:t>
      </w:r>
    </w:p>
    <w:p>
      <w:pPr>
        <w:pStyle w:val="BodyText"/>
      </w:pPr>
      <w:r>
        <w:rPr>
          <w:bCs/>
          <w:b/>
        </w:rPr>
        <w:t xml:space="preserve">Row-level agreement, by task table.</w:t>
      </w:r>
      <w:r>
        <w:t xml:space="preserve"> </w:t>
      </w:r>
      <w:r>
        <w:t xml:space="preserve">A row counts as agreeing only when every coded column agrees. Per-task agreeing rows are derived from the reported agreement proportions and row counts (agreeing rows = Po x n); the derived integers reproduce the total exactly.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Task table</w:t>
            </w:r>
          </w:p>
        </w:tc>
        <w:tc>
          <w:tcPr/>
          <w:p>
            <w:pPr>
              <w:pStyle w:val="Compact"/>
              <w:jc w:val="right"/>
            </w:pPr>
            <w:r>
              <w:t xml:space="preserve">rows (n)</w:t>
            </w:r>
          </w:p>
        </w:tc>
        <w:tc>
          <w:tcPr/>
          <w:p>
            <w:pPr>
              <w:pStyle w:val="Compact"/>
              <w:jc w:val="right"/>
            </w:pPr>
            <w:r>
              <w:t xml:space="preserve">agreeing rows</w:t>
            </w:r>
          </w:p>
        </w:tc>
      </w:tr>
      <w:tr>
        <w:tc>
          <w:tcPr/>
          <w:p>
            <w:pPr>
              <w:pStyle w:val="Compact"/>
              <w:jc w:val="left"/>
            </w:pPr>
            <w:r>
              <w:t xml:space="preserve">Gate 1 (three coded columns, counted once)</w:t>
            </w:r>
          </w:p>
        </w:tc>
        <w:tc>
          <w:tcPr/>
          <w:p>
            <w:pPr>
              <w:pStyle w:val="Compact"/>
              <w:jc w:val="right"/>
            </w:pPr>
            <w:r>
              <w:t xml:space="preserve">23</w:t>
            </w:r>
          </w:p>
        </w:tc>
        <w:tc>
          <w:tcPr/>
          <w:p>
            <w:pPr>
              <w:pStyle w:val="Compact"/>
              <w:jc w:val="right"/>
            </w:pPr>
            <w:r>
              <w:t xml:space="preserve">8</w:t>
            </w:r>
          </w:p>
        </w:tc>
      </w:tr>
      <w:tr>
        <w:tc>
          <w:tcPr/>
          <w:p>
            <w:pPr>
              <w:pStyle w:val="Compact"/>
              <w:jc w:val="left"/>
            </w:pPr>
            <w:r>
              <w:t xml:space="preserve">Failure attribution, main class</w:t>
            </w:r>
          </w:p>
        </w:tc>
        <w:tc>
          <w:tcPr/>
          <w:p>
            <w:pPr>
              <w:pStyle w:val="Compact"/>
              <w:jc w:val="right"/>
            </w:pPr>
            <w:r>
              <w:t xml:space="preserve">23</w:t>
            </w:r>
          </w:p>
        </w:tc>
        <w:tc>
          <w:tcPr/>
          <w:p>
            <w:pPr>
              <w:pStyle w:val="Compact"/>
              <w:jc w:val="right"/>
            </w:pPr>
            <w:r>
              <w:t xml:space="preserve">23</w:t>
            </w:r>
          </w:p>
        </w:tc>
      </w:tr>
      <w:tr>
        <w:tc>
          <w:tcPr/>
          <w:p>
            <w:pPr>
              <w:pStyle w:val="Compact"/>
              <w:jc w:val="left"/>
            </w:pPr>
            <w:r>
              <w:t xml:space="preserve">Field reliability verdict</w:t>
            </w:r>
          </w:p>
        </w:tc>
        <w:tc>
          <w:tcPr/>
          <w:p>
            <w:pPr>
              <w:pStyle w:val="Compact"/>
              <w:jc w:val="right"/>
            </w:pPr>
            <w:r>
              <w:t xml:space="preserve">8</w:t>
            </w:r>
          </w:p>
        </w:tc>
        <w:tc>
          <w:tcPr/>
          <w:p>
            <w:pPr>
              <w:pStyle w:val="Compact"/>
              <w:jc w:val="right"/>
            </w:pPr>
            <w:r>
              <w:t xml:space="preserve">5</w:t>
            </w:r>
          </w:p>
        </w:tc>
      </w:tr>
      <w:tr>
        <w:tc>
          <w:tcPr/>
          <w:p>
            <w:pPr>
              <w:pStyle w:val="Compact"/>
              <w:jc w:val="left"/>
            </w:pPr>
            <w:r>
              <w:t xml:space="preserve">Source presence of unmatched citations</w:t>
            </w:r>
          </w:p>
        </w:tc>
        <w:tc>
          <w:tcPr/>
          <w:p>
            <w:pPr>
              <w:pStyle w:val="Compact"/>
              <w:jc w:val="right"/>
            </w:pPr>
            <w:r>
              <w:t xml:space="preserve">971</w:t>
            </w:r>
          </w:p>
        </w:tc>
        <w:tc>
          <w:tcPr/>
          <w:p>
            <w:pPr>
              <w:pStyle w:val="Compact"/>
              <w:jc w:val="right"/>
            </w:pPr>
            <w:r>
              <w:t xml:space="preserve">727</w:t>
            </w:r>
          </w:p>
        </w:tc>
      </w:tr>
      <w:tr>
        <w:tc>
          <w:tcPr/>
          <w:p>
            <w:pPr>
              <w:pStyle w:val="Compact"/>
              <w:jc w:val="left"/>
            </w:pPr>
            <w:r>
              <w:t xml:space="preserve">115-row attribution-ledger verdict (blind set)</w:t>
            </w:r>
          </w:p>
        </w:tc>
        <w:tc>
          <w:tcPr/>
          <w:p>
            <w:pPr>
              <w:pStyle w:val="Compact"/>
              <w:jc w:val="right"/>
            </w:pPr>
            <w:r>
              <w:t xml:space="preserve">115</w:t>
            </w:r>
          </w:p>
        </w:tc>
        <w:tc>
          <w:tcPr/>
          <w:p>
            <w:pPr>
              <w:pStyle w:val="Compact"/>
              <w:jc w:val="right"/>
            </w:pPr>
            <w:r>
              <w:t xml:space="preserve">89</w:t>
            </w:r>
          </w:p>
        </w:tc>
      </w:tr>
      <w:tr>
        <w:tc>
          <w:tcPr/>
          <w:p>
            <w:pPr>
              <w:pStyle w:val="Compact"/>
              <w:jc w:val="left"/>
            </w:pPr>
            <w:r>
              <w:t xml:space="preserve">Citation-unit type</w:t>
            </w:r>
          </w:p>
        </w:tc>
        <w:tc>
          <w:tcPr/>
          <w:p>
            <w:pPr>
              <w:pStyle w:val="Compact"/>
              <w:jc w:val="right"/>
            </w:pPr>
            <w:r>
              <w:t xml:space="preserve">100</w:t>
            </w:r>
          </w:p>
        </w:tc>
        <w:tc>
          <w:tcPr/>
          <w:p>
            <w:pPr>
              <w:pStyle w:val="Compact"/>
              <w:jc w:val="right"/>
            </w:pPr>
            <w:r>
              <w:t xml:space="preserve">64</w:t>
            </w:r>
          </w:p>
        </w:tc>
      </w:tr>
      <w:tr>
        <w:tc>
          <w:tcPr/>
          <w:p>
            <w:pPr>
              <w:pStyle w:val="Compact"/>
              <w:jc w:val="left"/>
            </w:pPr>
            <w:r>
              <w:rPr>
                <w:bCs/>
                <w:b/>
              </w:rPr>
              <w:t xml:space="preserve">Total</w:t>
            </w:r>
          </w:p>
        </w:tc>
        <w:tc>
          <w:tcPr/>
          <w:p>
            <w:pPr>
              <w:pStyle w:val="Compact"/>
              <w:jc w:val="right"/>
            </w:pPr>
            <w:r>
              <w:rPr>
                <w:bCs/>
                <w:b/>
              </w:rPr>
              <w:t xml:space="preserve">1,240</w:t>
            </w:r>
          </w:p>
        </w:tc>
        <w:tc>
          <w:tcPr/>
          <w:p>
            <w:pPr>
              <w:pStyle w:val="Compact"/>
              <w:jc w:val="right"/>
            </w:pPr>
            <w:r>
              <w:rPr>
                <w:bCs/>
                <w:b/>
              </w:rPr>
              <w:t xml:space="preserve">916</w:t>
            </w:r>
          </w:p>
        </w:tc>
      </w:tr>
    </w:tbl>
    <w:p>
      <w:pPr>
        <w:pStyle w:val="BodyText"/>
      </w:pPr>
      <w:r>
        <w:t xml:space="preserve">The re-sampled batch agreement (n = 100) is a stop-rule-triggered parallel record and is excluded from these totals.</w:t>
      </w:r>
    </w:p>
    <w:p>
      <w:pPr>
        <w:pStyle w:val="BodyText"/>
      </w:pPr>
      <w:r>
        <w:t xml:space="preserve">Row-level agreement across all tasks, counting a row as agreeing only when every coded column agrees: 916 of 1,240 rows (0.739).</w:t>
      </w:r>
    </w:p>
    <w:p>
      <w:pPr>
        <w:pStyle w:val="BodyText"/>
      </w:pPr>
      <w:r>
        <w:t xml:space="preserve">Returned distributions. Source presence of unmatched citations (n = 971): arm A 642 present, 250 absent, 79 undeterminable; arm B 638 present, 71 absent, 262 undeterminable. 115-row attribution-ledger verdict (n = 115): arm A 78 true error, 36 formal difference, 1 undeterminable; arm B 75 true error, 24 formal difference, 16 undeterminable. Citation-unit type (n = 100): arm A T3 33, C 28, T1 23, T2 12, NA 4; arm B T3 45, T1 24, C 20, T2 10, NA 1.</w:t>
      </w:r>
    </w:p>
    <w:p>
      <w:pPr>
        <w:pStyle w:val="BodyText"/>
      </w:pPr>
      <w:r>
        <w:t xml:space="preserve">The 115-row attribution-ledger verdict reported here (Po 0.774, κ 0.540) is a re-run value obtained under the rebuilt rule set. The frozen Gate 3 value of Po 0.6435 (§3.4, Table 4) was obtained on the first-round data before the rule table was rebuilt and remains the main-text value; 0.774 is a post hoc comparison under the rebuilt table (hash prefix</w:t>
      </w:r>
      <w:r>
        <w:t xml:space="preserve"> </w:t>
      </w:r>
      <w:r>
        <w:rPr>
          <w:rStyle w:val="VerbatimChar"/>
        </w:rPr>
        <w:t xml:space="preserve">31fefb635dbe</w:t>
      </w:r>
      <w:r>
        <w:t xml:space="preserve">), not a replacement; the frozen Gate 3 denominator (115 rows) and agreement statistic were not recalculated.</w:t>
      </w:r>
    </w:p>
    <w:bookmarkEnd w:id="39"/>
    <w:bookmarkStart w:id="40" w:name="stop-rule-outcome"/>
    <w:p>
      <w:pPr>
        <w:pStyle w:val="Heading3"/>
      </w:pPr>
      <w:r>
        <w:t xml:space="preserve">Stop-rule outcome</w:t>
      </w:r>
    </w:p>
    <w:p>
      <w:pPr>
        <w:pStyle w:val="FirstParagraph"/>
      </w:pPr>
      <w:r>
        <w:t xml:space="preserve">After the first 100 units, the T3 share was 33.0% (arm A) and 45.0% (arm B) against a declared threshold of 5%, so the unit frame was re-sampled without replacement to 200. After the additional 100 units were coded, the cumulative T3 share across the 200 re-sampled units was 34.0% (arm A) and 48.0% (arm B), still far above the pre-declared 5% threshold. The stop rule therefore required coding to full coverage of the 721 multi-citation-cell citations (594 unique cells); the remaining 521 units were issued and both arms returned complete results (see</w:t>
      </w:r>
      <w:r>
        <w:t xml:space="preserve"> </w:t>
      </w:r>
      <w:r>
        <w:t xml:space="preserve">“</w:t>
      </w:r>
      <w:r>
        <w:t xml:space="preserve">Full-coverage re-run</w:t>
      </w:r>
      <w:r>
        <w:t xml:space="preserve">”</w:t>
      </w:r>
      <w:r>
        <w:t xml:space="preserve"> </w:t>
      </w:r>
      <w:r>
        <w:t xml:space="preserve">below).</w:t>
      </w:r>
    </w:p>
    <w:bookmarkEnd w:id="40"/>
    <w:bookmarkStart w:id="41" w:name="Xb5ff29d4a9282bb85f0991e0cc02691db20fe2e"/>
    <w:p>
      <w:pPr>
        <w:pStyle w:val="Heading3"/>
      </w:pPr>
      <w:r>
        <w:t xml:space="preserve">Two coding conventions (disclosed, not applied)</w:t>
      </w:r>
    </w:p>
    <w:p>
      <w:pPr>
        <w:pStyle w:val="FirstParagraph"/>
      </w:pPr>
      <w:r>
        <w:t xml:space="preserve">Neither recoding below was applied to the reported agreement values.</w:t>
      </w:r>
    </w:p>
    <w:p>
      <w:pPr>
        <w:numPr>
          <w:ilvl w:val="0"/>
          <w:numId w:val="1004"/>
        </w:numPr>
        <w:pStyle w:val="Compact"/>
      </w:pPr>
      <w:r>
        <w:t xml:space="preserve">Rows where the Gate 1 rule does not apply were classified as</w:t>
      </w:r>
      <w:r>
        <w:t xml:space="preserve"> </w:t>
      </w:r>
      <w:r>
        <w:t xml:space="preserve">“</w:t>
      </w:r>
      <w:r>
        <w:t xml:space="preserve">not applicable</w:t>
      </w:r>
      <w:r>
        <w:t xml:space="preserve">”</w:t>
      </w:r>
      <w:r>
        <w:t xml:space="preserve"> </w:t>
      </w:r>
      <w:r>
        <w:t xml:space="preserve">in one arm and as</w:t>
      </w:r>
      <w:r>
        <w:t xml:space="preserve"> </w:t>
      </w:r>
      <w:r>
        <w:t xml:space="preserve">“</w:t>
      </w:r>
      <w:r>
        <w:t xml:space="preserve">undeterminable</w:t>
      </w:r>
      <w:r>
        <w:t xml:space="preserve">”</w:t>
      </w:r>
      <w:r>
        <w:t xml:space="preserve"> </w:t>
      </w:r>
      <w:r>
        <w:t xml:space="preserve">in the other in the failure-class field. Treating</w:t>
      </w:r>
      <w:r>
        <w:t xml:space="preserve"> </w:t>
      </w:r>
      <w:r>
        <w:t xml:space="preserve">“</w:t>
      </w:r>
      <w:r>
        <w:t xml:space="preserve">not applicable</w:t>
      </w:r>
      <w:r>
        <w:t xml:space="preserve">”</w:t>
      </w:r>
      <w:r>
        <w:t xml:space="preserve"> </w:t>
      </w:r>
      <w:r>
        <w:t xml:space="preserve">as</w:t>
      </w:r>
      <w:r>
        <w:t xml:space="preserve"> </w:t>
      </w:r>
      <w:r>
        <w:t xml:space="preserve">“</w:t>
      </w:r>
      <w:r>
        <w:t xml:space="preserve">undeterminable</w:t>
      </w:r>
      <w:r>
        <w:t xml:space="preserve">”</w:t>
      </w:r>
      <w:r>
        <w:t xml:space="preserve"> </w:t>
      </w:r>
      <w:r>
        <w:t xml:space="preserve">would raise agreement for that field from Po 0.348 and κ 0.258 to Po 1.000 and κ 1.000 (not applied; the reported values stay 0.348/0.258); the whole discrepancy for this field is thus a convention difference rather than a judgment difference.</w:t>
      </w:r>
    </w:p>
    <w:p>
      <w:pPr>
        <w:numPr>
          <w:ilvl w:val="0"/>
          <w:numId w:val="1004"/>
        </w:numPr>
        <w:pStyle w:val="Compact"/>
      </w:pPr>
      <w:r>
        <w:t xml:space="preserve">Both arms set the escalation-to-arbitration flag for all eight field rows, including rows carrying a determinate verdict. The flag is therefore degenerate, and only observed agreement (Po) with a prevalence-adjusted figure is reportable for it.</w:t>
      </w:r>
    </w:p>
    <w:bookmarkEnd w:id="41"/>
    <w:bookmarkStart w:id="42" w:name="status"/>
    <w:p>
      <w:pPr>
        <w:pStyle w:val="Heading3"/>
      </w:pPr>
      <w:r>
        <w:t xml:space="preserve">Status</w:t>
      </w:r>
    </w:p>
    <w:p>
      <w:pPr>
        <w:pStyle w:val="FirstParagraph"/>
      </w:pPr>
      <w:r>
        <w:t xml:space="preserve">The first 100-unit re-run and the additional 100 re-sampled units (200 in total) returned 81 disagreement rows, referred to a third independent arbiter: T1 27, T3 37, T2 9, C 8, NA 0. The arbiter’s ruling matched arm B in 67 of 81 rows (82.7%), matched arm A in 6 (7.4%), and departed from both arms in 8. Returned files are held read-only with per-file checksums (S4).</w:t>
      </w:r>
    </w:p>
    <w:bookmarkEnd w:id="42"/>
    <w:bookmarkStart w:id="43" w:name="X74ea4c50e9321de79a376cb83bbc7c26d5e7941"/>
    <w:p>
      <w:pPr>
        <w:pStyle w:val="Heading3"/>
      </w:pPr>
      <w:r>
        <w:t xml:space="preserve">Full-coverage re-run of the 971 unmatched citations (parallel post hoc record)</w:t>
      </w:r>
    </w:p>
    <w:p>
      <w:pPr>
        <w:pStyle w:val="FirstParagraph"/>
      </w:pPr>
      <w:r>
        <w:t xml:space="preserve">Two rounds are recorded here and they use different comparison conditions. The first round, under fragment-bounded comparison, coded the 200 units of the 721 multi-citation frame and then the remaining 521. The second round, a registered update (Table S5), re-ran all 971 unmatched citations under complete full-text conditions; both arms returned all 971 units. Agreement was 948/971 (97.6%; Po 0.976; κ 0.455), and 23 disagreement rows were referred to the third arbiter. Under complete full text, source presence was recorded for 952 units by arm A and 947 by arm B, against the 642 and 638 present records of the earlier fragment-based pass reported above. Source-present meant that the citation wording could be located in the full text, allowing for typesetting, ligature and encoding differences; indeterminate meant too little content to decide. After arbitration of the 23 rows, 946 of 971 (97.4%) were source-present; this is a secondary result and does not alter the anchoring tiers. These values characterise the re-run only and do not replace the frozen anchoring figures of the main text. The stop rule and the full-text pass used two different frames: the stop rule covered the 721 multi-citation-cell citations (594 unique cells) (200 coded first, then the remaining 521, both coded by both arms), while this full-text pass covered all 971 unmatched citations; these are parallel records that do not replace the frozen main-text values (6,215 / 2,229 / 971; 66.0% / 23.7% / 10.3%).</w:t>
      </w:r>
    </w:p>
    <w:bookmarkEnd w:id="43"/>
    <w:bookmarkStart w:id="44" w:name="X199d3d111600b4994bb6b025c1118453f6a0378"/>
    <w:p>
      <w:pPr>
        <w:pStyle w:val="Heading3"/>
      </w:pPr>
      <w:r>
        <w:t xml:space="preserve">Arbitration across the three first-round batches</w:t>
      </w:r>
    </w:p>
    <w:p>
      <w:pPr>
        <w:pStyle w:val="FirstParagraph"/>
      </w:pPr>
      <w:r>
        <w:t xml:space="preserve">Across the three first-round arbitration batches, 610 disagreement rows were referred to the same third arbiter and have been returned: 81 rows from the first batch (the first 100-unit re-run and the additional 100 re-sampled units, 200 in total), 311 rows covering the remaining coded columns (source presence 244, blind-set verdicts 26, free-text failure attributions 23, the Gate 1 failure class 15, field-level reliability 3), and 218 rows from the additional 521-unit block. The arbiter matched arm A in 156 of 610 rows (25.6%), arm B in 388 (63.6%), and departed from both arms in 66 (10.8%). The direction of the ruling varied by batch (arm B 82.7%, 56.6% and 66.5% respectively), and the dominant disagreement form was unchanged throughout: a citation ruled a complete sentence by one arm and a truncated excerpt by the other (84 of 218 rows in the third batch). These values are recorded in parallel to the pre-arbitration agreement figures, which remain the reported values and are neither replaced nor recomputed.</w:t>
      </w:r>
    </w:p>
    <w:p>
      <w:pPr>
        <w:pStyle w:val="BodyText"/>
      </w:pPr>
      <w:r>
        <w:t xml:space="preserve">A separate registered update (Table S5) records the re-analysis of all 971 unmatched citation judgments under complete full-text conditions; its 23 disagreement rows went to the same arbiter as a separate referral and are not part of the 610 (633 referral records in total, which are records rather than unique units because a unit can recur across rounds); those values are recorded above; the main text cites them only as a separate, secondary result (946 of 971 source-present).</w:t>
      </w:r>
    </w:p>
    <w:bookmarkEnd w:id="44"/>
    <w:bookmarkStart w:id="45" w:name="the-free-text-failure-attribution-column"/>
    <w:p>
      <w:pPr>
        <w:pStyle w:val="Heading3"/>
      </w:pPr>
      <w:r>
        <w:t xml:space="preserve">The free-text failure-attribution column</w:t>
      </w:r>
    </w:p>
    <w:p>
      <w:pPr>
        <w:pStyle w:val="FirstParagraph"/>
      </w:pPr>
      <w:r>
        <w:t xml:space="preserve">The free-text failure-attribution column (C1) was treated as descriptive: its 23 rows enter the arbitration counts reported above (the 311-row second batch and the 610-row total) but produce no category-based agreement statistic, because the column records narrative attributions rather than coded categories, so no Po or α was adopted for it. Among these 23 rows the third arbiter merged the two arms’ wording in 22 rows (recorded as departing from both arms) and adopted arm A’s wording in one row (S-02711), because arm A’s phrasing specified all three mechanical values — a partial source re-hit, a matched rule number and a present independent record — whereas arm B’s phrasing did not distinguish them; this single departure reflects wording completeness rather than a substantive difference. The two arms’ original text and the arbiter’s reconciled text are archived side by side, and no downstream count is derived from this free-text column.</w:t>
      </w:r>
    </w:p>
    <w:bookmarkEnd w:id="45"/>
    <w:bookmarkStart w:id="46" w:name="Xd09362821f1cb7db28ba03cb5e8c7be16c5f3b8"/>
    <w:p>
      <w:pPr>
        <w:pStyle w:val="Heading3"/>
      </w:pPr>
      <w:r>
        <w:t xml:space="preserve">Indeterminate source-presence rows and the truncation bias of the first round</w:t>
      </w:r>
    </w:p>
    <w:p>
      <w:pPr>
        <w:pStyle w:val="FirstParagraph"/>
      </w:pPr>
      <w:r>
        <w:t xml:space="preserve">In the arbitration of the fragment-bounded first coding round, 157 of the 244 source-presence disagreement rows (64.3%) were ruled indeterminate, the arbiter recording that the supplied source excerpts were too truncated to verify. A 30-row probe (one row per report, the first 30 reports in screening-identifier order; non-random) re-issued those rows under complete full text; both arms converted all 30 rows to a determinate verdict (arm A 30 source-present; arm B 29 source-present and 1 not present; 29/30 agreement, 96.7%). This 100% conversion is consistent with the first-round indeterminacy reflecting incomplete comparison excerpts rather than an undecidable rule boundary, though the probe was non-random and therefore offers feasibility evidence only. That process-level finding — not the observed outcome rate — prompted the registered full-text re-run of all 971 unmatched citations. The truncation affected more than the 157 indeterminate rows: the first round counted 104 not-present rows, whereas the complete full-text re-run left only 20, so the first round’s</w:t>
      </w:r>
      <w:r>
        <w:t xml:space="preserve"> </w:t>
      </w:r>
      <w:r>
        <w:t xml:space="preserve">‘</w:t>
      </w:r>
      <w:r>
        <w:t xml:space="preserve">not present</w:t>
      </w:r>
      <w:r>
        <w:t xml:space="preserve">’</w:t>
      </w:r>
      <w:r>
        <w:t xml:space="preserve"> </w:t>
      </w:r>
      <w:r>
        <w:t xml:space="preserve">verdicts were higher under truncated excerpts than under complete full text; on this basis all 971 rows, not only the 157 indeterminate rows, were re-run. The full-text re-run returned 948/971 agreement (97.6%; Po 0.976; κ 0.455), and after arbitration of its 23 disagreement rows the final distribution was 946 source-present, 20 not present and 5 indeterminate. The κ of 0.455 beside a Po of 0.976 reflects the extreme prevalence of source-present judgments (about 97%), the familiar high-agreement/low-kappa pattern; the generalized three-category prevalence- and bias-adjusted kappa, (3Po−1)/2, which assumes equal category probabilities as its chance baseline and does not describe the observed category distribution, is 0.96 (κ and the category shares above are retained). Under complete full text, the source-absent share is 2.1% counting the 20 not-present rows alone, or 2.6% (25/971) counting the 5 remaining indeterminate rows conservatively as source-absent. For comparison, had the 157 arbitrated-indeterminate rows all been source-present the truncated first round would still have left 171 rows not confirmed as source-present (17.6%) — the 104 not-present rows plus 67 rows that both arms had already judged indeterminate and that therefore never entered arbitration — and had they all been not present it would have left 328 (33.8%); either way the truncated-excerpt first round gave a higher unconfirmed proportion than the full-text result. These are parallel records and do not replace the frozen main-text anchoring figures (6,215 / 2,229 / 971; 66.0% / 23.7% / 10.3%).</w:t>
      </w:r>
    </w:p>
    <w:bookmarkEnd w:id="46"/>
    <w:bookmarkEnd w:id="47"/>
    <w:bookmarkStart w:id="49" w:name="s8.-objects-denominators-and-keys"/>
    <w:p>
      <w:pPr>
        <w:pStyle w:val="Heading2"/>
      </w:pPr>
      <w:r>
        <w:t xml:space="preserve">S8. Objects, denominators and keys</w:t>
      </w:r>
    </w:p>
    <w:p>
      <w:pPr>
        <w:pStyle w:val="FirstParagraph"/>
      </w:pPr>
      <w:r>
        <w:t xml:space="preserve">Note: this table is based on the pre-adjudication 390-record coded corpus; the included set is 277, and the differing denominators are by design. Denominators: 390 = coded corpus (the formal extraction-round coded corpus of study-level records); 277 = included set (reports after post-hoc eligibility re-adjudication). Records and reports are related but distinct units: the coded corpus contains 390 study-level extraction records, and the included set contains 277 reports that passed re-adjudication.</w:t>
      </w:r>
    </w:p>
    <w:p>
      <w:pPr>
        <w:pStyle w:val="BodyText"/>
      </w:pPr>
      <w:r>
        <w:t xml:space="preserve">This table aligns every count reported in the main text with the object it counts, the key that identifies its rows, and the denominator it is read against, so that numbers at different levels of analysis are not read against the wrong base.</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Object</w:t>
            </w:r>
          </w:p>
        </w:tc>
        <w:tc>
          <w:tcPr/>
          <w:p>
            <w:pPr>
              <w:pStyle w:val="Compact"/>
              <w:jc w:val="left"/>
            </w:pPr>
            <w:r>
              <w:t xml:space="preserve">Count</w:t>
            </w:r>
          </w:p>
        </w:tc>
        <w:tc>
          <w:tcPr/>
          <w:p>
            <w:pPr>
              <w:pStyle w:val="Compact"/>
              <w:jc w:val="left"/>
            </w:pPr>
            <w:r>
              <w:t xml:space="preserve">Key</w:t>
            </w:r>
          </w:p>
        </w:tc>
        <w:tc>
          <w:tcPr/>
          <w:p>
            <w:pPr>
              <w:pStyle w:val="Compact"/>
              <w:jc w:val="left"/>
            </w:pPr>
            <w:r>
              <w:t xml:space="preserve">Denominator / base</w:t>
            </w:r>
          </w:p>
        </w:tc>
        <w:tc>
          <w:tcPr/>
          <w:p>
            <w:pPr>
              <w:pStyle w:val="Compact"/>
              <w:jc w:val="left"/>
            </w:pPr>
            <w:r>
              <w:t xml:space="preserve">Reported in</w:t>
            </w:r>
          </w:p>
        </w:tc>
      </w:tr>
      <w:tr>
        <w:tc>
          <w:tcPr/>
          <w:p>
            <w:pPr>
              <w:pStyle w:val="Compact"/>
              <w:jc w:val="left"/>
            </w:pPr>
            <w:r>
              <w:t xml:space="preserve">1</w:t>
            </w:r>
          </w:p>
        </w:tc>
        <w:tc>
          <w:tcPr/>
          <w:p>
            <w:pPr>
              <w:pStyle w:val="Compact"/>
              <w:jc w:val="left"/>
            </w:pPr>
            <w:r>
              <w:t xml:space="preserve">Coded corpus (formal extraction round)</w:t>
            </w:r>
          </w:p>
        </w:tc>
        <w:tc>
          <w:tcPr/>
          <w:p>
            <w:pPr>
              <w:pStyle w:val="Compact"/>
              <w:jc w:val="left"/>
            </w:pPr>
            <w:r>
              <w:t xml:space="preserve">390</w:t>
            </w:r>
          </w:p>
        </w:tc>
        <w:tc>
          <w:tcPr/>
          <w:p>
            <w:pPr>
              <w:pStyle w:val="Compact"/>
              <w:jc w:val="left"/>
            </w:pPr>
            <w:r>
              <w:t xml:space="preserve">report id (S-xxxxx)</w:t>
            </w:r>
          </w:p>
        </w:tc>
        <w:tc>
          <w:tcPr/>
          <w:p>
            <w:pPr>
              <w:pStyle w:val="Compact"/>
              <w:jc w:val="left"/>
            </w:pPr>
            <w:r>
              <w:t xml:space="preserve">sampling frame</w:t>
            </w:r>
          </w:p>
        </w:tc>
        <w:tc>
          <w:tcPr/>
          <w:p>
            <w:pPr>
              <w:pStyle w:val="Compact"/>
              <w:jc w:val="left"/>
            </w:pPr>
            <w:r>
              <w:t xml:space="preserve">Table 1; Fig 1</w:t>
            </w:r>
          </w:p>
        </w:tc>
      </w:tr>
      <w:tr>
        <w:tc>
          <w:tcPr/>
          <w:p>
            <w:pPr>
              <w:pStyle w:val="Compact"/>
              <w:jc w:val="left"/>
            </w:pPr>
            <w:r>
              <w:t xml:space="preserve">1a</w:t>
            </w:r>
          </w:p>
        </w:tc>
        <w:tc>
          <w:tcPr/>
          <w:p>
            <w:pPr>
              <w:pStyle w:val="Compact"/>
              <w:jc w:val="left"/>
            </w:pPr>
            <w:r>
              <w:t xml:space="preserve">115-record eligibility re-adjudication subset</w:t>
            </w:r>
          </w:p>
        </w:tc>
        <w:tc>
          <w:tcPr/>
          <w:p>
            <w:pPr>
              <w:pStyle w:val="Compact"/>
              <w:jc w:val="left"/>
            </w:pPr>
            <w:r>
              <w:t xml:space="preserve">115</w:t>
            </w:r>
          </w:p>
        </w:tc>
        <w:tc>
          <w:tcPr/>
          <w:p>
            <w:pPr>
              <w:pStyle w:val="Compact"/>
              <w:jc w:val="left"/>
            </w:pPr>
            <w:r>
              <w:t xml:space="preserve">report id (S-xxxxx)</w:t>
            </w:r>
          </w:p>
        </w:tc>
        <w:tc>
          <w:tcPr/>
          <w:p>
            <w:pPr>
              <w:pStyle w:val="Compact"/>
              <w:jc w:val="left"/>
            </w:pPr>
            <w:r>
              <w:t xml:space="preserve">E1 = no / unable to determine</w:t>
            </w:r>
          </w:p>
        </w:tc>
        <w:tc>
          <w:tcPr/>
          <w:p>
            <w:pPr>
              <w:pStyle w:val="Compact"/>
              <w:jc w:val="left"/>
            </w:pPr>
            <w:r>
              <w:t xml:space="preserve">§2.9; Fig 1</w:t>
            </w:r>
          </w:p>
        </w:tc>
      </w:tr>
      <w:tr>
        <w:tc>
          <w:tcPr/>
          <w:p>
            <w:pPr>
              <w:pStyle w:val="Compact"/>
              <w:jc w:val="left"/>
            </w:pPr>
            <w:r>
              <w:t xml:space="preserve">1b</w:t>
            </w:r>
          </w:p>
        </w:tc>
        <w:tc>
          <w:tcPr/>
          <w:p>
            <w:pPr>
              <w:pStyle w:val="Compact"/>
              <w:jc w:val="left"/>
            </w:pPr>
            <w:r>
              <w:t xml:space="preserve">Excluded after re-adjudication</w:t>
            </w:r>
          </w:p>
        </w:tc>
        <w:tc>
          <w:tcPr/>
          <w:p>
            <w:pPr>
              <w:pStyle w:val="Compact"/>
              <w:jc w:val="left"/>
            </w:pPr>
            <w:r>
              <w:t xml:space="preserve">107</w:t>
            </w:r>
          </w:p>
        </w:tc>
        <w:tc>
          <w:tcPr/>
          <w:p>
            <w:pPr>
              <w:pStyle w:val="Compact"/>
              <w:jc w:val="left"/>
            </w:pPr>
            <w:r>
              <w:t xml:space="preserve">report id (S-xxxxx)</w:t>
            </w:r>
          </w:p>
        </w:tc>
        <w:tc>
          <w:tcPr/>
          <w:p>
            <w:pPr>
              <w:pStyle w:val="Compact"/>
              <w:jc w:val="left"/>
            </w:pPr>
            <w:r>
              <w:t xml:space="preserve">protocol non-conformance (TA-3 / FT-2)</w:t>
            </w:r>
          </w:p>
        </w:tc>
        <w:tc>
          <w:tcPr/>
          <w:p>
            <w:pPr>
              <w:pStyle w:val="Compact"/>
              <w:jc w:val="left"/>
            </w:pPr>
            <w:r>
              <w:t xml:space="preserve">§2.9</w:t>
            </w:r>
          </w:p>
        </w:tc>
      </w:tr>
      <w:tr>
        <w:tc>
          <w:tcPr/>
          <w:p>
            <w:pPr>
              <w:pStyle w:val="Compact"/>
              <w:jc w:val="left"/>
            </w:pPr>
            <w:r>
              <w:t xml:space="preserve">1c</w:t>
            </w:r>
          </w:p>
        </w:tc>
        <w:tc>
          <w:tcPr/>
          <w:p>
            <w:pPr>
              <w:pStyle w:val="Compact"/>
              <w:jc w:val="left"/>
            </w:pPr>
            <w:r>
              <w:t xml:space="preserve">Unresolved after re-adjudication</w:t>
            </w:r>
          </w:p>
        </w:tc>
        <w:tc>
          <w:tcPr/>
          <w:p>
            <w:pPr>
              <w:pStyle w:val="Compact"/>
              <w:jc w:val="left"/>
            </w:pPr>
            <w:r>
              <w:t xml:space="preserve">6</w:t>
            </w:r>
          </w:p>
        </w:tc>
        <w:tc>
          <w:tcPr/>
          <w:p>
            <w:pPr>
              <w:pStyle w:val="Compact"/>
              <w:jc w:val="left"/>
            </w:pPr>
            <w:r>
              <w:t xml:space="preserve">report id (S-xxxxx)</w:t>
            </w:r>
          </w:p>
        </w:tc>
        <w:tc>
          <w:tcPr/>
          <w:p>
            <w:pPr>
              <w:pStyle w:val="Compact"/>
              <w:jc w:val="left"/>
            </w:pPr>
            <w:r>
              <w:t xml:space="preserve">evidence insufficient; not counted as included</w:t>
            </w:r>
          </w:p>
        </w:tc>
        <w:tc>
          <w:tcPr/>
          <w:p>
            <w:pPr>
              <w:pStyle w:val="Compact"/>
              <w:jc w:val="left"/>
            </w:pPr>
            <w:r>
              <w:t xml:space="preserve">§2.9</w:t>
            </w:r>
          </w:p>
        </w:tc>
      </w:tr>
      <w:tr>
        <w:tc>
          <w:tcPr/>
          <w:p>
            <w:pPr>
              <w:pStyle w:val="Compact"/>
              <w:jc w:val="left"/>
            </w:pPr>
            <w:r>
              <w:t xml:space="preserve">1d</w:t>
            </w:r>
          </w:p>
        </w:tc>
        <w:tc>
          <w:tcPr/>
          <w:p>
            <w:pPr>
              <w:pStyle w:val="Compact"/>
              <w:jc w:val="left"/>
            </w:pPr>
            <w:r>
              <w:t xml:space="preserve">Included reports (analysis set)</w:t>
            </w:r>
          </w:p>
        </w:tc>
        <w:tc>
          <w:tcPr/>
          <w:p>
            <w:pPr>
              <w:pStyle w:val="Compact"/>
              <w:jc w:val="left"/>
            </w:pPr>
            <w:r>
              <w:t xml:space="preserve">277</w:t>
            </w:r>
          </w:p>
        </w:tc>
        <w:tc>
          <w:tcPr/>
          <w:p>
            <w:pPr>
              <w:pStyle w:val="Compact"/>
              <w:jc w:val="left"/>
            </w:pPr>
            <w:r>
              <w:t xml:space="preserve">report id (S-xxxxx)</w:t>
            </w:r>
          </w:p>
        </w:tc>
        <w:tc>
          <w:tcPr/>
          <w:p>
            <w:pPr>
              <w:pStyle w:val="Compact"/>
              <w:jc w:val="left"/>
            </w:pPr>
            <w:r>
              <w:t xml:space="preserve">final included set</w:t>
            </w:r>
          </w:p>
        </w:tc>
        <w:tc>
          <w:tcPr/>
          <w:p>
            <w:pPr>
              <w:pStyle w:val="Compact"/>
              <w:jc w:val="left"/>
            </w:pPr>
            <w:r>
              <w:t xml:space="preserve">Table 1; Fig 1</w:t>
            </w:r>
          </w:p>
        </w:tc>
      </w:tr>
      <w:tr>
        <w:tc>
          <w:tcPr/>
          <w:p>
            <w:pPr>
              <w:pStyle w:val="Compact"/>
              <w:jc w:val="left"/>
            </w:pPr>
            <w:r>
              <w:t xml:space="preserve">2</w:t>
            </w:r>
          </w:p>
        </w:tc>
        <w:tc>
          <w:tcPr/>
          <w:p>
            <w:pPr>
              <w:pStyle w:val="Compact"/>
              <w:jc w:val="left"/>
            </w:pPr>
            <w:r>
              <w:t xml:space="preserve">Study-level fields</w:t>
            </w:r>
          </w:p>
        </w:tc>
        <w:tc>
          <w:tcPr/>
          <w:p>
            <w:pPr>
              <w:pStyle w:val="Compact"/>
              <w:jc w:val="left"/>
            </w:pPr>
            <w:r>
              <w:t xml:space="preserve">29</w:t>
            </w:r>
          </w:p>
        </w:tc>
        <w:tc>
          <w:tcPr/>
          <w:p>
            <w:pPr>
              <w:pStyle w:val="Compact"/>
              <w:jc w:val="left"/>
            </w:pPr>
            <w:r>
              <w:t xml:space="preserve">field name</w:t>
            </w:r>
          </w:p>
        </w:tc>
        <w:tc>
          <w:tcPr/>
          <w:p>
            <w:pPr>
              <w:pStyle w:val="Compact"/>
              <w:jc w:val="left"/>
            </w:pPr>
            <w:r>
              <w:t xml:space="preserve">reliability units; each field coded over all 390 reports</w:t>
            </w:r>
          </w:p>
        </w:tc>
        <w:tc>
          <w:tcPr/>
          <w:p>
            <w:pPr>
              <w:pStyle w:val="Compact"/>
              <w:jc w:val="left"/>
            </w:pPr>
            <w:r>
              <w:t xml:space="preserve">Table 1; S1c</w:t>
            </w:r>
          </w:p>
        </w:tc>
      </w:tr>
      <w:tr>
        <w:tc>
          <w:tcPr/>
          <w:p>
            <w:pPr>
              <w:pStyle w:val="Compact"/>
              <w:jc w:val="left"/>
            </w:pPr>
            <w:r>
              <w:t xml:space="preserve">3</w:t>
            </w:r>
          </w:p>
        </w:tc>
        <w:tc>
          <w:tcPr/>
          <w:p>
            <w:pPr>
              <w:pStyle w:val="Compact"/>
              <w:jc w:val="left"/>
            </w:pPr>
            <w:r>
              <w:t xml:space="preserve">Fields with computed Krippendorff’s α</w:t>
            </w:r>
          </w:p>
        </w:tc>
        <w:tc>
          <w:tcPr/>
          <w:p>
            <w:pPr>
              <w:pStyle w:val="Compact"/>
              <w:jc w:val="left"/>
            </w:pPr>
            <w:r>
              <w:t xml:space="preserve">26</w:t>
            </w:r>
          </w:p>
        </w:tc>
        <w:tc>
          <w:tcPr/>
          <w:p>
            <w:pPr>
              <w:pStyle w:val="Compact"/>
              <w:jc w:val="left"/>
            </w:pPr>
            <w:r>
              <w:t xml:space="preserve">field name</w:t>
            </w:r>
          </w:p>
        </w:tc>
        <w:tc>
          <w:tcPr/>
          <w:p>
            <w:pPr>
              <w:pStyle w:val="Compact"/>
              <w:jc w:val="left"/>
            </w:pPr>
            <w:r>
              <w:t xml:space="preserve">of the 29 fields (20 nominal + 6 binary endpoint indicators)</w:t>
            </w:r>
          </w:p>
        </w:tc>
        <w:tc>
          <w:tcPr/>
          <w:p>
            <w:pPr>
              <w:pStyle w:val="Compact"/>
              <w:jc w:val="left"/>
            </w:pPr>
            <w:r>
              <w:t xml:space="preserve">Table 2; S1c</w:t>
            </w:r>
          </w:p>
        </w:tc>
      </w:tr>
      <w:tr>
        <w:tc>
          <w:tcPr/>
          <w:p>
            <w:pPr>
              <w:pStyle w:val="Compact"/>
              <w:jc w:val="left"/>
            </w:pPr>
            <w:r>
              <w:t xml:space="preserve">4</w:t>
            </w:r>
          </w:p>
        </w:tc>
        <w:tc>
          <w:tcPr/>
          <w:p>
            <w:pPr>
              <w:pStyle w:val="Compact"/>
              <w:jc w:val="left"/>
            </w:pPr>
            <w:r>
              <w:t xml:space="preserve">Fields below Po 0.80</w:t>
            </w:r>
          </w:p>
        </w:tc>
        <w:tc>
          <w:tcPr/>
          <w:p>
            <w:pPr>
              <w:pStyle w:val="Compact"/>
              <w:jc w:val="left"/>
            </w:pPr>
            <w:r>
              <w:t xml:space="preserve">8</w:t>
            </w:r>
          </w:p>
        </w:tc>
        <w:tc>
          <w:tcPr/>
          <w:p>
            <w:pPr>
              <w:pStyle w:val="Compact"/>
              <w:jc w:val="left"/>
            </w:pPr>
            <w:r>
              <w:t xml:space="preserve">field name</w:t>
            </w:r>
          </w:p>
        </w:tc>
        <w:tc>
          <w:tcPr/>
          <w:p>
            <w:pPr>
              <w:pStyle w:val="Compact"/>
              <w:jc w:val="left"/>
            </w:pPr>
            <w:r>
              <w:t xml:space="preserve">of the 29 fields</w:t>
            </w:r>
          </w:p>
        </w:tc>
        <w:tc>
          <w:tcPr/>
          <w:p>
            <w:pPr>
              <w:pStyle w:val="Compact"/>
              <w:jc w:val="left"/>
            </w:pPr>
            <w:r>
              <w:t xml:space="preserve">Table 2; S1c</w:t>
            </w:r>
          </w:p>
        </w:tc>
      </w:tr>
      <w:tr>
        <w:tc>
          <w:tcPr/>
          <w:p>
            <w:pPr>
              <w:pStyle w:val="Compact"/>
              <w:jc w:val="left"/>
            </w:pPr>
            <w:r>
              <w:t xml:space="preserve">5</w:t>
            </w:r>
          </w:p>
        </w:tc>
        <w:tc>
          <w:tcPr/>
          <w:p>
            <w:pPr>
              <w:pStyle w:val="Compact"/>
              <w:jc w:val="left"/>
            </w:pPr>
            <w:r>
              <w:t xml:space="preserve">Fields below α 0.67</w:t>
            </w:r>
          </w:p>
        </w:tc>
        <w:tc>
          <w:tcPr/>
          <w:p>
            <w:pPr>
              <w:pStyle w:val="Compact"/>
              <w:jc w:val="left"/>
            </w:pPr>
            <w:r>
              <w:t xml:space="preserve">11</w:t>
            </w:r>
          </w:p>
        </w:tc>
        <w:tc>
          <w:tcPr/>
          <w:p>
            <w:pPr>
              <w:pStyle w:val="Compact"/>
              <w:jc w:val="left"/>
            </w:pPr>
            <w:r>
              <w:t xml:space="preserve">field name</w:t>
            </w:r>
          </w:p>
        </w:tc>
        <w:tc>
          <w:tcPr/>
          <w:p>
            <w:pPr>
              <w:pStyle w:val="Compact"/>
              <w:jc w:val="left"/>
            </w:pPr>
            <w:r>
              <w:t xml:space="preserve">of the 26 α-computed fields (nominal 6/20, binary 5/6)</w:t>
            </w:r>
          </w:p>
        </w:tc>
        <w:tc>
          <w:tcPr/>
          <w:p>
            <w:pPr>
              <w:pStyle w:val="Compact"/>
              <w:jc w:val="left"/>
            </w:pPr>
            <w:r>
              <w:t xml:space="preserve">Table 2; S1c</w:t>
            </w:r>
          </w:p>
        </w:tc>
      </w:tr>
      <w:tr>
        <w:tc>
          <w:tcPr/>
          <w:p>
            <w:pPr>
              <w:pStyle w:val="Compact"/>
              <w:jc w:val="left"/>
            </w:pPr>
            <w:r>
              <w:t xml:space="preserve">6</w:t>
            </w:r>
          </w:p>
        </w:tc>
        <w:tc>
          <w:tcPr/>
          <w:p>
            <w:pPr>
              <w:pStyle w:val="Compact"/>
              <w:jc w:val="left"/>
            </w:pPr>
            <w:r>
              <w:t xml:space="preserve">Fields clearing Po while missing α</w:t>
            </w:r>
          </w:p>
        </w:tc>
        <w:tc>
          <w:tcPr/>
          <w:p>
            <w:pPr>
              <w:pStyle w:val="Compact"/>
              <w:jc w:val="left"/>
            </w:pPr>
            <w:r>
              <w:t xml:space="preserve">7</w:t>
            </w:r>
          </w:p>
        </w:tc>
        <w:tc>
          <w:tcPr/>
          <w:p>
            <w:pPr>
              <w:pStyle w:val="Compact"/>
              <w:jc w:val="left"/>
            </w:pPr>
            <w:r>
              <w:t xml:space="preserve">field name</w:t>
            </w:r>
          </w:p>
        </w:tc>
        <w:tc>
          <w:tcPr/>
          <w:p>
            <w:pPr>
              <w:pStyle w:val="Compact"/>
              <w:jc w:val="left"/>
            </w:pPr>
            <w:r>
              <w:t xml:space="preserve">Po ≥ 0.80 and α &lt; 0.67 (nominal 3 + binary 4; subset of #5)</w:t>
            </w:r>
          </w:p>
        </w:tc>
        <w:tc>
          <w:tcPr/>
          <w:p>
            <w:pPr>
              <w:pStyle w:val="Compact"/>
              <w:jc w:val="left"/>
            </w:pPr>
            <w:r>
              <w:t xml:space="preserve">Table 2; S1c</w:t>
            </w:r>
          </w:p>
        </w:tc>
      </w:tr>
      <w:tr>
        <w:tc>
          <w:tcPr/>
          <w:p>
            <w:pPr>
              <w:pStyle w:val="Compact"/>
              <w:jc w:val="left"/>
            </w:pPr>
            <w:r>
              <w:t xml:space="preserve">7</w:t>
            </w:r>
          </w:p>
        </w:tc>
        <w:tc>
          <w:tcPr/>
          <w:p>
            <w:pPr>
              <w:pStyle w:val="Compact"/>
              <w:jc w:val="left"/>
            </w:pPr>
            <w:r>
              <w:t xml:space="preserve">Citation judgments</w:t>
            </w:r>
          </w:p>
        </w:tc>
        <w:tc>
          <w:tcPr/>
          <w:p>
            <w:pPr>
              <w:pStyle w:val="Compact"/>
              <w:jc w:val="left"/>
            </w:pPr>
            <w:r>
              <w:t xml:space="preserve">9,415</w:t>
            </w:r>
          </w:p>
        </w:tc>
        <w:tc>
          <w:tcPr/>
          <w:p>
            <w:pPr>
              <w:pStyle w:val="Compact"/>
              <w:jc w:val="left"/>
            </w:pPr>
            <w:r>
              <w:t xml:space="preserve">(report, field, citation)</w:t>
            </w:r>
          </w:p>
        </w:tc>
        <w:tc>
          <w:tcPr/>
          <w:p>
            <w:pPr>
              <w:pStyle w:val="Compact"/>
              <w:jc w:val="left"/>
            </w:pPr>
            <w:r>
              <w:t xml:space="preserve">single-coder (coder A), pre-adjudication, judgment-level denominator</w:t>
            </w:r>
          </w:p>
        </w:tc>
        <w:tc>
          <w:tcPr/>
          <w:p>
            <w:pPr>
              <w:pStyle w:val="Compact"/>
              <w:jc w:val="left"/>
            </w:pPr>
            <w:r>
              <w:t xml:space="preserve">Table 1, 3; Fig 3</w:t>
            </w:r>
          </w:p>
        </w:tc>
      </w:tr>
      <w:tr>
        <w:tc>
          <w:tcPr/>
          <w:p>
            <w:pPr>
              <w:pStyle w:val="Compact"/>
              <w:jc w:val="left"/>
            </w:pPr>
            <w:r>
              <w:t xml:space="preserve">7a</w:t>
            </w:r>
          </w:p>
        </w:tc>
        <w:tc>
          <w:tcPr/>
          <w:p>
            <w:pPr>
              <w:pStyle w:val="Compact"/>
              <w:jc w:val="left"/>
            </w:pPr>
            <w:r>
              <w:t xml:space="preserve">— whole-passage verbatim</w:t>
            </w:r>
          </w:p>
        </w:tc>
        <w:tc>
          <w:tcPr/>
          <w:p>
            <w:pPr>
              <w:pStyle w:val="Compact"/>
              <w:jc w:val="left"/>
            </w:pPr>
            <w:r>
              <w:t xml:space="preserve">6,215</w:t>
            </w:r>
          </w:p>
        </w:tc>
        <w:tc>
          <w:tcPr/>
          <w:p>
            <w:pPr>
              <w:pStyle w:val="Compact"/>
              <w:jc w:val="left"/>
            </w:pPr>
            <w:r>
              <w:t xml:space="preserve">same</w:t>
            </w:r>
          </w:p>
        </w:tc>
        <w:tc>
          <w:tcPr/>
          <w:p>
            <w:pPr>
              <w:pStyle w:val="Compact"/>
              <w:jc w:val="left"/>
            </w:pPr>
            <w:r>
              <w:t xml:space="preserve">of 9,415 (66.0%)</w:t>
            </w:r>
          </w:p>
        </w:tc>
        <w:tc>
          <w:tcPr/>
          <w:p>
            <w:pPr>
              <w:pStyle w:val="Compact"/>
              <w:jc w:val="left"/>
            </w:pPr>
            <w:r>
              <w:t xml:space="preserve">Table 3</w:t>
            </w:r>
          </w:p>
        </w:tc>
      </w:tr>
      <w:tr>
        <w:tc>
          <w:tcPr/>
          <w:p>
            <w:pPr>
              <w:pStyle w:val="Compact"/>
              <w:jc w:val="left"/>
            </w:pPr>
            <w:r>
              <w:t xml:space="preserve">7b</w:t>
            </w:r>
          </w:p>
        </w:tc>
        <w:tc>
          <w:tcPr/>
          <w:p>
            <w:pPr>
              <w:pStyle w:val="Compact"/>
              <w:jc w:val="left"/>
            </w:pPr>
            <w:r>
              <w:t xml:space="preserve">— first-25-character only</w:t>
            </w:r>
          </w:p>
        </w:tc>
        <w:tc>
          <w:tcPr/>
          <w:p>
            <w:pPr>
              <w:pStyle w:val="Compact"/>
              <w:jc w:val="left"/>
            </w:pPr>
            <w:r>
              <w:t xml:space="preserve">2,229</w:t>
            </w:r>
          </w:p>
        </w:tc>
        <w:tc>
          <w:tcPr/>
          <w:p>
            <w:pPr>
              <w:pStyle w:val="Compact"/>
              <w:jc w:val="left"/>
            </w:pPr>
            <w:r>
              <w:t xml:space="preserve">same</w:t>
            </w:r>
          </w:p>
        </w:tc>
        <w:tc>
          <w:tcPr/>
          <w:p>
            <w:pPr>
              <w:pStyle w:val="Compact"/>
              <w:jc w:val="left"/>
            </w:pPr>
            <w:r>
              <w:t xml:space="preserve">of 9,415 (23.7%)</w:t>
            </w:r>
          </w:p>
        </w:tc>
        <w:tc>
          <w:tcPr/>
          <w:p>
            <w:pPr>
              <w:pStyle w:val="Compact"/>
              <w:jc w:val="left"/>
            </w:pPr>
            <w:r>
              <w:t xml:space="preserve">Table 3</w:t>
            </w:r>
          </w:p>
        </w:tc>
      </w:tr>
      <w:tr>
        <w:tc>
          <w:tcPr/>
          <w:p>
            <w:pPr>
              <w:pStyle w:val="Compact"/>
              <w:jc w:val="left"/>
            </w:pPr>
            <w:r>
              <w:t xml:space="preserve">7c</w:t>
            </w:r>
          </w:p>
        </w:tc>
        <w:tc>
          <w:tcPr/>
          <w:p>
            <w:pPr>
              <w:pStyle w:val="Compact"/>
              <w:jc w:val="left"/>
            </w:pPr>
            <w:r>
              <w:t xml:space="preserve">— unmatched</w:t>
            </w:r>
          </w:p>
        </w:tc>
        <w:tc>
          <w:tcPr/>
          <w:p>
            <w:pPr>
              <w:pStyle w:val="Compact"/>
              <w:jc w:val="left"/>
            </w:pPr>
            <w:r>
              <w:t xml:space="preserve">971</w:t>
            </w:r>
          </w:p>
        </w:tc>
        <w:tc>
          <w:tcPr/>
          <w:p>
            <w:pPr>
              <w:pStyle w:val="Compact"/>
              <w:jc w:val="left"/>
            </w:pPr>
            <w:r>
              <w:t xml:space="preserve">same</w:t>
            </w:r>
          </w:p>
        </w:tc>
        <w:tc>
          <w:tcPr/>
          <w:p>
            <w:pPr>
              <w:pStyle w:val="Compact"/>
              <w:jc w:val="left"/>
            </w:pPr>
            <w:r>
              <w:t xml:space="preserve">of 9,415 (10.3%)</w:t>
            </w:r>
          </w:p>
        </w:tc>
        <w:tc>
          <w:tcPr/>
          <w:p>
            <w:pPr>
              <w:pStyle w:val="Compact"/>
              <w:jc w:val="left"/>
            </w:pPr>
            <w:r>
              <w:t xml:space="preserve">Table 3</w:t>
            </w:r>
          </w:p>
        </w:tc>
      </w:tr>
      <w:tr>
        <w:tc>
          <w:tcPr/>
          <w:p>
            <w:pPr>
              <w:pStyle w:val="Compact"/>
              <w:jc w:val="left"/>
            </w:pPr>
            <w:r>
              <w:t xml:space="preserve">7c-i</w:t>
            </w:r>
          </w:p>
        </w:tc>
        <w:tc>
          <w:tcPr/>
          <w:p>
            <w:pPr>
              <w:pStyle w:val="Compact"/>
              <w:jc w:val="left"/>
            </w:pPr>
            <w:r>
              <w:t xml:space="preserve">— in multi-citation cells</w:t>
            </w:r>
          </w:p>
        </w:tc>
        <w:tc>
          <w:tcPr/>
          <w:p>
            <w:pPr>
              <w:pStyle w:val="Compact"/>
              <w:jc w:val="left"/>
            </w:pPr>
            <w:r>
              <w:t xml:space="preserve">721</w:t>
            </w:r>
          </w:p>
        </w:tc>
        <w:tc>
          <w:tcPr/>
          <w:p>
            <w:pPr>
              <w:pStyle w:val="Compact"/>
              <w:jc w:val="left"/>
            </w:pPr>
            <w:r>
              <w:t xml:space="preserve">cell holding &gt;1 citation</w:t>
            </w:r>
          </w:p>
        </w:tc>
        <w:tc>
          <w:tcPr/>
          <w:p>
            <w:pPr>
              <w:pStyle w:val="Compact"/>
              <w:jc w:val="left"/>
            </w:pPr>
            <w:r>
              <w:t xml:space="preserve">subset of 971</w:t>
            </w:r>
          </w:p>
        </w:tc>
        <w:tc>
          <w:tcPr/>
          <w:p>
            <w:pPr>
              <w:pStyle w:val="Compact"/>
              <w:jc w:val="left"/>
            </w:pPr>
            <w:r>
              <w:t xml:space="preserve">Table 3; S3b</w:t>
            </w:r>
          </w:p>
        </w:tc>
      </w:tr>
      <w:tr>
        <w:tc>
          <w:tcPr/>
          <w:p>
            <w:pPr>
              <w:pStyle w:val="Compact"/>
              <w:jc w:val="left"/>
            </w:pPr>
            <w:r>
              <w:t xml:space="preserve">7c-ii</w:t>
            </w:r>
          </w:p>
        </w:tc>
        <w:tc>
          <w:tcPr/>
          <w:p>
            <w:pPr>
              <w:pStyle w:val="Compact"/>
              <w:jc w:val="left"/>
            </w:pPr>
            <w:r>
              <w:t xml:space="preserve">— zero-prefix (no 8-character prefix)</w:t>
            </w:r>
          </w:p>
        </w:tc>
        <w:tc>
          <w:tcPr/>
          <w:p>
            <w:pPr>
              <w:pStyle w:val="Compact"/>
              <w:jc w:val="left"/>
            </w:pPr>
            <w:r>
              <w:t xml:space="preserve">50</w:t>
            </w:r>
          </w:p>
        </w:tc>
        <w:tc>
          <w:tcPr/>
          <w:p>
            <w:pPr>
              <w:pStyle w:val="Compact"/>
              <w:jc w:val="left"/>
            </w:pPr>
            <w:r>
              <w:t xml:space="preserve">single-citation cell</w:t>
            </w:r>
          </w:p>
        </w:tc>
        <w:tc>
          <w:tcPr/>
          <w:p>
            <w:pPr>
              <w:pStyle w:val="Compact"/>
              <w:jc w:val="left"/>
            </w:pPr>
            <w:r>
              <w:t xml:space="preserve">subset of 971; disjoint from #7c-i</w:t>
            </w:r>
          </w:p>
        </w:tc>
        <w:tc>
          <w:tcPr/>
          <w:p>
            <w:pPr>
              <w:pStyle w:val="Compact"/>
              <w:jc w:val="left"/>
            </w:pPr>
            <w:r>
              <w:t xml:space="preserve">Table 3; S3b</w:t>
            </w:r>
          </w:p>
        </w:tc>
      </w:tr>
      <w:tr>
        <w:tc>
          <w:tcPr/>
          <w:p>
            <w:pPr>
              <w:pStyle w:val="Compact"/>
              <w:jc w:val="left"/>
            </w:pPr>
            <w:r>
              <w:t xml:space="preserve">7c-iii</w:t>
            </w:r>
          </w:p>
        </w:tc>
        <w:tc>
          <w:tcPr/>
          <w:p>
            <w:pPr>
              <w:pStyle w:val="Compact"/>
              <w:jc w:val="left"/>
            </w:pPr>
            <w:r>
              <w:t xml:space="preserve">— other single-citation failures</w:t>
            </w:r>
          </w:p>
        </w:tc>
        <w:tc>
          <w:tcPr/>
          <w:p>
            <w:pPr>
              <w:pStyle w:val="Compact"/>
              <w:jc w:val="left"/>
            </w:pPr>
            <w:r>
              <w:t xml:space="preserve">200</w:t>
            </w:r>
          </w:p>
        </w:tc>
        <w:tc>
          <w:tcPr/>
          <w:p>
            <w:pPr>
              <w:pStyle w:val="Compact"/>
              <w:jc w:val="left"/>
            </w:pPr>
            <w:r>
              <w:t xml:space="preserve">single-citation cell</w:t>
            </w:r>
          </w:p>
        </w:tc>
        <w:tc>
          <w:tcPr/>
          <w:p>
            <w:pPr>
              <w:pStyle w:val="Compact"/>
              <w:jc w:val="left"/>
            </w:pPr>
            <w:r>
              <w:t xml:space="preserve">971 = 721 + 250 (50 + 200)</w:t>
            </w:r>
          </w:p>
        </w:tc>
        <w:tc>
          <w:tcPr/>
          <w:p>
            <w:pPr>
              <w:pStyle w:val="Compact"/>
              <w:jc w:val="left"/>
            </w:pPr>
            <w:r>
              <w:t xml:space="preserve">S3b</w:t>
            </w:r>
          </w:p>
        </w:tc>
      </w:tr>
      <w:tr>
        <w:tc>
          <w:tcPr/>
          <w:p>
            <w:pPr>
              <w:pStyle w:val="Compact"/>
              <w:jc w:val="left"/>
            </w:pPr>
            <w:r>
              <w:t xml:space="preserve">8</w:t>
            </w:r>
          </w:p>
        </w:tc>
        <w:tc>
          <w:tcPr/>
          <w:p>
            <w:pPr>
              <w:pStyle w:val="Compact"/>
              <w:jc w:val="left"/>
            </w:pPr>
            <w:r>
              <w:t xml:space="preserve">115-row attribution ledger (attribution frame)</w:t>
            </w:r>
          </w:p>
        </w:tc>
        <w:tc>
          <w:tcPr/>
          <w:p>
            <w:pPr>
              <w:pStyle w:val="Compact"/>
              <w:jc w:val="left"/>
            </w:pPr>
            <w:r>
              <w:t xml:space="preserve">115 rows / 113 unique keys</w:t>
            </w:r>
          </w:p>
        </w:tc>
        <w:tc>
          <w:tcPr/>
          <w:p>
            <w:pPr>
              <w:pStyle w:val="Compact"/>
              <w:jc w:val="left"/>
            </w:pPr>
            <w:r>
              <w:t xml:space="preserve">(screening_id, field)</w:t>
            </w:r>
          </w:p>
        </w:tc>
        <w:tc>
          <w:tcPr/>
          <w:p>
            <w:pPr>
              <w:pStyle w:val="Compact"/>
              <w:jc w:val="left"/>
            </w:pPr>
            <w:r>
              <w:t xml:space="preserve">Gate 3 ledger</w:t>
            </w:r>
          </w:p>
        </w:tc>
        <w:tc>
          <w:tcPr/>
          <w:p>
            <w:pPr>
              <w:pStyle w:val="Compact"/>
              <w:jc w:val="left"/>
            </w:pPr>
            <w:r>
              <w:t xml:space="preserve">Table 4; Fig 4</w:t>
            </w:r>
          </w:p>
        </w:tc>
      </w:tr>
      <w:tr>
        <w:tc>
          <w:tcPr/>
          <w:p>
            <w:pPr>
              <w:pStyle w:val="Compact"/>
              <w:jc w:val="left"/>
            </w:pPr>
            <w:r>
              <w:t xml:space="preserve">9</w:t>
            </w:r>
          </w:p>
        </w:tc>
        <w:tc>
          <w:tcPr/>
          <w:p>
            <w:pPr>
              <w:pStyle w:val="Compact"/>
              <w:jc w:val="left"/>
            </w:pPr>
            <w:r>
              <w:t xml:space="preserve">Gate 1 diagnostic subset</w:t>
            </w:r>
          </w:p>
        </w:tc>
        <w:tc>
          <w:tcPr/>
          <w:p>
            <w:pPr>
              <w:pStyle w:val="Compact"/>
              <w:jc w:val="left"/>
            </w:pPr>
            <w:r>
              <w:t xml:space="preserve">23 cells / 24 rows</w:t>
            </w:r>
          </w:p>
        </w:tc>
        <w:tc>
          <w:tcPr/>
          <w:p>
            <w:pPr>
              <w:pStyle w:val="Compact"/>
              <w:jc w:val="left"/>
            </w:pPr>
            <w:r>
              <w:t xml:space="preserve">(screening_id, field)</w:t>
            </w:r>
          </w:p>
        </w:tc>
        <w:tc>
          <w:tcPr/>
          <w:p>
            <w:pPr>
              <w:pStyle w:val="Compact"/>
              <w:jc w:val="left"/>
            </w:pPr>
            <w:r>
              <w:t xml:space="preserve">drawn from the 115-row frame</w:t>
            </w:r>
          </w:p>
        </w:tc>
        <w:tc>
          <w:tcPr/>
          <w:p>
            <w:pPr>
              <w:pStyle w:val="Compact"/>
              <w:jc w:val="left"/>
            </w:pPr>
            <w:r>
              <w:t xml:space="preserve">Table 4; S4b</w:t>
            </w:r>
          </w:p>
        </w:tc>
      </w:tr>
      <w:tr>
        <w:tc>
          <w:tcPr/>
          <w:p>
            <w:pPr>
              <w:pStyle w:val="Compact"/>
              <w:jc w:val="left"/>
            </w:pPr>
            <w:r>
              <w:t xml:space="preserve">10</w:t>
            </w:r>
          </w:p>
        </w:tc>
        <w:tc>
          <w:tcPr/>
          <w:p>
            <w:pPr>
              <w:pStyle w:val="Compact"/>
              <w:jc w:val="left"/>
            </w:pPr>
            <w:r>
              <w:t xml:space="preserve">Gate 3 attribution-judgment cells (115-row attribution ledger cells)</w:t>
            </w:r>
          </w:p>
        </w:tc>
        <w:tc>
          <w:tcPr/>
          <w:p>
            <w:pPr>
              <w:pStyle w:val="Compact"/>
              <w:jc w:val="left"/>
            </w:pPr>
            <w:r>
              <w:t xml:space="preserve">115 cells</w:t>
            </w:r>
          </w:p>
        </w:tc>
        <w:tc>
          <w:tcPr/>
          <w:p>
            <w:pPr>
              <w:pStyle w:val="Compact"/>
              <w:jc w:val="left"/>
            </w:pPr>
            <w:r>
              <w:t xml:space="preserve">(screening_id, field)</w:t>
            </w:r>
          </w:p>
        </w:tc>
        <w:tc>
          <w:tcPr/>
          <w:p>
            <w:pPr>
              <w:pStyle w:val="Compact"/>
              <w:jc w:val="left"/>
            </w:pPr>
            <w:r>
              <w:t xml:space="preserve">76 disagreement + 39 control</w:t>
            </w:r>
          </w:p>
        </w:tc>
        <w:tc>
          <w:tcPr/>
          <w:p>
            <w:pPr>
              <w:pStyle w:val="Compact"/>
              <w:jc w:val="left"/>
            </w:pPr>
            <w:r>
              <w:t xml:space="preserve">Table 4; Fig 4</w:t>
            </w:r>
          </w:p>
        </w:tc>
      </w:tr>
      <w:tr>
        <w:tc>
          <w:tcPr/>
          <w:p>
            <w:pPr>
              <w:pStyle w:val="Compact"/>
              <w:jc w:val="left"/>
            </w:pPr>
            <w:r>
              <w:t xml:space="preserve">11</w:t>
            </w:r>
          </w:p>
        </w:tc>
        <w:tc>
          <w:tcPr/>
          <w:p>
            <w:pPr>
              <w:pStyle w:val="Compact"/>
              <w:jc w:val="left"/>
            </w:pPr>
            <w:r>
              <w:t xml:space="preserve">Null-model segments</w:t>
            </w:r>
          </w:p>
        </w:tc>
        <w:tc>
          <w:tcPr/>
          <w:p>
            <w:pPr>
              <w:pStyle w:val="Compact"/>
              <w:jc w:val="left"/>
            </w:pPr>
            <w:r>
              <w:t xml:space="preserve">200</w:t>
            </w:r>
          </w:p>
        </w:tc>
        <w:tc>
          <w:tcPr/>
          <w:p>
            <w:pPr>
              <w:pStyle w:val="Compact"/>
              <w:jc w:val="left"/>
            </w:pPr>
            <w:r>
              <w:t xml:space="preserve">equal-length segments</w:t>
            </w:r>
          </w:p>
        </w:tc>
        <w:tc>
          <w:tcPr/>
          <w:p>
            <w:pPr>
              <w:pStyle w:val="Compact"/>
              <w:jc w:val="left"/>
            </w:pPr>
            <w:r>
              <w:t xml:space="preserve">drawn per normalized citation; seed 20260926</w:t>
            </w:r>
          </w:p>
        </w:tc>
        <w:tc>
          <w:tcPr/>
          <w:p>
            <w:pPr>
              <w:pStyle w:val="Compact"/>
              <w:jc w:val="left"/>
            </w:pPr>
            <w:r>
              <w:t xml:space="preserve">S3</w:t>
            </w:r>
          </w:p>
        </w:tc>
      </w:tr>
      <w:tr>
        <w:tc>
          <w:tcPr/>
          <w:p>
            <w:pPr>
              <w:pStyle w:val="Compact"/>
              <w:jc w:val="left"/>
            </w:pPr>
            <w:r>
              <w:t xml:space="preserve">12</w:t>
            </w:r>
          </w:p>
        </w:tc>
        <w:tc>
          <w:tcPr/>
          <w:p>
            <w:pPr>
              <w:pStyle w:val="Compact"/>
              <w:jc w:val="left"/>
            </w:pPr>
            <w:r>
              <w:t xml:space="preserve">Cells not verified before submission</w:t>
            </w:r>
          </w:p>
        </w:tc>
        <w:tc>
          <w:tcPr/>
          <w:p>
            <w:pPr>
              <w:pStyle w:val="Compact"/>
              <w:jc w:val="left"/>
            </w:pPr>
            <w:r>
              <w:t xml:space="preserve">12</w:t>
            </w:r>
          </w:p>
        </w:tc>
        <w:tc>
          <w:tcPr/>
          <w:p>
            <w:pPr>
              <w:pStyle w:val="Compact"/>
              <w:jc w:val="left"/>
            </w:pPr>
            <w:r>
              <w:t xml:space="preserve">(screening_id, model family / field)</w:t>
            </w:r>
          </w:p>
        </w:tc>
        <w:tc>
          <w:tcPr/>
          <w:p>
            <w:pPr>
              <w:pStyle w:val="Compact"/>
              <w:jc w:val="left"/>
            </w:pPr>
            <w:r>
              <w:t xml:space="preserve">listed, not adjudicated; frozen denominators unaffected</w:t>
            </w:r>
          </w:p>
        </w:tc>
        <w:tc>
          <w:tcPr/>
          <w:p>
            <w:pPr>
              <w:pStyle w:val="Compact"/>
              <w:jc w:val="left"/>
            </w:pPr>
            <w:r>
              <w:t xml:space="preserve">S6</w:t>
            </w:r>
          </w:p>
        </w:tc>
      </w:tr>
      <w:tr>
        <w:tc>
          <w:tcPr/>
          <w:p>
            <w:pPr>
              <w:pStyle w:val="Compact"/>
              <w:jc w:val="left"/>
            </w:pPr>
            <w:r>
              <w:t xml:space="preserve">13</w:t>
            </w:r>
          </w:p>
        </w:tc>
        <w:tc>
          <w:tcPr/>
          <w:p>
            <w:pPr>
              <w:pStyle w:val="Compact"/>
              <w:jc w:val="left"/>
            </w:pPr>
            <w:r>
              <w:t xml:space="preserve">Voided batch</w:t>
            </w:r>
          </w:p>
        </w:tc>
        <w:tc>
          <w:tcPr/>
          <w:p>
            <w:pPr>
              <w:pStyle w:val="Compact"/>
              <w:jc w:val="left"/>
            </w:pPr>
            <w:r>
              <w:t xml:space="preserve">100 cells</w:t>
            </w:r>
          </w:p>
        </w:tc>
        <w:tc>
          <w:tcPr/>
          <w:p>
            <w:pPr>
              <w:pStyle w:val="Compact"/>
              <w:jc w:val="left"/>
            </w:pPr>
            <w:r>
              <w:t xml:space="preserve">K100 judgment batch</w:t>
            </w:r>
          </w:p>
        </w:tc>
        <w:tc>
          <w:tcPr/>
          <w:p>
            <w:pPr>
              <w:pStyle w:val="Compact"/>
              <w:jc w:val="left"/>
            </w:pPr>
            <w:r>
              <w:t xml:space="preserve">disposition only; outside reported results</w:t>
            </w:r>
          </w:p>
        </w:tc>
        <w:tc>
          <w:tcPr/>
          <w:p>
            <w:pPr>
              <w:pStyle w:val="Compact"/>
              <w:jc w:val="left"/>
            </w:pPr>
            <w:r>
              <w:t xml:space="preserve">S4; S7</w:t>
            </w:r>
          </w:p>
        </w:tc>
      </w:tr>
    </w:tbl>
    <w:bookmarkStart w:id="48" w:name="clarifications"/>
    <w:p>
      <w:pPr>
        <w:pStyle w:val="Heading3"/>
      </w:pPr>
      <w:r>
        <w:t xml:space="preserve">Clarifications</w:t>
      </w:r>
    </w:p>
    <w:p>
      <w:pPr>
        <w:pStyle w:val="FirstParagraph"/>
      </w:pPr>
      <w:r>
        <w:rPr>
          <w:bCs/>
          <w:b/>
        </w:rPr>
        <w:t xml:space="preserve">C1 (the 23-cell subset and the two gate-frame</w:t>
      </w:r>
      <w:r>
        <w:rPr>
          <w:bCs/>
          <w:b/>
        </w:rPr>
        <w:t xml:space="preserve"> </w:t>
      </w:r>
      <w:r>
        <w:rPr>
          <w:bCs/>
          <w:b/>
        </w:rPr>
        <w:t xml:space="preserve">“</w:t>
      </w:r>
      <w:r>
        <w:rPr>
          <w:bCs/>
          <w:b/>
        </w:rPr>
        <w:t xml:space="preserve">115</w:t>
      </w:r>
      <w:r>
        <w:rPr>
          <w:bCs/>
          <w:b/>
        </w:rPr>
        <w:t xml:space="preserve">”</w:t>
      </w:r>
      <w:r>
        <w:rPr>
          <w:bCs/>
          <w:b/>
        </w:rPr>
        <w:t xml:space="preserve"> </w:t>
      </w:r>
      <w:r>
        <w:rPr>
          <w:bCs/>
          <w:b/>
        </w:rPr>
        <w:t xml:space="preserve">labels).</w:t>
      </w:r>
      <w:r>
        <w:t xml:space="preserve"> </w:t>
      </w:r>
      <w:r>
        <w:t xml:space="preserve">The 23-cell Gate 1 diagnostic subset (#9) is a simple random subset (seed 20260925; not stratified) drawn from the 115-row attribution ledger (#8/#10). The two gate-frame</w:t>
      </w:r>
      <w:r>
        <w:t xml:space="preserve"> </w:t>
      </w:r>
      <w:r>
        <w:t xml:space="preserve">“</w:t>
      </w:r>
      <w:r>
        <w:t xml:space="preserve">115-row attribution ledger</w:t>
      </w:r>
      <w:r>
        <w:t xml:space="preserve">”</w:t>
      </w:r>
      <w:r>
        <w:t xml:space="preserve"> </w:t>
      </w:r>
      <w:r>
        <w:t xml:space="preserve">labels name this one frame read by different gates:</w:t>
      </w:r>
      <w:r>
        <w:t xml:space="preserve"> </w:t>
      </w:r>
      <w:r>
        <w:t xml:space="preserve">“</w:t>
      </w:r>
      <w:r>
        <w:t xml:space="preserve">115 sampled cells</w:t>
      </w:r>
      <w:r>
        <w:t xml:space="preserve">”</w:t>
      </w:r>
      <w:r>
        <w:t xml:space="preserve"> </w:t>
      </w:r>
      <w:r>
        <w:t xml:space="preserve">is the 115-row attribution-ledger frame from which Gate 1 drew its 23-cell diagnostic subset while</w:t>
      </w:r>
      <w:r>
        <w:t xml:space="preserve"> </w:t>
      </w:r>
      <w:r>
        <w:t xml:space="preserve">“</w:t>
      </w:r>
      <w:r>
        <w:t xml:space="preserve">115 attribution-judgment cells</w:t>
      </w:r>
      <w:r>
        <w:t xml:space="preserve">”</w:t>
      </w:r>
      <w:r>
        <w:t xml:space="preserve"> </w:t>
      </w:r>
      <w:r>
        <w:t xml:space="preserve">is the same 115-ledger cells (76 disagreement + 39 control) against which Gate 3’s Po was computed. This ledger is distinct from the 115-record eligibility re-adjudication subset defined in Manuscript §2.9 and S8 row 1a. All 23 Gate 1 keys occur in the 115-row ledger, so the subset sits inside the Gate 3 frame and the two samples are not independent. No number is changed; this clarification only makes the bases explicit.</w:t>
      </w:r>
    </w:p>
    <w:p>
      <w:pPr>
        <w:pStyle w:val="BodyText"/>
      </w:pPr>
      <w:r>
        <w:rPr>
          <w:bCs/>
          <w:b/>
        </w:rPr>
        <w:t xml:space="preserve">C2 (the 12 unverified cells and the frozen denominators).</w:t>
      </w:r>
      <w:r>
        <w:t xml:space="preserve"> </w:t>
      </w:r>
      <w:r>
        <w:t xml:space="preserve">The 12 cells of Table S6 lie outside the 390 reports, the 29-field coding, the 9,415 citation judgments and the 115-row ledger; the frozen denominators (#7 = 9,415; #1 = 390; #8 = 115) are not reduced by them. The boundary and the S-02909 case are set out with Table S6.</w:t>
      </w:r>
    </w:p>
    <w:p>
      <w:pPr>
        <w:pStyle w:val="BodyText"/>
      </w:pPr>
      <w:r>
        <w:rPr>
          <w:bCs/>
          <w:b/>
        </w:rPr>
        <w:t xml:space="preserve">C3 (attribution keys versus study-level fields).</w:t>
      </w:r>
      <w:r>
        <w:t xml:space="preserve"> </w:t>
      </w:r>
      <w:r>
        <w:t xml:space="preserve">The 115-row attribution frame keys on (screening_id, field) using an attribution-key vocabulary. In the 23-cell subset this vocabulary comprises seven keys (see Table S4b); only endpoint_L2 also names a study-level field in the 29-field reliability table (#2). The remaining keys — external_validation, training_data_source, evaluation_data_source, comparator_type, config_role, intended_use_explicitly_reported — are attribution/evidence keys distinct from the 29 fields, near-name variants rather than the same field (for example comparator_type here versus comparator in #2). The two vocabularies serve different purposes: the 29 fields are the coded values whose reliability is reported, while the attribution keys locate where a judgment’s supporting evidence sits. Across the full 115-row ledger there are ten keys: four name study-level fields of #2 (endpoint_L2 25 rows, comparator 3, access_interface 3, study_design_reviewer 3; 34 rows) and six are attribution keys (external_validation 23, training_data_source 17, evaluation_data_source 17, comparator_type 12, config_role 9, intended_use_explicitly_reported 3; 81 rows). Gate 3 Po is 74/115 = 0.6435 on all rows; restricted to the 113 unique (screening_id, field) keys it is 73/113 = 0.646. The two duplicated keys are (S-02428, training_data_source), whose two rows disagree on the primary attribution, and (S-05812, endpoint_L2), whose two rows agree on the primary attribution. Collapsing each pair to one key removes two rows (115 → 113) and removes one agreeing row (the S-05812 pair), so 74 agreeing rows become 73 agreeing keys: 73/113 = 0.646, as reported.</w:t>
      </w:r>
    </w:p>
    <w:p>
      <w:pPr>
        <w:pStyle w:val="BodyText"/>
      </w:pPr>
      <w:r>
        <w:rPr>
          <w:bCs/>
          <w:b/>
        </w:rPr>
        <w:t xml:space="preserve">C4 (analysis granularity).</w:t>
      </w:r>
      <w:r>
        <w:t xml:space="preserve"> </w:t>
      </w:r>
      <w:r>
        <w:t xml:space="preserve">Each study-level field’s reliability is computed over the 390 coded records (one value per field per report, N = 390 in S1c). The attribution frame is keyed by (screening_id, field) and can hold more than one row for a given key when a report spans more than one model family or recode layer — for example (S-02428, training_data_source) occupies two rows (two model families) and (S-05812, endpoint_L2) spans two recode layers, leaving 113 unique (screening_id, field) keys across the 115 rows. These two granularities are reported separately and are not read against each other.</w:t>
      </w:r>
    </w:p>
    <w:p>
      <w:r>
        <w:pict>
          <v:rect style="width:0;height:1.5pt" o:hralign="center" o:hrstd="t" o:hr="t"/>
        </w:pict>
      </w:r>
    </w:p>
    <w:bookmarkEnd w:id="48"/>
    <w:bookmarkEnd w:id="49"/>
    <w:bookmarkStart w:id="52" w:name="X85327a21f1d9b6190f71379cff63c88cc25e936"/>
    <w:p>
      <w:pPr>
        <w:pStyle w:val="Heading2"/>
      </w:pPr>
      <w:r>
        <w:t xml:space="preserve">S9. Interval estimates and bounds (post hoc, descriptive)</w:t>
      </w:r>
    </w:p>
    <w:p>
      <w:pPr>
        <w:pStyle w:val="FirstParagraph"/>
      </w:pPr>
      <w:r>
        <w:t xml:space="preserve">Note: this table is based on the pre-adjudication 390-record coded corpus; the included set is 277, and the differing denominators are by design.</w:t>
      </w:r>
    </w:p>
    <w:p>
      <w:pPr>
        <w:pStyle w:val="BodyText"/>
      </w:pPr>
      <w:r>
        <w:t xml:space="preserve">These intervals were computed after all point estimates were frozen; no point estimate, floor or decision changes. Po intervals are Wilson score intervals over the 390 coded records. α intervals are percentile intervals from 2,000 bootstrap resamples of reports (seed 20260928), each resample keeping both coders’ values for a report. For rare-category binary indicators (endpoint_L4, L5, L6) the α interval is wide and can reach the bounds of the scale, so these α values should be read with the category counts in S1c.2. The reliability decisions in the main text use the point estimates against the stated floors, not the intervals.</w:t>
      </w:r>
    </w:p>
    <w:tbl>
      <w:tblPr>
        <w:tblStyle w:val="Table"/>
        <w:tblW w:type="pct" w:w="5000"/>
        <w:tblLook w:firstRow="1" w:lastRow="0" w:firstColumn="0" w:lastColumn="0" w:noHBand="0" w:noVBand="0" w:val="0020"/>
        <w:jc w:val="start"/>
      </w:tblPr>
      <w:tblGrid>
        <w:gridCol w:w="990"/>
        <w:gridCol w:w="990"/>
        <w:gridCol w:w="1320"/>
        <w:gridCol w:w="1320"/>
        <w:gridCol w:w="990"/>
        <w:gridCol w:w="1320"/>
        <w:gridCol w:w="990"/>
      </w:tblGrid>
      <w:tr>
        <w:trPr>
          <w:tblHeader w:val="true"/>
        </w:trPr>
        <w:tc>
          <w:tcPr/>
          <w:p>
            <w:pPr>
              <w:pStyle w:val="Compact"/>
              <w:jc w:val="left"/>
            </w:pPr>
            <w:r>
              <w:t xml:space="preserve">field</w:t>
            </w:r>
          </w:p>
        </w:tc>
        <w:tc>
          <w:tcPr/>
          <w:p>
            <w:pPr>
              <w:pStyle w:val="Compact"/>
              <w:jc w:val="left"/>
            </w:pPr>
            <w:r>
              <w:t xml:space="preserve">level</w:t>
            </w:r>
          </w:p>
        </w:tc>
        <w:tc>
          <w:tcPr/>
          <w:p>
            <w:pPr>
              <w:pStyle w:val="Compact"/>
              <w:jc w:val="right"/>
            </w:pPr>
            <w:r>
              <w:t xml:space="preserve">agree/N</w:t>
            </w:r>
          </w:p>
        </w:tc>
        <w:tc>
          <w:tcPr/>
          <w:p>
            <w:pPr>
              <w:pStyle w:val="Compact"/>
              <w:jc w:val="right"/>
            </w:pPr>
            <w:r>
              <w:t xml:space="preserve">Po</w:t>
            </w:r>
          </w:p>
        </w:tc>
        <w:tc>
          <w:tcPr/>
          <w:p>
            <w:pPr>
              <w:pStyle w:val="Compact"/>
              <w:jc w:val="left"/>
            </w:pPr>
            <w:r>
              <w:t xml:space="preserve">Po 95% CI (Wilson)</w:t>
            </w:r>
          </w:p>
        </w:tc>
        <w:tc>
          <w:tcPr/>
          <w:p>
            <w:pPr>
              <w:pStyle w:val="Compact"/>
              <w:jc w:val="right"/>
            </w:pPr>
            <w:r>
              <w:t xml:space="preserve">α</w:t>
            </w:r>
          </w:p>
        </w:tc>
        <w:tc>
          <w:tcPr/>
          <w:p>
            <w:pPr>
              <w:pStyle w:val="Compact"/>
              <w:jc w:val="left"/>
            </w:pPr>
            <w:r>
              <w:t xml:space="preserve">α 95% CI (bootstrap)</w:t>
            </w:r>
          </w:p>
        </w:tc>
      </w:tr>
      <w:tr>
        <w:tc>
          <w:tcPr/>
          <w:p>
            <w:pPr>
              <w:pStyle w:val="Compact"/>
              <w:jc w:val="left"/>
            </w:pPr>
            <w:r>
              <w:t xml:space="preserve">intended_use_author</w:t>
            </w:r>
          </w:p>
        </w:tc>
        <w:tc>
          <w:tcPr/>
          <w:p>
            <w:pPr>
              <w:pStyle w:val="Compact"/>
              <w:jc w:val="left"/>
            </w:pPr>
            <w:r>
              <w:t xml:space="preserve">exact-only</w:t>
            </w:r>
          </w:p>
        </w:tc>
        <w:tc>
          <w:tcPr/>
          <w:p>
            <w:pPr>
              <w:pStyle w:val="Compact"/>
              <w:jc w:val="right"/>
            </w:pPr>
            <w:r>
              <w:t xml:space="preserve">16/390</w:t>
            </w:r>
          </w:p>
        </w:tc>
        <w:tc>
          <w:tcPr/>
          <w:p>
            <w:pPr>
              <w:pStyle w:val="Compact"/>
              <w:jc w:val="right"/>
            </w:pPr>
            <w:r>
              <w:t xml:space="preserve">0.0410</w:t>
            </w:r>
          </w:p>
        </w:tc>
        <w:tc>
          <w:tcPr/>
          <w:p>
            <w:pPr>
              <w:pStyle w:val="Compact"/>
              <w:jc w:val="left"/>
            </w:pPr>
            <w:r>
              <w:t xml:space="preserve">0.025–0.066</w:t>
            </w:r>
          </w:p>
        </w:tc>
        <w:tc>
          <w:tcPr/>
          <w:p>
            <w:pPr>
              <w:pStyle w:val="Compact"/>
              <w:jc w:val="right"/>
            </w:pPr>
            <w:r>
              <w:t xml:space="preserve">not estimated</w:t>
            </w:r>
          </w:p>
        </w:tc>
        <w:tc>
          <w:tcPr/>
          <w:p>
            <w:pPr>
              <w:pStyle w:val="Compact"/>
              <w:jc w:val="left"/>
            </w:pPr>
            <w:r>
              <w:t xml:space="preserve">not estimated</w:t>
            </w:r>
          </w:p>
        </w:tc>
      </w:tr>
      <w:tr>
        <w:tc>
          <w:tcPr/>
          <w:p>
            <w:pPr>
              <w:pStyle w:val="Compact"/>
              <w:jc w:val="left"/>
            </w:pPr>
            <w:r>
              <w:t xml:space="preserve">access_interface</w:t>
            </w:r>
          </w:p>
        </w:tc>
        <w:tc>
          <w:tcPr/>
          <w:p>
            <w:pPr>
              <w:pStyle w:val="Compact"/>
              <w:jc w:val="left"/>
            </w:pPr>
            <w:r>
              <w:t xml:space="preserve">nominal</w:t>
            </w:r>
          </w:p>
        </w:tc>
        <w:tc>
          <w:tcPr/>
          <w:p>
            <w:pPr>
              <w:pStyle w:val="Compact"/>
              <w:jc w:val="right"/>
            </w:pPr>
            <w:r>
              <w:t xml:space="preserve">278/390</w:t>
            </w:r>
          </w:p>
        </w:tc>
        <w:tc>
          <w:tcPr/>
          <w:p>
            <w:pPr>
              <w:pStyle w:val="Compact"/>
              <w:jc w:val="right"/>
            </w:pPr>
            <w:r>
              <w:t xml:space="preserve">0.7128</w:t>
            </w:r>
          </w:p>
        </w:tc>
        <w:tc>
          <w:tcPr/>
          <w:p>
            <w:pPr>
              <w:pStyle w:val="Compact"/>
              <w:jc w:val="left"/>
            </w:pPr>
            <w:r>
              <w:t xml:space="preserve">0.666–0.755</w:t>
            </w:r>
          </w:p>
        </w:tc>
        <w:tc>
          <w:tcPr/>
          <w:p>
            <w:pPr>
              <w:pStyle w:val="Compact"/>
              <w:jc w:val="right"/>
            </w:pPr>
            <w:r>
              <w:t xml:space="preserve">0.5591</w:t>
            </w:r>
          </w:p>
        </w:tc>
        <w:tc>
          <w:tcPr/>
          <w:p>
            <w:pPr>
              <w:pStyle w:val="Compact"/>
              <w:jc w:val="left"/>
            </w:pPr>
            <w:r>
              <w:t xml:space="preserve">0.491–0.623</w:t>
            </w:r>
          </w:p>
        </w:tc>
      </w:tr>
      <w:tr>
        <w:tc>
          <w:tcPr/>
          <w:p>
            <w:pPr>
              <w:pStyle w:val="Compact"/>
              <w:jc w:val="left"/>
            </w:pPr>
            <w:r>
              <w:t xml:space="preserve">study_design_reviewer</w:t>
            </w:r>
          </w:p>
        </w:tc>
        <w:tc>
          <w:tcPr/>
          <w:p>
            <w:pPr>
              <w:pStyle w:val="Compact"/>
              <w:jc w:val="left"/>
            </w:pPr>
            <w:r>
              <w:t xml:space="preserve">nominal</w:t>
            </w:r>
          </w:p>
        </w:tc>
        <w:tc>
          <w:tcPr/>
          <w:p>
            <w:pPr>
              <w:pStyle w:val="Compact"/>
              <w:jc w:val="right"/>
            </w:pPr>
            <w:r>
              <w:t xml:space="preserve">285/390</w:t>
            </w:r>
          </w:p>
        </w:tc>
        <w:tc>
          <w:tcPr/>
          <w:p>
            <w:pPr>
              <w:pStyle w:val="Compact"/>
              <w:jc w:val="right"/>
            </w:pPr>
            <w:r>
              <w:t xml:space="preserve">0.7308</w:t>
            </w:r>
          </w:p>
        </w:tc>
        <w:tc>
          <w:tcPr/>
          <w:p>
            <w:pPr>
              <w:pStyle w:val="Compact"/>
              <w:jc w:val="left"/>
            </w:pPr>
            <w:r>
              <w:t xml:space="preserve">0.685–0.772</w:t>
            </w:r>
          </w:p>
        </w:tc>
        <w:tc>
          <w:tcPr/>
          <w:p>
            <w:pPr>
              <w:pStyle w:val="Compact"/>
              <w:jc w:val="right"/>
            </w:pPr>
            <w:r>
              <w:t xml:space="preserve">0.6056</w:t>
            </w:r>
          </w:p>
        </w:tc>
        <w:tc>
          <w:tcPr/>
          <w:p>
            <w:pPr>
              <w:pStyle w:val="Compact"/>
              <w:jc w:val="left"/>
            </w:pPr>
            <w:r>
              <w:t xml:space="preserve">0.540–0.668</w:t>
            </w:r>
          </w:p>
        </w:tc>
      </w:tr>
      <w:tr>
        <w:tc>
          <w:tcPr/>
          <w:p>
            <w:pPr>
              <w:pStyle w:val="Compact"/>
              <w:jc w:val="left"/>
            </w:pPr>
            <w:r>
              <w:t xml:space="preserve">evaluation_scale_unit</w:t>
            </w:r>
          </w:p>
        </w:tc>
        <w:tc>
          <w:tcPr/>
          <w:p>
            <w:pPr>
              <w:pStyle w:val="Compact"/>
              <w:jc w:val="left"/>
            </w:pPr>
            <w:r>
              <w:t xml:space="preserve">nominal</w:t>
            </w:r>
          </w:p>
        </w:tc>
        <w:tc>
          <w:tcPr/>
          <w:p>
            <w:pPr>
              <w:pStyle w:val="Compact"/>
              <w:jc w:val="right"/>
            </w:pPr>
            <w:r>
              <w:t xml:space="preserve">289/390</w:t>
            </w:r>
          </w:p>
        </w:tc>
        <w:tc>
          <w:tcPr/>
          <w:p>
            <w:pPr>
              <w:pStyle w:val="Compact"/>
              <w:jc w:val="right"/>
            </w:pPr>
            <w:r>
              <w:t xml:space="preserve">0.7410</w:t>
            </w:r>
          </w:p>
        </w:tc>
        <w:tc>
          <w:tcPr/>
          <w:p>
            <w:pPr>
              <w:pStyle w:val="Compact"/>
              <w:jc w:val="left"/>
            </w:pPr>
            <w:r>
              <w:t xml:space="preserve">0.695–0.782</w:t>
            </w:r>
          </w:p>
        </w:tc>
        <w:tc>
          <w:tcPr/>
          <w:p>
            <w:pPr>
              <w:pStyle w:val="Compact"/>
              <w:jc w:val="right"/>
            </w:pPr>
            <w:r>
              <w:t xml:space="preserve">0.6737</w:t>
            </w:r>
          </w:p>
        </w:tc>
        <w:tc>
          <w:tcPr/>
          <w:p>
            <w:pPr>
              <w:pStyle w:val="Compact"/>
              <w:jc w:val="left"/>
            </w:pPr>
            <w:r>
              <w:t xml:space="preserve">0.621–0.725</w:t>
            </w:r>
          </w:p>
        </w:tc>
      </w:tr>
      <w:tr>
        <w:tc>
          <w:tcPr/>
          <w:p>
            <w:pPr>
              <w:pStyle w:val="Compact"/>
              <w:jc w:val="left"/>
            </w:pPr>
            <w:r>
              <w:t xml:space="preserve">sample_unit</w:t>
            </w:r>
          </w:p>
        </w:tc>
        <w:tc>
          <w:tcPr/>
          <w:p>
            <w:pPr>
              <w:pStyle w:val="Compact"/>
              <w:jc w:val="left"/>
            </w:pPr>
            <w:r>
              <w:t xml:space="preserve">nominal</w:t>
            </w:r>
          </w:p>
        </w:tc>
        <w:tc>
          <w:tcPr/>
          <w:p>
            <w:pPr>
              <w:pStyle w:val="Compact"/>
              <w:jc w:val="right"/>
            </w:pPr>
            <w:r>
              <w:t xml:space="preserve">306/390</w:t>
            </w:r>
          </w:p>
        </w:tc>
        <w:tc>
          <w:tcPr/>
          <w:p>
            <w:pPr>
              <w:pStyle w:val="Compact"/>
              <w:jc w:val="right"/>
            </w:pPr>
            <w:r>
              <w:t xml:space="preserve">0.7846</w:t>
            </w:r>
          </w:p>
        </w:tc>
        <w:tc>
          <w:tcPr/>
          <w:p>
            <w:pPr>
              <w:pStyle w:val="Compact"/>
              <w:jc w:val="left"/>
            </w:pPr>
            <w:r>
              <w:t xml:space="preserve">0.741–0.823</w:t>
            </w:r>
          </w:p>
        </w:tc>
        <w:tc>
          <w:tcPr/>
          <w:p>
            <w:pPr>
              <w:pStyle w:val="Compact"/>
              <w:jc w:val="right"/>
            </w:pPr>
            <w:r>
              <w:t xml:space="preserve">0.7211</w:t>
            </w:r>
          </w:p>
        </w:tc>
        <w:tc>
          <w:tcPr/>
          <w:p>
            <w:pPr>
              <w:pStyle w:val="Compact"/>
              <w:jc w:val="left"/>
            </w:pPr>
            <w:r>
              <w:t xml:space="preserve">0.666–0.769</w:t>
            </w:r>
          </w:p>
        </w:tc>
      </w:tr>
      <w:tr>
        <w:tc>
          <w:tcPr/>
          <w:p>
            <w:pPr>
              <w:pStyle w:val="Compact"/>
              <w:jc w:val="left"/>
            </w:pPr>
            <w:r>
              <w:t xml:space="preserve">model_version</w:t>
            </w:r>
          </w:p>
        </w:tc>
        <w:tc>
          <w:tcPr/>
          <w:p>
            <w:pPr>
              <w:pStyle w:val="Compact"/>
              <w:jc w:val="left"/>
            </w:pPr>
            <w:r>
              <w:t xml:space="preserve">exact-only</w:t>
            </w:r>
          </w:p>
        </w:tc>
        <w:tc>
          <w:tcPr/>
          <w:p>
            <w:pPr>
              <w:pStyle w:val="Compact"/>
              <w:jc w:val="right"/>
            </w:pPr>
            <w:r>
              <w:t xml:space="preserve">306/390</w:t>
            </w:r>
          </w:p>
        </w:tc>
        <w:tc>
          <w:tcPr/>
          <w:p>
            <w:pPr>
              <w:pStyle w:val="Compact"/>
              <w:jc w:val="right"/>
            </w:pPr>
            <w:r>
              <w:t xml:space="preserve">0.7846</w:t>
            </w:r>
          </w:p>
        </w:tc>
        <w:tc>
          <w:tcPr/>
          <w:p>
            <w:pPr>
              <w:pStyle w:val="Compact"/>
              <w:jc w:val="left"/>
            </w:pPr>
            <w:r>
              <w:t xml:space="preserve">0.741–0.823</w:t>
            </w:r>
          </w:p>
        </w:tc>
        <w:tc>
          <w:tcPr/>
          <w:p>
            <w:pPr>
              <w:pStyle w:val="Compact"/>
              <w:jc w:val="right"/>
            </w:pPr>
            <w:r>
              <w:t xml:space="preserve">not estimated</w:t>
            </w:r>
          </w:p>
        </w:tc>
        <w:tc>
          <w:tcPr/>
          <w:p>
            <w:pPr>
              <w:pStyle w:val="Compact"/>
              <w:jc w:val="left"/>
            </w:pPr>
            <w:r>
              <w:t xml:space="preserve">not estimated</w:t>
            </w:r>
          </w:p>
        </w:tc>
      </w:tr>
      <w:tr>
        <w:tc>
          <w:tcPr/>
          <w:p>
            <w:pPr>
              <w:pStyle w:val="Compact"/>
              <w:jc w:val="left"/>
            </w:pPr>
            <w:r>
              <w:t xml:space="preserve">comparator</w:t>
            </w:r>
          </w:p>
        </w:tc>
        <w:tc>
          <w:tcPr/>
          <w:p>
            <w:pPr>
              <w:pStyle w:val="Compact"/>
              <w:jc w:val="left"/>
            </w:pPr>
            <w:r>
              <w:t xml:space="preserve">nominal</w:t>
            </w:r>
          </w:p>
        </w:tc>
        <w:tc>
          <w:tcPr/>
          <w:p>
            <w:pPr>
              <w:pStyle w:val="Compact"/>
              <w:jc w:val="right"/>
            </w:pPr>
            <w:r>
              <w:t xml:space="preserve">308/390</w:t>
            </w:r>
          </w:p>
        </w:tc>
        <w:tc>
          <w:tcPr/>
          <w:p>
            <w:pPr>
              <w:pStyle w:val="Compact"/>
              <w:jc w:val="right"/>
            </w:pPr>
            <w:r>
              <w:t xml:space="preserve">0.7897</w:t>
            </w:r>
          </w:p>
        </w:tc>
        <w:tc>
          <w:tcPr/>
          <w:p>
            <w:pPr>
              <w:pStyle w:val="Compact"/>
              <w:jc w:val="left"/>
            </w:pPr>
            <w:r>
              <w:t xml:space="preserve">0.747–0.827</w:t>
            </w:r>
          </w:p>
        </w:tc>
        <w:tc>
          <w:tcPr/>
          <w:p>
            <w:pPr>
              <w:pStyle w:val="Compact"/>
              <w:jc w:val="right"/>
            </w:pPr>
            <w:r>
              <w:t xml:space="preserve">0.5767</w:t>
            </w:r>
          </w:p>
        </w:tc>
        <w:tc>
          <w:tcPr/>
          <w:p>
            <w:pPr>
              <w:pStyle w:val="Compact"/>
              <w:jc w:val="left"/>
            </w:pPr>
            <w:r>
              <w:t xml:space="preserve">0.497–0.649</w:t>
            </w:r>
          </w:p>
        </w:tc>
      </w:tr>
      <w:tr>
        <w:tc>
          <w:tcPr/>
          <w:p>
            <w:pPr>
              <w:pStyle w:val="Compact"/>
              <w:jc w:val="left"/>
            </w:pPr>
            <w:r>
              <w:t xml:space="preserve">endpoint_L2</w:t>
            </w:r>
          </w:p>
        </w:tc>
        <w:tc>
          <w:tcPr/>
          <w:p>
            <w:pPr>
              <w:pStyle w:val="Compact"/>
              <w:jc w:val="left"/>
            </w:pPr>
            <w:r>
              <w:t xml:space="preserve">binary</w:t>
            </w:r>
          </w:p>
        </w:tc>
        <w:tc>
          <w:tcPr/>
          <w:p>
            <w:pPr>
              <w:pStyle w:val="Compact"/>
              <w:jc w:val="right"/>
            </w:pPr>
            <w:r>
              <w:t xml:space="preserve">311/390</w:t>
            </w:r>
          </w:p>
        </w:tc>
        <w:tc>
          <w:tcPr/>
          <w:p>
            <w:pPr>
              <w:pStyle w:val="Compact"/>
              <w:jc w:val="right"/>
            </w:pPr>
            <w:r>
              <w:t xml:space="preserve">0.7974</w:t>
            </w:r>
          </w:p>
        </w:tc>
        <w:tc>
          <w:tcPr/>
          <w:p>
            <w:pPr>
              <w:pStyle w:val="Compact"/>
              <w:jc w:val="left"/>
            </w:pPr>
            <w:r>
              <w:t xml:space="preserve">0.755–0.834</w:t>
            </w:r>
          </w:p>
        </w:tc>
        <w:tc>
          <w:tcPr/>
          <w:p>
            <w:pPr>
              <w:pStyle w:val="Compact"/>
              <w:jc w:val="right"/>
            </w:pPr>
            <w:r>
              <w:t xml:space="preserve">0.5831</w:t>
            </w:r>
          </w:p>
        </w:tc>
        <w:tc>
          <w:tcPr/>
          <w:p>
            <w:pPr>
              <w:pStyle w:val="Compact"/>
              <w:jc w:val="left"/>
            </w:pPr>
            <w:r>
              <w:t xml:space="preserve">0.498–0.661</w:t>
            </w:r>
          </w:p>
        </w:tc>
      </w:tr>
      <w:tr>
        <w:tc>
          <w:tcPr/>
          <w:p>
            <w:pPr>
              <w:pStyle w:val="Compact"/>
              <w:jc w:val="left"/>
            </w:pPr>
            <w:r>
              <w:t xml:space="preserve">task_domain</w:t>
            </w:r>
          </w:p>
        </w:tc>
        <w:tc>
          <w:tcPr/>
          <w:p>
            <w:pPr>
              <w:pStyle w:val="Compact"/>
              <w:jc w:val="left"/>
            </w:pPr>
            <w:r>
              <w:t xml:space="preserve">nominal</w:t>
            </w:r>
          </w:p>
        </w:tc>
        <w:tc>
          <w:tcPr/>
          <w:p>
            <w:pPr>
              <w:pStyle w:val="Compact"/>
              <w:jc w:val="right"/>
            </w:pPr>
            <w:r>
              <w:t xml:space="preserve">318/390</w:t>
            </w:r>
          </w:p>
        </w:tc>
        <w:tc>
          <w:tcPr/>
          <w:p>
            <w:pPr>
              <w:pStyle w:val="Compact"/>
              <w:jc w:val="right"/>
            </w:pPr>
            <w:r>
              <w:t xml:space="preserve">0.8154</w:t>
            </w:r>
          </w:p>
        </w:tc>
        <w:tc>
          <w:tcPr/>
          <w:p>
            <w:pPr>
              <w:pStyle w:val="Compact"/>
              <w:jc w:val="left"/>
            </w:pPr>
            <w:r>
              <w:t xml:space="preserve">0.774–0.851</w:t>
            </w:r>
          </w:p>
        </w:tc>
        <w:tc>
          <w:tcPr/>
          <w:p>
            <w:pPr>
              <w:pStyle w:val="Compact"/>
              <w:jc w:val="right"/>
            </w:pPr>
            <w:r>
              <w:t xml:space="preserve">0.7782</w:t>
            </w:r>
          </w:p>
        </w:tc>
        <w:tc>
          <w:tcPr/>
          <w:p>
            <w:pPr>
              <w:pStyle w:val="Compact"/>
              <w:jc w:val="left"/>
            </w:pPr>
            <w:r>
              <w:t xml:space="preserve">0.732–0.824</w:t>
            </w:r>
          </w:p>
        </w:tc>
      </w:tr>
      <w:tr>
        <w:tc>
          <w:tcPr/>
          <w:p>
            <w:pPr>
              <w:pStyle w:val="Compact"/>
              <w:jc w:val="left"/>
            </w:pPr>
            <w:r>
              <w:t xml:space="preserve">E2_contrast_or_ablation_implemented</w:t>
            </w:r>
          </w:p>
        </w:tc>
        <w:tc>
          <w:tcPr/>
          <w:p>
            <w:pPr>
              <w:pStyle w:val="Compact"/>
              <w:jc w:val="left"/>
            </w:pPr>
            <w:r>
              <w:t xml:space="preserve">nominal</w:t>
            </w:r>
          </w:p>
        </w:tc>
        <w:tc>
          <w:tcPr/>
          <w:p>
            <w:pPr>
              <w:pStyle w:val="Compact"/>
              <w:jc w:val="right"/>
            </w:pPr>
            <w:r>
              <w:t xml:space="preserve">321/390</w:t>
            </w:r>
          </w:p>
        </w:tc>
        <w:tc>
          <w:tcPr/>
          <w:p>
            <w:pPr>
              <w:pStyle w:val="Compact"/>
              <w:jc w:val="right"/>
            </w:pPr>
            <w:r>
              <w:t xml:space="preserve">0.8231</w:t>
            </w:r>
          </w:p>
        </w:tc>
        <w:tc>
          <w:tcPr/>
          <w:p>
            <w:pPr>
              <w:pStyle w:val="Compact"/>
              <w:jc w:val="left"/>
            </w:pPr>
            <w:r>
              <w:t xml:space="preserve">0.782–0.858</w:t>
            </w:r>
          </w:p>
        </w:tc>
        <w:tc>
          <w:tcPr/>
          <w:p>
            <w:pPr>
              <w:pStyle w:val="Compact"/>
              <w:jc w:val="right"/>
            </w:pPr>
            <w:r>
              <w:t xml:space="preserve">0.6804</w:t>
            </w:r>
          </w:p>
        </w:tc>
        <w:tc>
          <w:tcPr/>
          <w:p>
            <w:pPr>
              <w:pStyle w:val="Compact"/>
              <w:jc w:val="left"/>
            </w:pPr>
            <w:r>
              <w:t xml:space="preserve">0.612–0.748</w:t>
            </w:r>
          </w:p>
        </w:tc>
      </w:tr>
      <w:tr>
        <w:tc>
          <w:tcPr/>
          <w:p>
            <w:pPr>
              <w:pStyle w:val="Compact"/>
              <w:jc w:val="left"/>
            </w:pPr>
            <w:r>
              <w:t xml:space="preserve">E3_image_relevant_to_use</w:t>
            </w:r>
          </w:p>
        </w:tc>
        <w:tc>
          <w:tcPr/>
          <w:p>
            <w:pPr>
              <w:pStyle w:val="Compact"/>
              <w:jc w:val="left"/>
            </w:pPr>
            <w:r>
              <w:t xml:space="preserve">nominal</w:t>
            </w:r>
          </w:p>
        </w:tc>
        <w:tc>
          <w:tcPr/>
          <w:p>
            <w:pPr>
              <w:pStyle w:val="Compact"/>
              <w:jc w:val="right"/>
            </w:pPr>
            <w:r>
              <w:t xml:space="preserve">327/390</w:t>
            </w:r>
          </w:p>
        </w:tc>
        <w:tc>
          <w:tcPr/>
          <w:p>
            <w:pPr>
              <w:pStyle w:val="Compact"/>
              <w:jc w:val="right"/>
            </w:pPr>
            <w:r>
              <w:t xml:space="preserve">0.8385</w:t>
            </w:r>
          </w:p>
        </w:tc>
        <w:tc>
          <w:tcPr/>
          <w:p>
            <w:pPr>
              <w:pStyle w:val="Compact"/>
              <w:jc w:val="left"/>
            </w:pPr>
            <w:r>
              <w:t xml:space="preserve">0.799–0.872</w:t>
            </w:r>
          </w:p>
        </w:tc>
        <w:tc>
          <w:tcPr/>
          <w:p>
            <w:pPr>
              <w:pStyle w:val="Compact"/>
              <w:jc w:val="right"/>
            </w:pPr>
            <w:r>
              <w:t xml:space="preserve">0.5344</w:t>
            </w:r>
          </w:p>
        </w:tc>
        <w:tc>
          <w:tcPr/>
          <w:p>
            <w:pPr>
              <w:pStyle w:val="Compact"/>
              <w:jc w:val="left"/>
            </w:pPr>
            <w:r>
              <w:t xml:space="preserve">0.444–0.616</w:t>
            </w:r>
          </w:p>
        </w:tc>
      </w:tr>
      <w:tr>
        <w:tc>
          <w:tcPr/>
          <w:p>
            <w:pPr>
              <w:pStyle w:val="Compact"/>
              <w:jc w:val="left"/>
            </w:pPr>
            <w:r>
              <w:t xml:space="preserve">access_openness</w:t>
            </w:r>
          </w:p>
        </w:tc>
        <w:tc>
          <w:tcPr/>
          <w:p>
            <w:pPr>
              <w:pStyle w:val="Compact"/>
              <w:jc w:val="left"/>
            </w:pPr>
            <w:r>
              <w:t xml:space="preserve">nominal</w:t>
            </w:r>
          </w:p>
        </w:tc>
        <w:tc>
          <w:tcPr/>
          <w:p>
            <w:pPr>
              <w:pStyle w:val="Compact"/>
              <w:jc w:val="right"/>
            </w:pPr>
            <w:r>
              <w:t xml:space="preserve">329/390</w:t>
            </w:r>
          </w:p>
        </w:tc>
        <w:tc>
          <w:tcPr/>
          <w:p>
            <w:pPr>
              <w:pStyle w:val="Compact"/>
              <w:jc w:val="right"/>
            </w:pPr>
            <w:r>
              <w:t xml:space="preserve">0.8436</w:t>
            </w:r>
          </w:p>
        </w:tc>
        <w:tc>
          <w:tcPr/>
          <w:p>
            <w:pPr>
              <w:pStyle w:val="Compact"/>
              <w:jc w:val="left"/>
            </w:pPr>
            <w:r>
              <w:t xml:space="preserve">0.804–0.876</w:t>
            </w:r>
          </w:p>
        </w:tc>
        <w:tc>
          <w:tcPr/>
          <w:p>
            <w:pPr>
              <w:pStyle w:val="Compact"/>
              <w:jc w:val="right"/>
            </w:pPr>
            <w:r>
              <w:t xml:space="preserve">0.5757</w:t>
            </w:r>
          </w:p>
        </w:tc>
        <w:tc>
          <w:tcPr/>
          <w:p>
            <w:pPr>
              <w:pStyle w:val="Compact"/>
              <w:jc w:val="left"/>
            </w:pPr>
            <w:r>
              <w:t xml:space="preserve">0.492–0.656</w:t>
            </w:r>
          </w:p>
        </w:tc>
      </w:tr>
      <w:tr>
        <w:tc>
          <w:tcPr/>
          <w:p>
            <w:pPr>
              <w:pStyle w:val="Compact"/>
              <w:jc w:val="left"/>
            </w:pPr>
            <w:r>
              <w:t xml:space="preserve">intended_use_category</w:t>
            </w:r>
          </w:p>
        </w:tc>
        <w:tc>
          <w:tcPr/>
          <w:p>
            <w:pPr>
              <w:pStyle w:val="Compact"/>
              <w:jc w:val="left"/>
            </w:pPr>
            <w:r>
              <w:t xml:space="preserve">nominal</w:t>
            </w:r>
          </w:p>
        </w:tc>
        <w:tc>
          <w:tcPr/>
          <w:p>
            <w:pPr>
              <w:pStyle w:val="Compact"/>
              <w:jc w:val="right"/>
            </w:pPr>
            <w:r>
              <w:t xml:space="preserve">333/390</w:t>
            </w:r>
          </w:p>
        </w:tc>
        <w:tc>
          <w:tcPr/>
          <w:p>
            <w:pPr>
              <w:pStyle w:val="Compact"/>
              <w:jc w:val="right"/>
            </w:pPr>
            <w:r>
              <w:t xml:space="preserve">0.8538</w:t>
            </w:r>
          </w:p>
        </w:tc>
        <w:tc>
          <w:tcPr/>
          <w:p>
            <w:pPr>
              <w:pStyle w:val="Compact"/>
              <w:jc w:val="left"/>
            </w:pPr>
            <w:r>
              <w:t xml:space="preserve">0.815–0.885</w:t>
            </w:r>
          </w:p>
        </w:tc>
        <w:tc>
          <w:tcPr/>
          <w:p>
            <w:pPr>
              <w:pStyle w:val="Compact"/>
              <w:jc w:val="right"/>
            </w:pPr>
            <w:r>
              <w:t xml:space="preserve">0.7723</w:t>
            </w:r>
          </w:p>
        </w:tc>
        <w:tc>
          <w:tcPr/>
          <w:p>
            <w:pPr>
              <w:pStyle w:val="Compact"/>
              <w:jc w:val="left"/>
            </w:pPr>
            <w:r>
              <w:t xml:space="preserve">0.721–0.824</w:t>
            </w:r>
          </w:p>
        </w:tc>
      </w:tr>
      <w:tr>
        <w:tc>
          <w:tcPr/>
          <w:p>
            <w:pPr>
              <w:pStyle w:val="Compact"/>
              <w:jc w:val="left"/>
            </w:pPr>
            <w:r>
              <w:t xml:space="preserve">model_family</w:t>
            </w:r>
          </w:p>
        </w:tc>
        <w:tc>
          <w:tcPr/>
          <w:p>
            <w:pPr>
              <w:pStyle w:val="Compact"/>
              <w:jc w:val="left"/>
            </w:pPr>
            <w:r>
              <w:t xml:space="preserve">nominal</w:t>
            </w:r>
          </w:p>
        </w:tc>
        <w:tc>
          <w:tcPr/>
          <w:p>
            <w:pPr>
              <w:pStyle w:val="Compact"/>
              <w:jc w:val="right"/>
            </w:pPr>
            <w:r>
              <w:t xml:space="preserve">337/390</w:t>
            </w:r>
          </w:p>
        </w:tc>
        <w:tc>
          <w:tcPr/>
          <w:p>
            <w:pPr>
              <w:pStyle w:val="Compact"/>
              <w:jc w:val="right"/>
            </w:pPr>
            <w:r>
              <w:t xml:space="preserve">0.8641</w:t>
            </w:r>
          </w:p>
        </w:tc>
        <w:tc>
          <w:tcPr/>
          <w:p>
            <w:pPr>
              <w:pStyle w:val="Compact"/>
              <w:jc w:val="left"/>
            </w:pPr>
            <w:r>
              <w:t xml:space="preserve">0.827–0.895</w:t>
            </w:r>
          </w:p>
        </w:tc>
        <w:tc>
          <w:tcPr/>
          <w:p>
            <w:pPr>
              <w:pStyle w:val="Compact"/>
              <w:jc w:val="right"/>
            </w:pPr>
            <w:r>
              <w:t xml:space="preserve">0.7663</w:t>
            </w:r>
          </w:p>
        </w:tc>
        <w:tc>
          <w:tcPr/>
          <w:p>
            <w:pPr>
              <w:pStyle w:val="Compact"/>
              <w:jc w:val="left"/>
            </w:pPr>
            <w:r>
              <w:t xml:space="preserve">0.708–0.820</w:t>
            </w:r>
          </w:p>
        </w:tc>
      </w:tr>
      <w:tr>
        <w:tc>
          <w:tcPr/>
          <w:p>
            <w:pPr>
              <w:pStyle w:val="Compact"/>
              <w:jc w:val="left"/>
            </w:pPr>
            <w:r>
              <w:t xml:space="preserve">claimed_modality</w:t>
            </w:r>
          </w:p>
        </w:tc>
        <w:tc>
          <w:tcPr/>
          <w:p>
            <w:pPr>
              <w:pStyle w:val="Compact"/>
              <w:jc w:val="left"/>
            </w:pPr>
            <w:r>
              <w:t xml:space="preserve">nominal</w:t>
            </w:r>
          </w:p>
        </w:tc>
        <w:tc>
          <w:tcPr/>
          <w:p>
            <w:pPr>
              <w:pStyle w:val="Compact"/>
              <w:jc w:val="right"/>
            </w:pPr>
            <w:r>
              <w:t xml:space="preserve">340/390</w:t>
            </w:r>
          </w:p>
        </w:tc>
        <w:tc>
          <w:tcPr/>
          <w:p>
            <w:pPr>
              <w:pStyle w:val="Compact"/>
              <w:jc w:val="right"/>
            </w:pPr>
            <w:r>
              <w:t xml:space="preserve">0.8718</w:t>
            </w:r>
          </w:p>
        </w:tc>
        <w:tc>
          <w:tcPr/>
          <w:p>
            <w:pPr>
              <w:pStyle w:val="Compact"/>
              <w:jc w:val="left"/>
            </w:pPr>
            <w:r>
              <w:t xml:space="preserve">0.835–0.901</w:t>
            </w:r>
          </w:p>
        </w:tc>
        <w:tc>
          <w:tcPr/>
          <w:p>
            <w:pPr>
              <w:pStyle w:val="Compact"/>
              <w:jc w:val="right"/>
            </w:pPr>
            <w:r>
              <w:t xml:space="preserve">0.7170</w:t>
            </w:r>
          </w:p>
        </w:tc>
        <w:tc>
          <w:tcPr/>
          <w:p>
            <w:pPr>
              <w:pStyle w:val="Compact"/>
              <w:jc w:val="left"/>
            </w:pPr>
            <w:r>
              <w:t xml:space="preserve">0.646–0.782</w:t>
            </w:r>
          </w:p>
        </w:tc>
      </w:tr>
      <w:tr>
        <w:tc>
          <w:tcPr/>
          <w:p>
            <w:pPr>
              <w:pStyle w:val="Compact"/>
              <w:jc w:val="left"/>
            </w:pPr>
            <w:r>
              <w:t xml:space="preserve">actual_input_modality</w:t>
            </w:r>
          </w:p>
        </w:tc>
        <w:tc>
          <w:tcPr/>
          <w:p>
            <w:pPr>
              <w:pStyle w:val="Compact"/>
              <w:jc w:val="left"/>
            </w:pPr>
            <w:r>
              <w:t xml:space="preserve">nominal</w:t>
            </w:r>
          </w:p>
        </w:tc>
        <w:tc>
          <w:tcPr/>
          <w:p>
            <w:pPr>
              <w:pStyle w:val="Compact"/>
              <w:jc w:val="right"/>
            </w:pPr>
            <w:r>
              <w:t xml:space="preserve">340/390</w:t>
            </w:r>
          </w:p>
        </w:tc>
        <w:tc>
          <w:tcPr/>
          <w:p>
            <w:pPr>
              <w:pStyle w:val="Compact"/>
              <w:jc w:val="right"/>
            </w:pPr>
            <w:r>
              <w:t xml:space="preserve">0.8718</w:t>
            </w:r>
          </w:p>
        </w:tc>
        <w:tc>
          <w:tcPr/>
          <w:p>
            <w:pPr>
              <w:pStyle w:val="Compact"/>
              <w:jc w:val="left"/>
            </w:pPr>
            <w:r>
              <w:t xml:space="preserve">0.835–0.901</w:t>
            </w:r>
          </w:p>
        </w:tc>
        <w:tc>
          <w:tcPr/>
          <w:p>
            <w:pPr>
              <w:pStyle w:val="Compact"/>
              <w:jc w:val="right"/>
            </w:pPr>
            <w:r>
              <w:t xml:space="preserve">0.7554</w:t>
            </w:r>
          </w:p>
        </w:tc>
        <w:tc>
          <w:tcPr/>
          <w:p>
            <w:pPr>
              <w:pStyle w:val="Compact"/>
              <w:jc w:val="left"/>
            </w:pPr>
            <w:r>
              <w:t xml:space="preserve">0.692–0.811</w:t>
            </w:r>
          </w:p>
        </w:tc>
      </w:tr>
      <w:tr>
        <w:tc>
          <w:tcPr/>
          <w:p>
            <w:pPr>
              <w:pStyle w:val="Compact"/>
              <w:jc w:val="left"/>
            </w:pPr>
            <w:r>
              <w:t xml:space="preserve">evaluated_configuration</w:t>
            </w:r>
          </w:p>
        </w:tc>
        <w:tc>
          <w:tcPr/>
          <w:p>
            <w:pPr>
              <w:pStyle w:val="Compact"/>
              <w:jc w:val="left"/>
            </w:pPr>
            <w:r>
              <w:t xml:space="preserve">nominal</w:t>
            </w:r>
          </w:p>
        </w:tc>
        <w:tc>
          <w:tcPr/>
          <w:p>
            <w:pPr>
              <w:pStyle w:val="Compact"/>
              <w:jc w:val="right"/>
            </w:pPr>
            <w:r>
              <w:t xml:space="preserve">343/390</w:t>
            </w:r>
          </w:p>
        </w:tc>
        <w:tc>
          <w:tcPr/>
          <w:p>
            <w:pPr>
              <w:pStyle w:val="Compact"/>
              <w:jc w:val="right"/>
            </w:pPr>
            <w:r>
              <w:t xml:space="preserve">0.8795</w:t>
            </w:r>
          </w:p>
        </w:tc>
        <w:tc>
          <w:tcPr/>
          <w:p>
            <w:pPr>
              <w:pStyle w:val="Compact"/>
              <w:jc w:val="left"/>
            </w:pPr>
            <w:r>
              <w:t xml:space="preserve">0.843–0.908</w:t>
            </w:r>
          </w:p>
        </w:tc>
        <w:tc>
          <w:tcPr/>
          <w:p>
            <w:pPr>
              <w:pStyle w:val="Compact"/>
              <w:jc w:val="right"/>
            </w:pPr>
            <w:r>
              <w:t xml:space="preserve">0.7025</w:t>
            </w:r>
          </w:p>
        </w:tc>
        <w:tc>
          <w:tcPr/>
          <w:p>
            <w:pPr>
              <w:pStyle w:val="Compact"/>
              <w:jc w:val="left"/>
            </w:pPr>
            <w:r>
              <w:t xml:space="preserve">0.619–0.777</w:t>
            </w:r>
          </w:p>
        </w:tc>
      </w:tr>
      <w:tr>
        <w:tc>
          <w:tcPr/>
          <w:p>
            <w:pPr>
              <w:pStyle w:val="Compact"/>
              <w:jc w:val="left"/>
            </w:pPr>
            <w:r>
              <w:t xml:space="preserve">E2_visual_contribution_result</w:t>
            </w:r>
          </w:p>
        </w:tc>
        <w:tc>
          <w:tcPr/>
          <w:p>
            <w:pPr>
              <w:pStyle w:val="Compact"/>
              <w:jc w:val="left"/>
            </w:pPr>
            <w:r>
              <w:t xml:space="preserve">nominal</w:t>
            </w:r>
          </w:p>
        </w:tc>
        <w:tc>
          <w:tcPr/>
          <w:p>
            <w:pPr>
              <w:pStyle w:val="Compact"/>
              <w:jc w:val="right"/>
            </w:pPr>
            <w:r>
              <w:t xml:space="preserve">343/390</w:t>
            </w:r>
          </w:p>
        </w:tc>
        <w:tc>
          <w:tcPr/>
          <w:p>
            <w:pPr>
              <w:pStyle w:val="Compact"/>
              <w:jc w:val="right"/>
            </w:pPr>
            <w:r>
              <w:t xml:space="preserve">0.8795</w:t>
            </w:r>
          </w:p>
        </w:tc>
        <w:tc>
          <w:tcPr/>
          <w:p>
            <w:pPr>
              <w:pStyle w:val="Compact"/>
              <w:jc w:val="left"/>
            </w:pPr>
            <w:r>
              <w:t xml:space="preserve">0.843–0.908</w:t>
            </w:r>
          </w:p>
        </w:tc>
        <w:tc>
          <w:tcPr/>
          <w:p>
            <w:pPr>
              <w:pStyle w:val="Compact"/>
              <w:jc w:val="right"/>
            </w:pPr>
            <w:r>
              <w:t xml:space="preserve">0.7611</w:t>
            </w:r>
          </w:p>
        </w:tc>
        <w:tc>
          <w:tcPr/>
          <w:p>
            <w:pPr>
              <w:pStyle w:val="Compact"/>
              <w:jc w:val="left"/>
            </w:pPr>
            <w:r>
              <w:t xml:space="preserve">0.697–0.821</w:t>
            </w:r>
          </w:p>
        </w:tc>
      </w:tr>
      <w:tr>
        <w:tc>
          <w:tcPr/>
          <w:p>
            <w:pPr>
              <w:pStyle w:val="Compact"/>
              <w:jc w:val="left"/>
            </w:pPr>
            <w:r>
              <w:t xml:space="preserve">training_scale_unit</w:t>
            </w:r>
          </w:p>
        </w:tc>
        <w:tc>
          <w:tcPr/>
          <w:p>
            <w:pPr>
              <w:pStyle w:val="Compact"/>
              <w:jc w:val="left"/>
            </w:pPr>
            <w:r>
              <w:t xml:space="preserve">nominal</w:t>
            </w:r>
          </w:p>
        </w:tc>
        <w:tc>
          <w:tcPr/>
          <w:p>
            <w:pPr>
              <w:pStyle w:val="Compact"/>
              <w:jc w:val="right"/>
            </w:pPr>
            <w:r>
              <w:t xml:space="preserve">344/390</w:t>
            </w:r>
          </w:p>
        </w:tc>
        <w:tc>
          <w:tcPr/>
          <w:p>
            <w:pPr>
              <w:pStyle w:val="Compact"/>
              <w:jc w:val="right"/>
            </w:pPr>
            <w:r>
              <w:t xml:space="preserve">0.8821</w:t>
            </w:r>
          </w:p>
        </w:tc>
        <w:tc>
          <w:tcPr/>
          <w:p>
            <w:pPr>
              <w:pStyle w:val="Compact"/>
              <w:jc w:val="left"/>
            </w:pPr>
            <w:r>
              <w:t xml:space="preserve">0.846–0.910</w:t>
            </w:r>
          </w:p>
        </w:tc>
        <w:tc>
          <w:tcPr/>
          <w:p>
            <w:pPr>
              <w:pStyle w:val="Compact"/>
              <w:jc w:val="right"/>
            </w:pPr>
            <w:r>
              <w:t xml:space="preserve">0.6016</w:t>
            </w:r>
          </w:p>
        </w:tc>
        <w:tc>
          <w:tcPr/>
          <w:p>
            <w:pPr>
              <w:pStyle w:val="Compact"/>
              <w:jc w:val="left"/>
            </w:pPr>
            <w:r>
              <w:t xml:space="preserve">0.505–0.691</w:t>
            </w:r>
          </w:p>
        </w:tc>
      </w:tr>
      <w:tr>
        <w:tc>
          <w:tcPr/>
          <w:p>
            <w:pPr>
              <w:pStyle w:val="Compact"/>
              <w:jc w:val="left"/>
            </w:pPr>
            <w:r>
              <w:t xml:space="preserve">endpoint_L3</w:t>
            </w:r>
          </w:p>
        </w:tc>
        <w:tc>
          <w:tcPr/>
          <w:p>
            <w:pPr>
              <w:pStyle w:val="Compact"/>
              <w:jc w:val="left"/>
            </w:pPr>
            <w:r>
              <w:t xml:space="preserve">binary</w:t>
            </w:r>
          </w:p>
        </w:tc>
        <w:tc>
          <w:tcPr/>
          <w:p>
            <w:pPr>
              <w:pStyle w:val="Compact"/>
              <w:jc w:val="right"/>
            </w:pPr>
            <w:r>
              <w:t xml:space="preserve">344/390</w:t>
            </w:r>
          </w:p>
        </w:tc>
        <w:tc>
          <w:tcPr/>
          <w:p>
            <w:pPr>
              <w:pStyle w:val="Compact"/>
              <w:jc w:val="right"/>
            </w:pPr>
            <w:r>
              <w:t xml:space="preserve">0.8821</w:t>
            </w:r>
          </w:p>
        </w:tc>
        <w:tc>
          <w:tcPr/>
          <w:p>
            <w:pPr>
              <w:pStyle w:val="Compact"/>
              <w:jc w:val="left"/>
            </w:pPr>
            <w:r>
              <w:t xml:space="preserve">0.846–0.910</w:t>
            </w:r>
          </w:p>
        </w:tc>
        <w:tc>
          <w:tcPr/>
          <w:p>
            <w:pPr>
              <w:pStyle w:val="Compact"/>
              <w:jc w:val="right"/>
            </w:pPr>
            <w:r>
              <w:t xml:space="preserve">0.4116</w:t>
            </w:r>
          </w:p>
        </w:tc>
        <w:tc>
          <w:tcPr/>
          <w:p>
            <w:pPr>
              <w:pStyle w:val="Compact"/>
              <w:jc w:val="left"/>
            </w:pPr>
            <w:r>
              <w:t xml:space="preserve">0.260–0.548</w:t>
            </w:r>
          </w:p>
        </w:tc>
      </w:tr>
      <w:tr>
        <w:tc>
          <w:tcPr/>
          <w:p>
            <w:pPr>
              <w:pStyle w:val="Compact"/>
              <w:jc w:val="left"/>
            </w:pPr>
            <w:r>
              <w:t xml:space="preserve">population_stratum</w:t>
            </w:r>
          </w:p>
        </w:tc>
        <w:tc>
          <w:tcPr/>
          <w:p>
            <w:pPr>
              <w:pStyle w:val="Compact"/>
              <w:jc w:val="left"/>
            </w:pPr>
            <w:r>
              <w:t xml:space="preserve">nominal</w:t>
            </w:r>
          </w:p>
        </w:tc>
        <w:tc>
          <w:tcPr/>
          <w:p>
            <w:pPr>
              <w:pStyle w:val="Compact"/>
              <w:jc w:val="right"/>
            </w:pPr>
            <w:r>
              <w:t xml:space="preserve">362/390</w:t>
            </w:r>
          </w:p>
        </w:tc>
        <w:tc>
          <w:tcPr/>
          <w:p>
            <w:pPr>
              <w:pStyle w:val="Compact"/>
              <w:jc w:val="right"/>
            </w:pPr>
            <w:r>
              <w:t xml:space="preserve">0.9282</w:t>
            </w:r>
          </w:p>
        </w:tc>
        <w:tc>
          <w:tcPr/>
          <w:p>
            <w:pPr>
              <w:pStyle w:val="Compact"/>
              <w:jc w:val="left"/>
            </w:pPr>
            <w:r>
              <w:t xml:space="preserve">0.898–0.950</w:t>
            </w:r>
          </w:p>
        </w:tc>
        <w:tc>
          <w:tcPr/>
          <w:p>
            <w:pPr>
              <w:pStyle w:val="Compact"/>
              <w:jc w:val="right"/>
            </w:pPr>
            <w:r>
              <w:t xml:space="preserve">0.8597</w:t>
            </w:r>
          </w:p>
        </w:tc>
        <w:tc>
          <w:tcPr/>
          <w:p>
            <w:pPr>
              <w:pStyle w:val="Compact"/>
              <w:jc w:val="left"/>
            </w:pPr>
            <w:r>
              <w:t xml:space="preserve">0.810–0.906</w:t>
            </w:r>
          </w:p>
        </w:tc>
      </w:tr>
      <w:tr>
        <w:tc>
          <w:tcPr/>
          <w:p>
            <w:pPr>
              <w:pStyle w:val="Compact"/>
              <w:jc w:val="left"/>
            </w:pPr>
            <w:r>
              <w:t xml:space="preserve">E1_image_input</w:t>
            </w:r>
          </w:p>
        </w:tc>
        <w:tc>
          <w:tcPr/>
          <w:p>
            <w:pPr>
              <w:pStyle w:val="Compact"/>
              <w:jc w:val="left"/>
            </w:pPr>
            <w:r>
              <w:t xml:space="preserve">nominal</w:t>
            </w:r>
          </w:p>
        </w:tc>
        <w:tc>
          <w:tcPr/>
          <w:p>
            <w:pPr>
              <w:pStyle w:val="Compact"/>
              <w:jc w:val="right"/>
            </w:pPr>
            <w:r>
              <w:t xml:space="preserve">364/390</w:t>
            </w:r>
          </w:p>
        </w:tc>
        <w:tc>
          <w:tcPr/>
          <w:p>
            <w:pPr>
              <w:pStyle w:val="Compact"/>
              <w:jc w:val="right"/>
            </w:pPr>
            <w:r>
              <w:t xml:space="preserve">0.9333</w:t>
            </w:r>
          </w:p>
        </w:tc>
        <w:tc>
          <w:tcPr/>
          <w:p>
            <w:pPr>
              <w:pStyle w:val="Compact"/>
              <w:jc w:val="left"/>
            </w:pPr>
            <w:r>
              <w:t xml:space="preserve">0.904–0.954</w:t>
            </w:r>
          </w:p>
        </w:tc>
        <w:tc>
          <w:tcPr/>
          <w:p>
            <w:pPr>
              <w:pStyle w:val="Compact"/>
              <w:jc w:val="right"/>
            </w:pPr>
            <w:r>
              <w:t xml:space="preserve">0.8494</w:t>
            </w:r>
          </w:p>
        </w:tc>
        <w:tc>
          <w:tcPr/>
          <w:p>
            <w:pPr>
              <w:pStyle w:val="Compact"/>
              <w:jc w:val="left"/>
            </w:pPr>
            <w:r>
              <w:t xml:space="preserve">0.793–0.901</w:t>
            </w:r>
          </w:p>
        </w:tc>
      </w:tr>
      <w:tr>
        <w:tc>
          <w:tcPr/>
          <w:p>
            <w:pPr>
              <w:pStyle w:val="Compact"/>
              <w:jc w:val="left"/>
            </w:pPr>
            <w:r>
              <w:t xml:space="preserve">evidence_category</w:t>
            </w:r>
          </w:p>
        </w:tc>
        <w:tc>
          <w:tcPr/>
          <w:p>
            <w:pPr>
              <w:pStyle w:val="Compact"/>
              <w:jc w:val="left"/>
            </w:pPr>
            <w:r>
              <w:t xml:space="preserve">nominal</w:t>
            </w:r>
          </w:p>
        </w:tc>
        <w:tc>
          <w:tcPr/>
          <w:p>
            <w:pPr>
              <w:pStyle w:val="Compact"/>
              <w:jc w:val="right"/>
            </w:pPr>
            <w:r>
              <w:t xml:space="preserve">367/390</w:t>
            </w:r>
          </w:p>
        </w:tc>
        <w:tc>
          <w:tcPr/>
          <w:p>
            <w:pPr>
              <w:pStyle w:val="Compact"/>
              <w:jc w:val="right"/>
            </w:pPr>
            <w:r>
              <w:t xml:space="preserve">0.9410</w:t>
            </w:r>
          </w:p>
        </w:tc>
        <w:tc>
          <w:tcPr/>
          <w:p>
            <w:pPr>
              <w:pStyle w:val="Compact"/>
              <w:jc w:val="left"/>
            </w:pPr>
            <w:r>
              <w:t xml:space="preserve">0.913–0.960</w:t>
            </w:r>
          </w:p>
        </w:tc>
        <w:tc>
          <w:tcPr/>
          <w:p>
            <w:pPr>
              <w:pStyle w:val="Compact"/>
              <w:jc w:val="right"/>
            </w:pPr>
            <w:r>
              <w:t xml:space="preserve">0.8661</w:t>
            </w:r>
          </w:p>
        </w:tc>
        <w:tc>
          <w:tcPr/>
          <w:p>
            <w:pPr>
              <w:pStyle w:val="Compact"/>
              <w:jc w:val="left"/>
            </w:pPr>
            <w:r>
              <w:t xml:space="preserve">0.810–0.915</w:t>
            </w:r>
          </w:p>
        </w:tc>
      </w:tr>
      <w:tr>
        <w:tc>
          <w:tcPr/>
          <w:p>
            <w:pPr>
              <w:pStyle w:val="Compact"/>
              <w:jc w:val="left"/>
            </w:pPr>
            <w:r>
              <w:t xml:space="preserve">endpoint_L1</w:t>
            </w:r>
          </w:p>
        </w:tc>
        <w:tc>
          <w:tcPr/>
          <w:p>
            <w:pPr>
              <w:pStyle w:val="Compact"/>
              <w:jc w:val="left"/>
            </w:pPr>
            <w:r>
              <w:t xml:space="preserve">binary</w:t>
            </w:r>
          </w:p>
        </w:tc>
        <w:tc>
          <w:tcPr/>
          <w:p>
            <w:pPr>
              <w:pStyle w:val="Compact"/>
              <w:jc w:val="right"/>
            </w:pPr>
            <w:r>
              <w:t xml:space="preserve">367/390</w:t>
            </w:r>
          </w:p>
        </w:tc>
        <w:tc>
          <w:tcPr/>
          <w:p>
            <w:pPr>
              <w:pStyle w:val="Compact"/>
              <w:jc w:val="right"/>
            </w:pPr>
            <w:r>
              <w:t xml:space="preserve">0.9410</w:t>
            </w:r>
          </w:p>
        </w:tc>
        <w:tc>
          <w:tcPr/>
          <w:p>
            <w:pPr>
              <w:pStyle w:val="Compact"/>
              <w:jc w:val="left"/>
            </w:pPr>
            <w:r>
              <w:t xml:space="preserve">0.913–0.960</w:t>
            </w:r>
          </w:p>
        </w:tc>
        <w:tc>
          <w:tcPr/>
          <w:p>
            <w:pPr>
              <w:pStyle w:val="Compact"/>
              <w:jc w:val="right"/>
            </w:pPr>
            <w:r>
              <w:t xml:space="preserve">0.4087</w:t>
            </w:r>
          </w:p>
        </w:tc>
        <w:tc>
          <w:tcPr/>
          <w:p>
            <w:pPr>
              <w:pStyle w:val="Compact"/>
              <w:jc w:val="left"/>
            </w:pPr>
            <w:r>
              <w:t xml:space="preserve">0.189–0.598</w:t>
            </w:r>
          </w:p>
        </w:tc>
      </w:tr>
      <w:tr>
        <w:tc>
          <w:tcPr/>
          <w:p>
            <w:pPr>
              <w:pStyle w:val="Compact"/>
              <w:jc w:val="left"/>
            </w:pPr>
            <w:r>
              <w:t xml:space="preserve">source_type</w:t>
            </w:r>
          </w:p>
        </w:tc>
        <w:tc>
          <w:tcPr/>
          <w:p>
            <w:pPr>
              <w:pStyle w:val="Compact"/>
              <w:jc w:val="left"/>
            </w:pPr>
            <w:r>
              <w:t xml:space="preserve">nominal</w:t>
            </w:r>
          </w:p>
        </w:tc>
        <w:tc>
          <w:tcPr/>
          <w:p>
            <w:pPr>
              <w:pStyle w:val="Compact"/>
              <w:jc w:val="right"/>
            </w:pPr>
            <w:r>
              <w:t xml:space="preserve">377/390</w:t>
            </w:r>
          </w:p>
        </w:tc>
        <w:tc>
          <w:tcPr/>
          <w:p>
            <w:pPr>
              <w:pStyle w:val="Compact"/>
              <w:jc w:val="right"/>
            </w:pPr>
            <w:r>
              <w:t xml:space="preserve">0.9667</w:t>
            </w:r>
          </w:p>
        </w:tc>
        <w:tc>
          <w:tcPr/>
          <w:p>
            <w:pPr>
              <w:pStyle w:val="Compact"/>
              <w:jc w:val="left"/>
            </w:pPr>
            <w:r>
              <w:t xml:space="preserve">0.944–0.980</w:t>
            </w:r>
          </w:p>
        </w:tc>
        <w:tc>
          <w:tcPr/>
          <w:p>
            <w:pPr>
              <w:pStyle w:val="Compact"/>
              <w:jc w:val="right"/>
            </w:pPr>
            <w:r>
              <w:t xml:space="preserve">0.9042</w:t>
            </w:r>
          </w:p>
        </w:tc>
        <w:tc>
          <w:tcPr/>
          <w:p>
            <w:pPr>
              <w:pStyle w:val="Compact"/>
              <w:jc w:val="left"/>
            </w:pPr>
            <w:r>
              <w:t xml:space="preserve">0.856–0.950</w:t>
            </w:r>
          </w:p>
        </w:tc>
      </w:tr>
      <w:tr>
        <w:tc>
          <w:tcPr/>
          <w:p>
            <w:pPr>
              <w:pStyle w:val="Compact"/>
              <w:jc w:val="left"/>
            </w:pPr>
            <w:r>
              <w:t xml:space="preserve">endpoint_L4</w:t>
            </w:r>
          </w:p>
        </w:tc>
        <w:tc>
          <w:tcPr/>
          <w:p>
            <w:pPr>
              <w:pStyle w:val="Compact"/>
              <w:jc w:val="left"/>
            </w:pPr>
            <w:r>
              <w:t xml:space="preserve">binary</w:t>
            </w:r>
          </w:p>
        </w:tc>
        <w:tc>
          <w:tcPr/>
          <w:p>
            <w:pPr>
              <w:pStyle w:val="Compact"/>
              <w:jc w:val="right"/>
            </w:pPr>
            <w:r>
              <w:t xml:space="preserve">380/390</w:t>
            </w:r>
          </w:p>
        </w:tc>
        <w:tc>
          <w:tcPr/>
          <w:p>
            <w:pPr>
              <w:pStyle w:val="Compact"/>
              <w:jc w:val="right"/>
            </w:pPr>
            <w:r>
              <w:t xml:space="preserve">0.9744</w:t>
            </w:r>
          </w:p>
        </w:tc>
        <w:tc>
          <w:tcPr/>
          <w:p>
            <w:pPr>
              <w:pStyle w:val="Compact"/>
              <w:jc w:val="left"/>
            </w:pPr>
            <w:r>
              <w:t xml:space="preserve">0.953–0.986</w:t>
            </w:r>
          </w:p>
        </w:tc>
        <w:tc>
          <w:tcPr/>
          <w:p>
            <w:pPr>
              <w:pStyle w:val="Compact"/>
              <w:jc w:val="right"/>
            </w:pPr>
            <w:r>
              <w:t xml:space="preserve">0.1547</w:t>
            </w:r>
          </w:p>
        </w:tc>
        <w:tc>
          <w:tcPr/>
          <w:p>
            <w:pPr>
              <w:pStyle w:val="Compact"/>
              <w:jc w:val="left"/>
            </w:pPr>
            <w:r>
              <w:t xml:space="preserve">-0.017–0.439</w:t>
            </w:r>
          </w:p>
        </w:tc>
      </w:tr>
      <w:tr>
        <w:tc>
          <w:tcPr/>
          <w:p>
            <w:pPr>
              <w:pStyle w:val="Compact"/>
              <w:jc w:val="left"/>
            </w:pPr>
            <w:r>
              <w:t xml:space="preserve">endpoint_L6</w:t>
            </w:r>
          </w:p>
        </w:tc>
        <w:tc>
          <w:tcPr/>
          <w:p>
            <w:pPr>
              <w:pStyle w:val="Compact"/>
              <w:jc w:val="left"/>
            </w:pPr>
            <w:r>
              <w:t xml:space="preserve">binary</w:t>
            </w:r>
          </w:p>
        </w:tc>
        <w:tc>
          <w:tcPr/>
          <w:p>
            <w:pPr>
              <w:pStyle w:val="Compact"/>
              <w:jc w:val="right"/>
            </w:pPr>
            <w:r>
              <w:t xml:space="preserve">384/390</w:t>
            </w:r>
          </w:p>
        </w:tc>
        <w:tc>
          <w:tcPr/>
          <w:p>
            <w:pPr>
              <w:pStyle w:val="Compact"/>
              <w:jc w:val="right"/>
            </w:pPr>
            <w:r>
              <w:t xml:space="preserve">0.9846</w:t>
            </w:r>
          </w:p>
        </w:tc>
        <w:tc>
          <w:tcPr/>
          <w:p>
            <w:pPr>
              <w:pStyle w:val="Compact"/>
              <w:jc w:val="left"/>
            </w:pPr>
            <w:r>
              <w:t xml:space="preserve">0.967–0.993</w:t>
            </w:r>
          </w:p>
        </w:tc>
        <w:tc>
          <w:tcPr/>
          <w:p>
            <w:pPr>
              <w:pStyle w:val="Compact"/>
              <w:jc w:val="right"/>
            </w:pPr>
            <w:r>
              <w:t xml:space="preserve">0.5642</w:t>
            </w:r>
          </w:p>
        </w:tc>
        <w:tc>
          <w:tcPr/>
          <w:p>
            <w:pPr>
              <w:pStyle w:val="Compact"/>
              <w:jc w:val="left"/>
            </w:pPr>
            <w:r>
              <w:t xml:space="preserve">0.128–0.855</w:t>
            </w:r>
          </w:p>
        </w:tc>
      </w:tr>
      <w:tr>
        <w:tc>
          <w:tcPr/>
          <w:p>
            <w:pPr>
              <w:pStyle w:val="Compact"/>
              <w:jc w:val="left"/>
            </w:pPr>
            <w:r>
              <w:t xml:space="preserve">endpoint_L5</w:t>
            </w:r>
          </w:p>
        </w:tc>
        <w:tc>
          <w:tcPr/>
          <w:p>
            <w:pPr>
              <w:pStyle w:val="Compact"/>
              <w:jc w:val="left"/>
            </w:pPr>
            <w:r>
              <w:t xml:space="preserve">binary</w:t>
            </w:r>
          </w:p>
        </w:tc>
        <w:tc>
          <w:tcPr/>
          <w:p>
            <w:pPr>
              <w:pStyle w:val="Compact"/>
              <w:jc w:val="right"/>
            </w:pPr>
            <w:r>
              <w:t xml:space="preserve">387/390</w:t>
            </w:r>
          </w:p>
        </w:tc>
        <w:tc>
          <w:tcPr/>
          <w:p>
            <w:pPr>
              <w:pStyle w:val="Compact"/>
              <w:jc w:val="right"/>
            </w:pPr>
            <w:r>
              <w:t xml:space="preserve">0.9923</w:t>
            </w:r>
          </w:p>
        </w:tc>
        <w:tc>
          <w:tcPr/>
          <w:p>
            <w:pPr>
              <w:pStyle w:val="Compact"/>
              <w:jc w:val="left"/>
            </w:pPr>
            <w:r>
              <w:t xml:space="preserve">0.978–0.997</w:t>
            </w:r>
          </w:p>
        </w:tc>
        <w:tc>
          <w:tcPr/>
          <w:p>
            <w:pPr>
              <w:pStyle w:val="Compact"/>
              <w:jc w:val="right"/>
            </w:pPr>
            <w:r>
              <w:t xml:space="preserve">0.7237</w:t>
            </w:r>
          </w:p>
        </w:tc>
        <w:tc>
          <w:tcPr/>
          <w:p>
            <w:pPr>
              <w:pStyle w:val="Compact"/>
              <w:jc w:val="left"/>
            </w:pPr>
            <w:r>
              <w:t xml:space="preserve">0.280–1.000</w:t>
            </w:r>
          </w:p>
        </w:tc>
      </w:tr>
      <w:tr>
        <w:tc>
          <w:tcPr/>
          <w:p>
            <w:pPr>
              <w:pStyle w:val="Compact"/>
              <w:jc w:val="left"/>
            </w:pPr>
            <w:r>
              <w:t xml:space="preserve">primary_instance_id</w:t>
            </w:r>
          </w:p>
        </w:tc>
        <w:tc>
          <w:tcPr/>
          <w:p>
            <w:pPr>
              <w:pStyle w:val="Compact"/>
              <w:jc w:val="left"/>
            </w:pPr>
            <w:r>
              <w:t xml:space="preserve">exact-only</w:t>
            </w:r>
          </w:p>
        </w:tc>
        <w:tc>
          <w:tcPr/>
          <w:p>
            <w:pPr>
              <w:pStyle w:val="Compact"/>
              <w:jc w:val="right"/>
            </w:pPr>
            <w:r>
              <w:t xml:space="preserve">390/390</w:t>
            </w:r>
          </w:p>
        </w:tc>
        <w:tc>
          <w:tcPr/>
          <w:p>
            <w:pPr>
              <w:pStyle w:val="Compact"/>
              <w:jc w:val="right"/>
            </w:pPr>
            <w:r>
              <w:t xml:space="preserve">1.0000</w:t>
            </w:r>
          </w:p>
        </w:tc>
        <w:tc>
          <w:tcPr/>
          <w:p>
            <w:pPr>
              <w:pStyle w:val="Compact"/>
              <w:jc w:val="left"/>
            </w:pPr>
            <w:r>
              <w:t xml:space="preserve">0.990–1.000</w:t>
            </w:r>
          </w:p>
        </w:tc>
        <w:tc>
          <w:tcPr/>
          <w:p>
            <w:pPr>
              <w:pStyle w:val="Compact"/>
              <w:jc w:val="right"/>
            </w:pPr>
            <w:r>
              <w:t xml:space="preserve">not estimated</w:t>
            </w:r>
          </w:p>
        </w:tc>
        <w:tc>
          <w:tcPr/>
          <w:p>
            <w:pPr>
              <w:pStyle w:val="Compact"/>
              <w:jc w:val="left"/>
            </w:pPr>
            <w:r>
              <w:t xml:space="preserve">not estimated</w:t>
            </w:r>
          </w:p>
        </w:tc>
      </w:tr>
    </w:tbl>
    <w:bookmarkStart w:id="50" w:name="Xc8355215506fc3aa0a76d8af58f2660bdc3ff04"/>
    <w:p>
      <w:pPr>
        <w:pStyle w:val="Heading3"/>
      </w:pPr>
      <w:r>
        <w:t xml:space="preserve">S9.1 Anchoring tiers and gates (descriptive counts)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quantity</w:t>
            </w:r>
          </w:p>
        </w:tc>
        <w:tc>
          <w:tcPr/>
          <w:p>
            <w:pPr>
              <w:pStyle w:val="Compact"/>
              <w:jc w:val="left"/>
            </w:pPr>
            <w:r>
              <w:t xml:space="preserve">count / proportion</w:t>
            </w:r>
          </w:p>
        </w:tc>
      </w:tr>
      <w:tr>
        <w:tc>
          <w:tcPr/>
          <w:p>
            <w:pPr>
              <w:pStyle w:val="Compact"/>
              <w:jc w:val="left"/>
            </w:pPr>
            <w:r>
              <w:t xml:space="preserve">whole-passage verbatim</w:t>
            </w:r>
          </w:p>
        </w:tc>
        <w:tc>
          <w:tcPr/>
          <w:p>
            <w:pPr>
              <w:pStyle w:val="Compact"/>
              <w:jc w:val="left"/>
            </w:pPr>
            <w:r>
              <w:t xml:space="preserve">6,215/9,415 (66.0%)</w:t>
            </w:r>
          </w:p>
        </w:tc>
      </w:tr>
      <w:tr>
        <w:tc>
          <w:tcPr/>
          <w:p>
            <w:pPr>
              <w:pStyle w:val="Compact"/>
              <w:jc w:val="left"/>
            </w:pPr>
            <w:r>
              <w:t xml:space="preserve">first-25-character only</w:t>
            </w:r>
          </w:p>
        </w:tc>
        <w:tc>
          <w:tcPr/>
          <w:p>
            <w:pPr>
              <w:pStyle w:val="Compact"/>
              <w:jc w:val="left"/>
            </w:pPr>
            <w:r>
              <w:t xml:space="preserve">2,229/9,415 (23.7%)</w:t>
            </w:r>
          </w:p>
        </w:tc>
      </w:tr>
      <w:tr>
        <w:tc>
          <w:tcPr/>
          <w:p>
            <w:pPr>
              <w:pStyle w:val="Compact"/>
              <w:jc w:val="left"/>
            </w:pPr>
            <w:r>
              <w:t xml:space="preserve">unmatched (strict rule)</w:t>
            </w:r>
          </w:p>
        </w:tc>
        <w:tc>
          <w:tcPr/>
          <w:p>
            <w:pPr>
              <w:pStyle w:val="Compact"/>
              <w:jc w:val="left"/>
            </w:pPr>
            <w:r>
              <w:t xml:space="preserve">971/9,415 (10.3%)</w:t>
            </w:r>
          </w:p>
        </w:tc>
      </w:tr>
      <w:tr>
        <w:tc>
          <w:tcPr/>
          <w:p>
            <w:pPr>
              <w:pStyle w:val="Compact"/>
              <w:jc w:val="left"/>
            </w:pPr>
            <w:r>
              <w:t xml:space="preserve">Gate 1 verbatim re-hit</w:t>
            </w:r>
          </w:p>
        </w:tc>
        <w:tc>
          <w:tcPr/>
          <w:p>
            <w:pPr>
              <w:pStyle w:val="Compact"/>
              <w:jc w:val="left"/>
            </w:pPr>
            <w:r>
              <w:t xml:space="preserve">15/23 (65.2%)</w:t>
            </w:r>
          </w:p>
        </w:tc>
      </w:tr>
      <w:tr>
        <w:tc>
          <w:tcPr/>
          <w:p>
            <w:pPr>
              <w:pStyle w:val="Compact"/>
              <w:jc w:val="left"/>
            </w:pPr>
            <w:r>
              <w:t xml:space="preserve">Gate 3 Po, all rows</w:t>
            </w:r>
          </w:p>
        </w:tc>
        <w:tc>
          <w:tcPr/>
          <w:p>
            <w:pPr>
              <w:pStyle w:val="Compact"/>
              <w:jc w:val="left"/>
            </w:pPr>
            <w:r>
              <w:t xml:space="preserve">74/115 (0.6435)</w:t>
            </w:r>
          </w:p>
        </w:tc>
      </w:tr>
      <w:tr>
        <w:tc>
          <w:tcPr/>
          <w:p>
            <w:pPr>
              <w:pStyle w:val="Compact"/>
              <w:jc w:val="left"/>
            </w:pPr>
            <w:r>
              <w:t xml:space="preserve">Gate 3 Po, 113 unique keys</w:t>
            </w:r>
          </w:p>
        </w:tc>
        <w:tc>
          <w:tcPr/>
          <w:p>
            <w:pPr>
              <w:pStyle w:val="Compact"/>
              <w:jc w:val="left"/>
            </w:pPr>
            <w:r>
              <w:t xml:space="preserve">73/113 (0.646)</w:t>
            </w:r>
          </w:p>
        </w:tc>
      </w:tr>
    </w:tbl>
    <w:p>
      <w:pPr>
        <w:pStyle w:val="BodyText"/>
      </w:pPr>
      <w:r>
        <w:t xml:space="preserve">No inferential interval is reported for the anchoring tiers or the gates: the 9,415 judgments cluster within reports and cells, and the 115 attribution cells cluster within reports, and no cluster-adjusted variance was computed. These are reported as descriptive counts and proportions only.</w:t>
      </w:r>
    </w:p>
    <w:bookmarkEnd w:id="50"/>
    <w:bookmarkStart w:id="51" w:name="X1f257b802d90ce81ec5e1314fc0b6acb3890a00"/>
    <w:p>
      <w:pPr>
        <w:pStyle w:val="Heading3"/>
      </w:pPr>
      <w:r>
        <w:t xml:space="preserve">S9.2 Conditional anchoring scenarios (traceable is not correct)</w:t>
      </w:r>
    </w:p>
    <w:p>
      <w:pPr>
        <w:pStyle w:val="FirstParagraph"/>
      </w:pPr>
      <w:r>
        <w:t xml:space="preserve">Anchoring shows that the cited text can be found, not that the extracted value is correct. Two conditional scenarios follow from the frozen tier counts without any new judgment. Counting only whole-passage verbatim matches gives 6,215/9,415 (66.0%). Counting whole-passage verbatim plus first-25-character-only matches gives (6,215 + 2,229)/9,415 = 8,444/9,415 (89.7%). If every first-25-character-only match and every tolerant-search source-present judgment (S7: 946 of the 971) were treated as anchored, the scenario yields (6,215 + 2,229 + 946)/9,415 = 9,390/9,415 (99.7%). This is not a mathematical upper bound: the five indeterminate judgments might also be anchorable. Neither scenario addresses whether the located text supports the extracted value; that question was not assessed.</w:t>
      </w:r>
    </w:p>
    <w:bookmarkEnd w:id="51"/>
    <w:bookmarkEnd w:id="52"/>
    <w:bookmarkStart w:id="53" w:name="s-map.-audited-corpus-limited-map"/>
    <w:p>
      <w:pPr>
        <w:pStyle w:val="Heading2"/>
      </w:pPr>
      <w:r>
        <w:t xml:space="preserve">S-map. Audited corpus (limited map)</w:t>
      </w:r>
    </w:p>
    <w:p>
      <w:pPr>
        <w:pStyle w:val="FirstParagraph"/>
      </w:pPr>
      <w:r>
        <w:rPr>
          <w:bCs/>
          <w:b/>
        </w:rPr>
        <w:t xml:space="preserve">Record-level de-duplication.</w:t>
      </w:r>
      <w:r>
        <w:t xml:space="preserve"> </w:t>
      </w:r>
      <w:r>
        <w:t xml:space="preserve">The frozen inclusion list contains 401 raw rows; three superseded rows were replaced by re-matched records, leaving 398 records. Eight of these are duplicate records of seven studies, so merging them gives</w:t>
      </w:r>
      <w:r>
        <w:t xml:space="preserve"> </w:t>
      </w:r>
      <w:r>
        <w:rPr>
          <w:bCs/>
          <w:b/>
        </w:rPr>
        <w:t xml:space="preserve">390 independent coded records</w:t>
      </w:r>
      <w:r>
        <w:t xml:space="preserve">; after the eligibility re-adjudication (§2.9) the analysis set is</w:t>
      </w:r>
      <w:r>
        <w:t xml:space="preserve"> </w:t>
      </w:r>
      <w:r>
        <w:rPr>
          <w:bCs/>
          <w:b/>
        </w:rPr>
        <w:t xml:space="preserve">277 included reports</w:t>
      </w:r>
      <w:r>
        <w:t xml:space="preserve"> </w:t>
      </w:r>
      <w:r>
        <w:t xml:space="preserve">(Manuscript §3.1). The eight removed records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study_no</w:t>
            </w:r>
          </w:p>
        </w:tc>
        <w:tc>
          <w:tcPr/>
          <w:p>
            <w:pPr>
              <w:pStyle w:val="Compact"/>
              <w:jc w:val="left"/>
            </w:pPr>
            <w:r>
              <w:t xml:space="preserve">retained record</w:t>
            </w:r>
          </w:p>
        </w:tc>
        <w:tc>
          <w:tcPr/>
          <w:p>
            <w:pPr>
              <w:pStyle w:val="Compact"/>
              <w:jc w:val="left"/>
            </w:pPr>
            <w:r>
              <w:t xml:space="preserve">removed duplicate record(s)</w:t>
            </w:r>
          </w:p>
        </w:tc>
      </w:tr>
      <w:tr>
        <w:tc>
          <w:tcPr/>
          <w:p>
            <w:pPr>
              <w:pStyle w:val="Compact"/>
              <w:jc w:val="left"/>
            </w:pPr>
            <w:r>
              <w:t xml:space="preserve">43</w:t>
            </w:r>
          </w:p>
        </w:tc>
        <w:tc>
          <w:tcPr/>
          <w:p>
            <w:pPr>
              <w:pStyle w:val="Compact"/>
              <w:jc w:val="left"/>
            </w:pPr>
            <w:r>
              <w:t xml:space="preserve">S-01572</w:t>
            </w:r>
          </w:p>
        </w:tc>
        <w:tc>
          <w:tcPr/>
          <w:p>
            <w:pPr>
              <w:pStyle w:val="Compact"/>
              <w:jc w:val="left"/>
            </w:pPr>
            <w:r>
              <w:t xml:space="preserve">S-03955 (batch 1); CT-08734 (citation tracking)</w:t>
            </w:r>
          </w:p>
        </w:tc>
      </w:tr>
      <w:tr>
        <w:tc>
          <w:tcPr/>
          <w:p>
            <w:pPr>
              <w:pStyle w:val="Compact"/>
              <w:jc w:val="left"/>
            </w:pPr>
            <w:r>
              <w:t xml:space="preserve">71</w:t>
            </w:r>
          </w:p>
        </w:tc>
        <w:tc>
          <w:tcPr/>
          <w:p>
            <w:pPr>
              <w:pStyle w:val="Compact"/>
              <w:jc w:val="left"/>
            </w:pPr>
            <w:r>
              <w:t xml:space="preserve">S-02225</w:t>
            </w:r>
          </w:p>
        </w:tc>
        <w:tc>
          <w:tcPr/>
          <w:p>
            <w:pPr>
              <w:pStyle w:val="Compact"/>
              <w:jc w:val="left"/>
            </w:pPr>
            <w:r>
              <w:t xml:space="preserve">CT-08786 (citation tracking)</w:t>
            </w:r>
          </w:p>
        </w:tc>
      </w:tr>
      <w:tr>
        <w:tc>
          <w:tcPr/>
          <w:p>
            <w:pPr>
              <w:pStyle w:val="Compact"/>
              <w:jc w:val="left"/>
            </w:pPr>
            <w:r>
              <w:t xml:space="preserve">102</w:t>
            </w:r>
          </w:p>
        </w:tc>
        <w:tc>
          <w:tcPr/>
          <w:p>
            <w:pPr>
              <w:pStyle w:val="Compact"/>
              <w:jc w:val="left"/>
            </w:pPr>
            <w:r>
              <w:t xml:space="preserve">S-02905</w:t>
            </w:r>
          </w:p>
        </w:tc>
        <w:tc>
          <w:tcPr/>
          <w:p>
            <w:pPr>
              <w:pStyle w:val="Compact"/>
              <w:jc w:val="left"/>
            </w:pPr>
            <w:r>
              <w:t xml:space="preserve">S-05554 (batch 2)</w:t>
            </w:r>
          </w:p>
        </w:tc>
      </w:tr>
      <w:tr>
        <w:tc>
          <w:tcPr/>
          <w:p>
            <w:pPr>
              <w:pStyle w:val="Compact"/>
              <w:jc w:val="left"/>
            </w:pPr>
            <w:r>
              <w:t xml:space="preserve">121</w:t>
            </w:r>
          </w:p>
        </w:tc>
        <w:tc>
          <w:tcPr/>
          <w:p>
            <w:pPr>
              <w:pStyle w:val="Compact"/>
              <w:jc w:val="left"/>
            </w:pPr>
            <w:r>
              <w:t xml:space="preserve">S-03720</w:t>
            </w:r>
          </w:p>
        </w:tc>
        <w:tc>
          <w:tcPr/>
          <w:p>
            <w:pPr>
              <w:pStyle w:val="Compact"/>
              <w:jc w:val="left"/>
            </w:pPr>
            <w:r>
              <w:t xml:space="preserve">CT-08534 (citation tracking)</w:t>
            </w:r>
          </w:p>
        </w:tc>
      </w:tr>
      <w:tr>
        <w:tc>
          <w:tcPr/>
          <w:p>
            <w:pPr>
              <w:pStyle w:val="Compact"/>
              <w:jc w:val="left"/>
            </w:pPr>
            <w:r>
              <w:t xml:space="preserve">132</w:t>
            </w:r>
          </w:p>
        </w:tc>
        <w:tc>
          <w:tcPr/>
          <w:p>
            <w:pPr>
              <w:pStyle w:val="Compact"/>
              <w:jc w:val="left"/>
            </w:pPr>
            <w:r>
              <w:t xml:space="preserve">S-03986</w:t>
            </w:r>
          </w:p>
        </w:tc>
        <w:tc>
          <w:tcPr/>
          <w:p>
            <w:pPr>
              <w:pStyle w:val="Compact"/>
              <w:jc w:val="left"/>
            </w:pPr>
            <w:r>
              <w:t xml:space="preserve">S-02252 (batch 1)</w:t>
            </w:r>
          </w:p>
        </w:tc>
      </w:tr>
      <w:tr>
        <w:tc>
          <w:tcPr/>
          <w:p>
            <w:pPr>
              <w:pStyle w:val="Compact"/>
              <w:jc w:val="left"/>
            </w:pPr>
            <w:r>
              <w:t xml:space="preserve">211</w:t>
            </w:r>
          </w:p>
        </w:tc>
        <w:tc>
          <w:tcPr/>
          <w:p>
            <w:pPr>
              <w:pStyle w:val="Compact"/>
              <w:jc w:val="left"/>
            </w:pPr>
            <w:r>
              <w:t xml:space="preserve">S-05312</w:t>
            </w:r>
          </w:p>
        </w:tc>
        <w:tc>
          <w:tcPr/>
          <w:p>
            <w:pPr>
              <w:pStyle w:val="Compact"/>
              <w:jc w:val="left"/>
            </w:pPr>
            <w:r>
              <w:t xml:space="preserve">S-02675 (batch 2)</w:t>
            </w:r>
          </w:p>
        </w:tc>
      </w:tr>
      <w:tr>
        <w:tc>
          <w:tcPr/>
          <w:p>
            <w:pPr>
              <w:pStyle w:val="Compact"/>
              <w:jc w:val="left"/>
            </w:pPr>
            <w:r>
              <w:t xml:space="preserve">315</w:t>
            </w:r>
          </w:p>
        </w:tc>
        <w:tc>
          <w:tcPr/>
          <w:p>
            <w:pPr>
              <w:pStyle w:val="Compact"/>
              <w:jc w:val="left"/>
            </w:pPr>
            <w:r>
              <w:t xml:space="preserve">S-03979</w:t>
            </w:r>
          </w:p>
        </w:tc>
        <w:tc>
          <w:tcPr/>
          <w:p>
            <w:pPr>
              <w:pStyle w:val="Compact"/>
              <w:jc w:val="left"/>
            </w:pPr>
            <w:r>
              <w:t xml:space="preserve">S-01546 (batch 4)</w:t>
            </w:r>
          </w:p>
        </w:tc>
      </w:tr>
    </w:tbl>
    <w:p>
      <w:pPr>
        <w:pStyle w:val="BodyText"/>
      </w:pPr>
      <w:r>
        <w:rPr>
          <w:bCs/>
          <w:b/>
        </w:rPr>
        <w:t xml:space="preserve">Reliability scope (eligibility re-adjudication).</w:t>
      </w:r>
      <w:r>
        <w:t xml:space="preserve"> </w:t>
      </w:r>
      <w:r>
        <w:t xml:space="preserve">All field-level Po and α values in S1c, S1c.1, S1c.2 and S9 are computed on the pre-adjudication coded corpus of 390 records. The eligibility re-adjudication reported in Manuscript §2.9 reduced the included set to 277 reports; it did not alter these estimates, and the coded values of excluded records are retained exactly as recorded and were not re-coded. Denominators therefore differ by design: 390 for coding reliability, 277 for the included set.</w:t>
      </w:r>
    </w:p>
    <w:p>
      <w:pPr>
        <w:pStyle w:val="BodyText"/>
      </w:pPr>
      <w:r>
        <w:rPr>
          <w:bCs/>
          <w:b/>
        </w:rPr>
        <w:t xml:space="preserve">Flow reconciliation.</w:t>
      </w:r>
      <w:r>
        <w:t xml:space="preserve"> </w:t>
      </w:r>
      <w:r>
        <w:t xml:space="preserve">The audited corpus was formed as follows (project screening log, not included in this package): 9,316 records identified; 2,549 duplicates removed; 6,767 records title-and-abstract screened; 5,916 excluded at that stage; 851 full texts retrieved plus one added by citation tracking (S-06693) =</w:t>
      </w:r>
      <w:r>
        <w:t xml:space="preserve"> </w:t>
      </w:r>
      <w:r>
        <w:rPr>
          <w:bCs/>
          <w:b/>
        </w:rPr>
        <w:t xml:space="preserve">852 full-text pool</w:t>
      </w:r>
      <w:r>
        <w:t xml:space="preserve">;</w:t>
      </w:r>
      <w:r>
        <w:t xml:space="preserve"> </w:t>
      </w:r>
      <w:r>
        <w:rPr>
          <w:bCs/>
          <w:b/>
        </w:rPr>
        <w:t xml:space="preserve">10 full texts could not be obtained (3 pending, 7 unverifiable)</w:t>
      </w:r>
      <w:r>
        <w:t xml:space="preserve">;</w:t>
      </w:r>
      <w:r>
        <w:t xml:space="preserve"> </w:t>
      </w:r>
      <w:r>
        <w:rPr>
          <w:bCs/>
          <w:b/>
        </w:rPr>
        <w:t xml:space="preserve">842 full texts assessed</w:t>
      </w:r>
      <w:r>
        <w:t xml:space="preserve">;</w:t>
      </w:r>
      <w:r>
        <w:t xml:space="preserve"> </w:t>
      </w:r>
      <w:r>
        <w:rPr>
          <w:bCs/>
          <w:b/>
        </w:rPr>
        <w:t xml:space="preserve">390 records included in the coded corpus</w:t>
      </w:r>
      <w:r>
        <w:t xml:space="preserve">.</w:t>
      </w:r>
      <w:r>
        <w:t xml:space="preserve"> </w:t>
      </w:r>
      <w:r>
        <w:rPr>
          <w:bCs/>
          <w:b/>
        </w:rPr>
        <w:t xml:space="preserve">Eligibility re-adjudication (Manuscript §2.9):</w:t>
      </w:r>
      <w:r>
        <w:t xml:space="preserve"> </w:t>
      </w:r>
      <w:r>
        <w:t xml:space="preserve">of these 390 coded records, 115 carried an extracted image-channel value of</w:t>
      </w:r>
      <w:r>
        <w:t xml:space="preserve"> </w:t>
      </w:r>
      <w:r>
        <w:rPr>
          <w:iCs/>
          <w:i/>
        </w:rPr>
        <w:t xml:space="preserve">no</w:t>
      </w:r>
      <w:r>
        <w:t xml:space="preserve"> </w:t>
      </w:r>
      <w:r>
        <w:t xml:space="preserve">or</w:t>
      </w:r>
      <w:r>
        <w:t xml:space="preserve"> </w:t>
      </w:r>
      <w:r>
        <w:rPr>
          <w:iCs/>
          <w:i/>
        </w:rPr>
        <w:t xml:space="preserve">unable to determine</w:t>
      </w:r>
      <w:r>
        <w:t xml:space="preserve"> </w:t>
      </w:r>
      <w:r>
        <w:t xml:space="preserve">and were re-adjudicated independently by two reviewers (κ = 0.83; 3 disagreements adjudicated by a third reviewer): 107 were excluded for non-conformance with the screening rule (TA-3 / FT-2), 2 were confirmed as exercising the visual channel, and 6 remained unresolved; unresolved records were not counted as included.</w:t>
      </w:r>
      <w:r>
        <w:t xml:space="preserve"> </w:t>
      </w:r>
      <w:r>
        <w:rPr>
          <w:bCs/>
          <w:b/>
        </w:rPr>
        <w:t xml:space="preserve">277 included reports</w:t>
      </w:r>
      <w:r>
        <w:t xml:space="preserve"> </w:t>
      </w:r>
      <w:r>
        <w:t xml:space="preserve">were the post-adjudication included set; all reliability and anchoring estimates were computed on the 390-record coded corpus. The 398 figure is therefore a</w:t>
      </w:r>
      <w:r>
        <w:t xml:space="preserve"> </w:t>
      </w:r>
      <w:r>
        <w:rPr>
          <w:iCs/>
          <w:i/>
        </w:rPr>
        <w:t xml:space="preserve">record-level</w:t>
      </w:r>
      <w:r>
        <w:t xml:space="preserve"> </w:t>
      </w:r>
      <w:r>
        <w:t xml:space="preserve">count inside the study-level stage (401 raw rows − 3 superseded = 398 records; 398 − 8 merged duplicate records = 390 coded records (one extraction record per report in the coded corpus). An earlier count of 402 was erroneous (three records from one database were double-counted and one batch retained pre-arbitration values) and was corrected to 390.</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dimension</w:t>
            </w:r>
          </w:p>
        </w:tc>
        <w:tc>
          <w:tcPr/>
          <w:p>
            <w:pPr>
              <w:pStyle w:val="Compact"/>
              <w:jc w:val="left"/>
            </w:pPr>
            <w:r>
              <w:t xml:space="preserve">category</w:t>
            </w:r>
          </w:p>
        </w:tc>
        <w:tc>
          <w:tcPr/>
          <w:p>
            <w:pPr>
              <w:pStyle w:val="Compact"/>
              <w:jc w:val="left"/>
            </w:pPr>
            <w:r>
              <w:t xml:space="preserve">n</w:t>
            </w:r>
          </w:p>
        </w:tc>
      </w:tr>
      <w:tr>
        <w:tc>
          <w:tcPr/>
          <w:p>
            <w:pPr>
              <w:pStyle w:val="Compact"/>
              <w:jc w:val="left"/>
            </w:pPr>
            <w:r>
              <w:t xml:space="preserve">claimed modality</w:t>
            </w:r>
          </w:p>
        </w:tc>
        <w:tc>
          <w:tcPr/>
          <w:p>
            <w:pPr>
              <w:pStyle w:val="Compact"/>
              <w:jc w:val="left"/>
            </w:pPr>
            <w:r>
              <w:t xml:space="preserve">image+text</w:t>
            </w:r>
          </w:p>
        </w:tc>
        <w:tc>
          <w:tcPr/>
          <w:p>
            <w:pPr>
              <w:pStyle w:val="Compact"/>
              <w:jc w:val="left"/>
            </w:pPr>
            <w:r>
              <w:t xml:space="preserve">293</w:t>
            </w:r>
          </w:p>
        </w:tc>
      </w:tr>
      <w:tr>
        <w:tc>
          <w:tcPr/>
          <w:p>
            <w:pPr>
              <w:pStyle w:val="Compact"/>
            </w:pPr>
          </w:p>
        </w:tc>
        <w:tc>
          <w:tcPr/>
          <w:p>
            <w:pPr>
              <w:pStyle w:val="Compact"/>
              <w:jc w:val="left"/>
            </w:pPr>
            <w:r>
              <w:t xml:space="preserve">text-only</w:t>
            </w:r>
          </w:p>
        </w:tc>
        <w:tc>
          <w:tcPr/>
          <w:p>
            <w:pPr>
              <w:pStyle w:val="Compact"/>
              <w:jc w:val="left"/>
            </w:pPr>
            <w:r>
              <w:t xml:space="preserve">82</w:t>
            </w:r>
          </w:p>
        </w:tc>
      </w:tr>
      <w:tr>
        <w:tc>
          <w:tcPr/>
          <w:p>
            <w:pPr>
              <w:pStyle w:val="Compact"/>
            </w:pPr>
          </w:p>
        </w:tc>
        <w:tc>
          <w:tcPr/>
          <w:p>
            <w:pPr>
              <w:pStyle w:val="Compact"/>
              <w:jc w:val="left"/>
            </w:pPr>
            <w:r>
              <w:t xml:space="preserve">image-only</w:t>
            </w:r>
          </w:p>
        </w:tc>
        <w:tc>
          <w:tcPr/>
          <w:p>
            <w:pPr>
              <w:pStyle w:val="Compact"/>
              <w:jc w:val="left"/>
            </w:pPr>
            <w:r>
              <w:t xml:space="preserve">7</w:t>
            </w:r>
          </w:p>
        </w:tc>
      </w:tr>
      <w:tr>
        <w:tc>
          <w:tcPr/>
          <w:p>
            <w:pPr>
              <w:pStyle w:val="Compact"/>
            </w:pPr>
          </w:p>
        </w:tc>
        <w:tc>
          <w:tcPr/>
          <w:p>
            <w:pPr>
              <w:pStyle w:val="Compact"/>
              <w:jc w:val="left"/>
            </w:pPr>
            <w:r>
              <w:t xml:space="preserve">unclear or not reported</w:t>
            </w:r>
          </w:p>
        </w:tc>
        <w:tc>
          <w:tcPr/>
          <w:p>
            <w:pPr>
              <w:pStyle w:val="Compact"/>
              <w:jc w:val="left"/>
            </w:pPr>
            <w:r>
              <w:t xml:space="preserve">8</w:t>
            </w:r>
          </w:p>
        </w:tc>
      </w:tr>
      <w:tr>
        <w:tc>
          <w:tcPr/>
          <w:p>
            <w:pPr>
              <w:pStyle w:val="Compact"/>
              <w:jc w:val="left"/>
            </w:pPr>
            <w:r>
              <w:t xml:space="preserve">task grouping (descriptive; not a field-11 category listing)</w:t>
            </w:r>
          </w:p>
        </w:tc>
        <w:tc>
          <w:tcPr/>
          <w:p>
            <w:pPr>
              <w:pStyle w:val="Compact"/>
              <w:jc w:val="left"/>
            </w:pPr>
            <w:r>
              <w:t xml:space="preserve">education/examination</w:t>
            </w:r>
          </w:p>
        </w:tc>
        <w:tc>
          <w:tcPr/>
          <w:p>
            <w:pPr>
              <w:pStyle w:val="Compact"/>
              <w:jc w:val="left"/>
            </w:pPr>
            <w:r>
              <w:t xml:space="preserve">118</w:t>
            </w:r>
          </w:p>
        </w:tc>
      </w:tr>
      <w:tr>
        <w:tc>
          <w:tcPr/>
          <w:p>
            <w:pPr>
              <w:pStyle w:val="Compact"/>
            </w:pPr>
          </w:p>
        </w:tc>
        <w:tc>
          <w:tcPr/>
          <w:p>
            <w:pPr>
              <w:pStyle w:val="Compact"/>
              <w:jc w:val="left"/>
            </w:pPr>
            <w:r>
              <w:t xml:space="preserve">imaging diagnosis</w:t>
            </w:r>
          </w:p>
        </w:tc>
        <w:tc>
          <w:tcPr/>
          <w:p>
            <w:pPr>
              <w:pStyle w:val="Compact"/>
              <w:jc w:val="left"/>
            </w:pPr>
            <w:r>
              <w:t xml:space="preserve">85</w:t>
            </w:r>
          </w:p>
        </w:tc>
      </w:tr>
      <w:tr>
        <w:tc>
          <w:tcPr/>
          <w:p>
            <w:pPr>
              <w:pStyle w:val="Compact"/>
            </w:pPr>
          </w:p>
        </w:tc>
        <w:tc>
          <w:tcPr/>
          <w:p>
            <w:pPr>
              <w:pStyle w:val="Compact"/>
              <w:jc w:val="left"/>
            </w:pPr>
            <w:r>
              <w:t xml:space="preserve">oral cancer/lesions</w:t>
            </w:r>
          </w:p>
        </w:tc>
        <w:tc>
          <w:tcPr/>
          <w:p>
            <w:pPr>
              <w:pStyle w:val="Compact"/>
              <w:jc w:val="left"/>
            </w:pPr>
            <w:r>
              <w:t xml:space="preserve">48</w:t>
            </w:r>
          </w:p>
        </w:tc>
      </w:tr>
      <w:tr>
        <w:tc>
          <w:tcPr/>
          <w:p>
            <w:pPr>
              <w:pStyle w:val="Compact"/>
            </w:pPr>
          </w:p>
        </w:tc>
        <w:tc>
          <w:tcPr/>
          <w:p>
            <w:pPr>
              <w:pStyle w:val="Compact"/>
              <w:jc w:val="left"/>
            </w:pPr>
            <w:r>
              <w:t xml:space="preserve">maxillofacial</w:t>
            </w:r>
          </w:p>
        </w:tc>
        <w:tc>
          <w:tcPr/>
          <w:p>
            <w:pPr>
              <w:pStyle w:val="Compact"/>
              <w:jc w:val="left"/>
            </w:pPr>
            <w:r>
              <w:t xml:space="preserve">37</w:t>
            </w:r>
          </w:p>
        </w:tc>
      </w:tr>
      <w:tr>
        <w:tc>
          <w:tcPr/>
          <w:p>
            <w:pPr>
              <w:pStyle w:val="Compact"/>
            </w:pPr>
          </w:p>
        </w:tc>
        <w:tc>
          <w:tcPr/>
          <w:p>
            <w:pPr>
              <w:pStyle w:val="Compact"/>
              <w:jc w:val="left"/>
            </w:pPr>
            <w:r>
              <w:t xml:space="preserve">other task groupings</w:t>
            </w:r>
          </w:p>
        </w:tc>
        <w:tc>
          <w:tcPr/>
          <w:p>
            <w:pPr>
              <w:pStyle w:val="Compact"/>
              <w:jc w:val="left"/>
            </w:pPr>
            <w:r>
              <w:t xml:space="preserve">102</w:t>
            </w:r>
          </w:p>
        </w:tc>
      </w:tr>
      <w:tr>
        <w:tc>
          <w:tcPr/>
          <w:p>
            <w:pPr>
              <w:pStyle w:val="Compact"/>
              <w:jc w:val="left"/>
            </w:pPr>
            <w:r>
              <w:t xml:space="preserve">sample unit (top)</w:t>
            </w:r>
          </w:p>
        </w:tc>
        <w:tc>
          <w:tcPr/>
          <w:p>
            <w:pPr>
              <w:pStyle w:val="Compact"/>
              <w:jc w:val="left"/>
            </w:pPr>
            <w:r>
              <w:t xml:space="preserve">question</w:t>
            </w:r>
          </w:p>
        </w:tc>
        <w:tc>
          <w:tcPr/>
          <w:p>
            <w:pPr>
              <w:pStyle w:val="Compact"/>
              <w:jc w:val="left"/>
            </w:pPr>
            <w:r>
              <w:t xml:space="preserve">128</w:t>
            </w:r>
          </w:p>
        </w:tc>
      </w:tr>
      <w:tr>
        <w:tc>
          <w:tcPr/>
          <w:p>
            <w:pPr>
              <w:pStyle w:val="Compact"/>
            </w:pPr>
          </w:p>
        </w:tc>
        <w:tc>
          <w:tcPr/>
          <w:p>
            <w:pPr>
              <w:pStyle w:val="Compact"/>
              <w:jc w:val="left"/>
            </w:pPr>
            <w:r>
              <w:t xml:space="preserve">image</w:t>
            </w:r>
          </w:p>
        </w:tc>
        <w:tc>
          <w:tcPr/>
          <w:p>
            <w:pPr>
              <w:pStyle w:val="Compact"/>
              <w:jc w:val="left"/>
            </w:pPr>
            <w:r>
              <w:t xml:space="preserve">112</w:t>
            </w:r>
          </w:p>
        </w:tc>
      </w:tr>
      <w:tr>
        <w:tc>
          <w:tcPr/>
          <w:p>
            <w:pPr>
              <w:pStyle w:val="Compact"/>
            </w:pPr>
          </w:p>
        </w:tc>
        <w:tc>
          <w:tcPr/>
          <w:p>
            <w:pPr>
              <w:pStyle w:val="Compact"/>
              <w:jc w:val="left"/>
            </w:pPr>
            <w:r>
              <w:t xml:space="preserve">case</w:t>
            </w:r>
          </w:p>
        </w:tc>
        <w:tc>
          <w:tcPr/>
          <w:p>
            <w:pPr>
              <w:pStyle w:val="Compact"/>
              <w:jc w:val="left"/>
            </w:pPr>
            <w:r>
              <w:t xml:space="preserve">92</w:t>
            </w:r>
          </w:p>
        </w:tc>
      </w:tr>
      <w:tr>
        <w:tc>
          <w:tcPr/>
          <w:p>
            <w:pPr>
              <w:pStyle w:val="Compact"/>
            </w:pPr>
          </w:p>
        </w:tc>
        <w:tc>
          <w:tcPr/>
          <w:p>
            <w:pPr>
              <w:pStyle w:val="Compact"/>
              <w:jc w:val="left"/>
            </w:pPr>
            <w:r>
              <w:t xml:space="preserve">patient</w:t>
            </w:r>
          </w:p>
        </w:tc>
        <w:tc>
          <w:tcPr/>
          <w:p>
            <w:pPr>
              <w:pStyle w:val="Compact"/>
              <w:jc w:val="left"/>
            </w:pPr>
            <w:r>
              <w:t xml:space="preserve">25</w:t>
            </w:r>
          </w:p>
        </w:tc>
      </w:tr>
      <w:tr>
        <w:tc>
          <w:tcPr/>
          <w:p>
            <w:pPr>
              <w:pStyle w:val="Compact"/>
            </w:pPr>
          </w:p>
        </w:tc>
        <w:tc>
          <w:tcPr/>
          <w:p>
            <w:pPr>
              <w:pStyle w:val="Compact"/>
              <w:jc w:val="left"/>
            </w:pPr>
            <w:r>
              <w:t xml:space="preserve">remaining seven units</w:t>
            </w:r>
          </w:p>
        </w:tc>
        <w:tc>
          <w:tcPr/>
          <w:p>
            <w:pPr>
              <w:pStyle w:val="Compact"/>
              <w:jc w:val="left"/>
            </w:pPr>
            <w:r>
              <w:t xml:space="preserve">33</w:t>
            </w:r>
          </w:p>
        </w:tc>
      </w:tr>
      <w:tr>
        <w:tc>
          <w:tcPr/>
          <w:p>
            <w:pPr>
              <w:pStyle w:val="Compact"/>
              <w:jc w:val="left"/>
            </w:pPr>
            <w:r>
              <w:t xml:space="preserve">source type</w:t>
            </w:r>
          </w:p>
        </w:tc>
        <w:tc>
          <w:tcPr/>
          <w:p>
            <w:pPr>
              <w:pStyle w:val="Compact"/>
              <w:jc w:val="left"/>
            </w:pPr>
            <w:r>
              <w:t xml:space="preserve">peer-reviewed journal</w:t>
            </w:r>
          </w:p>
        </w:tc>
        <w:tc>
          <w:tcPr/>
          <w:p>
            <w:pPr>
              <w:pStyle w:val="Compact"/>
              <w:jc w:val="left"/>
            </w:pPr>
            <w:r>
              <w:t xml:space="preserve">312</w:t>
            </w:r>
          </w:p>
        </w:tc>
      </w:tr>
      <w:tr>
        <w:tc>
          <w:tcPr/>
          <w:p>
            <w:pPr>
              <w:pStyle w:val="Compact"/>
            </w:pPr>
          </w:p>
        </w:tc>
        <w:tc>
          <w:tcPr/>
          <w:p>
            <w:pPr>
              <w:pStyle w:val="Compact"/>
              <w:jc w:val="left"/>
            </w:pPr>
            <w:r>
              <w:t xml:space="preserve">preprint</w:t>
            </w:r>
          </w:p>
        </w:tc>
        <w:tc>
          <w:tcPr/>
          <w:p>
            <w:pPr>
              <w:pStyle w:val="Compact"/>
              <w:jc w:val="left"/>
            </w:pPr>
            <w:r>
              <w:t xml:space="preserve">54</w:t>
            </w:r>
          </w:p>
        </w:tc>
      </w:tr>
      <w:tr>
        <w:tc>
          <w:tcPr/>
          <w:p>
            <w:pPr>
              <w:pStyle w:val="Compact"/>
            </w:pPr>
          </w:p>
        </w:tc>
        <w:tc>
          <w:tcPr/>
          <w:p>
            <w:pPr>
              <w:pStyle w:val="Compact"/>
              <w:jc w:val="left"/>
            </w:pPr>
            <w:r>
              <w:t xml:space="preserve">conference proceedings</w:t>
            </w:r>
          </w:p>
        </w:tc>
        <w:tc>
          <w:tcPr/>
          <w:p>
            <w:pPr>
              <w:pStyle w:val="Compact"/>
              <w:jc w:val="left"/>
            </w:pPr>
            <w:r>
              <w:t xml:space="preserve">23</w:t>
            </w:r>
          </w:p>
        </w:tc>
      </w:tr>
      <w:tr>
        <w:tc>
          <w:tcPr/>
          <w:p>
            <w:pPr>
              <w:pStyle w:val="Compact"/>
            </w:pPr>
          </w:p>
        </w:tc>
        <w:tc>
          <w:tcPr/>
          <w:p>
            <w:pPr>
              <w:pStyle w:val="Compact"/>
              <w:jc w:val="left"/>
            </w:pPr>
            <w:r>
              <w:t xml:space="preserve">unclear or not reported</w:t>
            </w:r>
          </w:p>
        </w:tc>
        <w:tc>
          <w:tcPr/>
          <w:p>
            <w:pPr>
              <w:pStyle w:val="Compact"/>
              <w:jc w:val="left"/>
            </w:pPr>
            <w:r>
              <w:t xml:space="preserve">1</w:t>
            </w:r>
          </w:p>
        </w:tc>
      </w:tr>
    </w:tbl>
    <w:p>
      <w:pPr>
        <w:pStyle w:val="BodyText"/>
      </w:pPr>
      <w:r>
        <w:t xml:space="preserve">The task-grouping rows above retain the reported descriptive counts; they are not a distribution of codebook field 11, which has nine permitted values. The configuration-level count was not closed in the frozen ledger and is not reported as a result.</w:t>
      </w:r>
    </w:p>
    <w:bookmarkEnd w:id="53"/>
    <w:bookmarkStart w:id="54" w:name="X79827c2897d0607fd4a5d757d888f5e18592bd0"/>
    <w:p>
      <w:pPr>
        <w:pStyle w:val="Heading2"/>
      </w:pPr>
      <w:r>
        <w:t xml:space="preserve">S-map.2. Claimed modality × input-modality evidence (descriptive cross-tabulation)</w:t>
      </w:r>
    </w:p>
    <w:p>
      <w:pPr>
        <w:pStyle w:val="FirstParagraph"/>
      </w:pPr>
      <w:r>
        <w:t xml:space="preserve">Eligibility under the existing visual-channel rule was re-adjudicated for the 115 records with E1 = no or unable to determine, as reported in Manuscript §2.9 (107 excluded, 2 confirmed, 6 unresolved). This cross-tabulation describes frozen extraction values only; it does not repeat or replace those record-level rulings.</w:t>
      </w:r>
    </w:p>
    <w:p>
      <w:pPr>
        <w:pStyle w:val="BodyText"/>
      </w:pPr>
      <w:r>
        <w:rPr>
          <w:bCs/>
          <w:b/>
        </w:rPr>
        <w:t xml:space="preserve">Claimed modality × actual input modality</w:t>
      </w:r>
      <w:r>
        <w:t xml:space="preserve"> </w:t>
      </w:r>
      <w:r>
        <w:t xml:space="preserve">(frozen</w:t>
      </w:r>
      <w:r>
        <w:t xml:space="preserve"> </w:t>
      </w:r>
      <w:r>
        <w:rPr>
          <w:rStyle w:val="VerbatimChar"/>
        </w:rPr>
        <w:t xml:space="preserve">extraction-A.csv</w:t>
      </w:r>
      <w:r>
        <w:t xml:space="preserve">, 390 records):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claimed \ actual</w:t>
            </w:r>
          </w:p>
        </w:tc>
        <w:tc>
          <w:tcPr/>
          <w:p>
            <w:pPr>
              <w:pStyle w:val="Compact"/>
              <w:jc w:val="left"/>
            </w:pPr>
            <w:r>
              <w:t xml:space="preserve">image+text</w:t>
            </w:r>
          </w:p>
        </w:tc>
        <w:tc>
          <w:tcPr/>
          <w:p>
            <w:pPr>
              <w:pStyle w:val="Compact"/>
              <w:jc w:val="left"/>
            </w:pPr>
            <w:r>
              <w:t xml:space="preserve">text-only</w:t>
            </w:r>
          </w:p>
        </w:tc>
        <w:tc>
          <w:tcPr/>
          <w:p>
            <w:pPr>
              <w:pStyle w:val="Compact"/>
              <w:jc w:val="left"/>
            </w:pPr>
            <w:r>
              <w:t xml:space="preserve">image-only</w:t>
            </w:r>
          </w:p>
        </w:tc>
        <w:tc>
          <w:tcPr/>
          <w:p>
            <w:pPr>
              <w:pStyle w:val="Compact"/>
              <w:jc w:val="left"/>
            </w:pPr>
            <w:r>
              <w:t xml:space="preserve">unclear or not reported</w:t>
            </w:r>
          </w:p>
        </w:tc>
        <w:tc>
          <w:tcPr/>
          <w:p>
            <w:pPr>
              <w:pStyle w:val="Compact"/>
              <w:jc w:val="left"/>
            </w:pPr>
            <w:r>
              <w:t xml:space="preserve">total</w:t>
            </w:r>
          </w:p>
        </w:tc>
      </w:tr>
      <w:tr>
        <w:tc>
          <w:tcPr/>
          <w:p>
            <w:pPr>
              <w:pStyle w:val="Compact"/>
              <w:jc w:val="left"/>
            </w:pPr>
            <w:r>
              <w:t xml:space="preserve">image+text</w:t>
            </w:r>
          </w:p>
        </w:tc>
        <w:tc>
          <w:tcPr/>
          <w:p>
            <w:pPr>
              <w:pStyle w:val="Compact"/>
              <w:jc w:val="left"/>
            </w:pPr>
            <w:r>
              <w:t xml:space="preserve">262</w:t>
            </w:r>
          </w:p>
        </w:tc>
        <w:tc>
          <w:tcPr/>
          <w:p>
            <w:pPr>
              <w:pStyle w:val="Compact"/>
              <w:jc w:val="left"/>
            </w:pPr>
            <w:r>
              <w:t xml:space="preserve">20</w:t>
            </w:r>
          </w:p>
        </w:tc>
        <w:tc>
          <w:tcPr/>
          <w:p>
            <w:pPr>
              <w:pStyle w:val="Compact"/>
              <w:jc w:val="left"/>
            </w:pPr>
            <w:r>
              <w:t xml:space="preserve">6</w:t>
            </w:r>
          </w:p>
        </w:tc>
        <w:tc>
          <w:tcPr/>
          <w:p>
            <w:pPr>
              <w:pStyle w:val="Compact"/>
              <w:jc w:val="left"/>
            </w:pPr>
            <w:r>
              <w:t xml:space="preserve">5</w:t>
            </w:r>
          </w:p>
        </w:tc>
        <w:tc>
          <w:tcPr/>
          <w:p>
            <w:pPr>
              <w:pStyle w:val="Compact"/>
              <w:jc w:val="left"/>
            </w:pPr>
            <w:r>
              <w:t xml:space="preserve">293</w:t>
            </w:r>
          </w:p>
        </w:tc>
      </w:tr>
      <w:tr>
        <w:tc>
          <w:tcPr/>
          <w:p>
            <w:pPr>
              <w:pStyle w:val="Compact"/>
              <w:jc w:val="left"/>
            </w:pPr>
            <w:r>
              <w:t xml:space="preserve">text-only</w:t>
            </w:r>
          </w:p>
        </w:tc>
        <w:tc>
          <w:tcPr/>
          <w:p>
            <w:pPr>
              <w:pStyle w:val="Compact"/>
              <w:jc w:val="left"/>
            </w:pPr>
            <w:r>
              <w:t xml:space="preserve">0</w:t>
            </w:r>
          </w:p>
        </w:tc>
        <w:tc>
          <w:tcPr/>
          <w:p>
            <w:pPr>
              <w:pStyle w:val="Compact"/>
              <w:jc w:val="left"/>
            </w:pPr>
            <w:r>
              <w:t xml:space="preserve">82</w:t>
            </w:r>
          </w:p>
        </w:tc>
        <w:tc>
          <w:tcPr/>
          <w:p>
            <w:pPr>
              <w:pStyle w:val="Compact"/>
              <w:jc w:val="left"/>
            </w:pPr>
            <w:r>
              <w:t xml:space="preserve">0</w:t>
            </w:r>
          </w:p>
        </w:tc>
        <w:tc>
          <w:tcPr/>
          <w:p>
            <w:pPr>
              <w:pStyle w:val="Compact"/>
              <w:jc w:val="left"/>
            </w:pPr>
            <w:r>
              <w:t xml:space="preserve">0</w:t>
            </w:r>
          </w:p>
        </w:tc>
        <w:tc>
          <w:tcPr/>
          <w:p>
            <w:pPr>
              <w:pStyle w:val="Compact"/>
              <w:jc w:val="left"/>
            </w:pPr>
            <w:r>
              <w:t xml:space="preserve">82</w:t>
            </w:r>
          </w:p>
        </w:tc>
      </w:tr>
      <w:tr>
        <w:tc>
          <w:tcPr/>
          <w:p>
            <w:pPr>
              <w:pStyle w:val="Compact"/>
              <w:jc w:val="left"/>
            </w:pPr>
            <w:r>
              <w:t xml:space="preserve">image-only</w:t>
            </w:r>
          </w:p>
        </w:tc>
        <w:tc>
          <w:tcPr/>
          <w:p>
            <w:pPr>
              <w:pStyle w:val="Compact"/>
              <w:jc w:val="left"/>
            </w:pPr>
            <w:r>
              <w:t xml:space="preserve">0</w:t>
            </w:r>
          </w:p>
        </w:tc>
        <w:tc>
          <w:tcPr/>
          <w:p>
            <w:pPr>
              <w:pStyle w:val="Compact"/>
              <w:jc w:val="left"/>
            </w:pPr>
            <w:r>
              <w:t xml:space="preserve">0</w:t>
            </w:r>
          </w:p>
        </w:tc>
        <w:tc>
          <w:tcPr/>
          <w:p>
            <w:pPr>
              <w:pStyle w:val="Compact"/>
              <w:jc w:val="left"/>
            </w:pPr>
            <w:r>
              <w:t xml:space="preserve">7</w:t>
            </w:r>
          </w:p>
        </w:tc>
        <w:tc>
          <w:tcPr/>
          <w:p>
            <w:pPr>
              <w:pStyle w:val="Compact"/>
              <w:jc w:val="left"/>
            </w:pPr>
            <w:r>
              <w:t xml:space="preserve">0</w:t>
            </w:r>
          </w:p>
        </w:tc>
        <w:tc>
          <w:tcPr/>
          <w:p>
            <w:pPr>
              <w:pStyle w:val="Compact"/>
              <w:jc w:val="left"/>
            </w:pPr>
            <w:r>
              <w:t xml:space="preserve">7</w:t>
            </w:r>
          </w:p>
        </w:tc>
      </w:tr>
      <w:tr>
        <w:tc>
          <w:tcPr/>
          <w:p>
            <w:pPr>
              <w:pStyle w:val="Compact"/>
              <w:jc w:val="left"/>
            </w:pPr>
            <w:r>
              <w:t xml:space="preserve">unclear or not reported</w:t>
            </w:r>
          </w:p>
        </w:tc>
        <w:tc>
          <w:tcPr/>
          <w:p>
            <w:pPr>
              <w:pStyle w:val="Compact"/>
              <w:jc w:val="left"/>
            </w:pPr>
            <w:r>
              <w:t xml:space="preserve">0</w:t>
            </w:r>
          </w:p>
        </w:tc>
        <w:tc>
          <w:tcPr/>
          <w:p>
            <w:pPr>
              <w:pStyle w:val="Compact"/>
              <w:jc w:val="left"/>
            </w:pPr>
            <w:r>
              <w:t xml:space="preserve">2</w:t>
            </w:r>
          </w:p>
        </w:tc>
        <w:tc>
          <w:tcPr/>
          <w:p>
            <w:pPr>
              <w:pStyle w:val="Compact"/>
              <w:jc w:val="left"/>
            </w:pPr>
            <w:r>
              <w:t xml:space="preserve">0</w:t>
            </w:r>
          </w:p>
        </w:tc>
        <w:tc>
          <w:tcPr/>
          <w:p>
            <w:pPr>
              <w:pStyle w:val="Compact"/>
              <w:jc w:val="left"/>
            </w:pPr>
            <w:r>
              <w:t xml:space="preserve">6</w:t>
            </w:r>
          </w:p>
        </w:tc>
        <w:tc>
          <w:tcPr/>
          <w:p>
            <w:pPr>
              <w:pStyle w:val="Compact"/>
              <w:jc w:val="left"/>
            </w:pPr>
            <w:r>
              <w:t xml:space="preserve">8</w:t>
            </w:r>
          </w:p>
        </w:tc>
      </w:tr>
    </w:tbl>
    <w:p>
      <w:pPr>
        <w:pStyle w:val="BodyText"/>
      </w:pPr>
      <w:r>
        <w:rPr>
          <w:bCs/>
          <w:b/>
        </w:rPr>
        <w:t xml:space="preserve">E1_image_input (image channel exercised) by claimed modality: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claimed modality</w:t>
            </w:r>
          </w:p>
        </w:tc>
        <w:tc>
          <w:tcPr/>
          <w:p>
            <w:pPr>
              <w:pStyle w:val="Compact"/>
              <w:jc w:val="left"/>
            </w:pPr>
            <w:r>
              <w:t xml:space="preserve">E1 = yes</w:t>
            </w:r>
          </w:p>
        </w:tc>
        <w:tc>
          <w:tcPr/>
          <w:p>
            <w:pPr>
              <w:pStyle w:val="Compact"/>
              <w:jc w:val="left"/>
            </w:pPr>
            <w:r>
              <w:t xml:space="preserve">E1 = no</w:t>
            </w:r>
          </w:p>
        </w:tc>
        <w:tc>
          <w:tcPr/>
          <w:p>
            <w:pPr>
              <w:pStyle w:val="Compact"/>
              <w:jc w:val="left"/>
            </w:pPr>
            <w:r>
              <w:t xml:space="preserve">E1 = unable to determine</w:t>
            </w:r>
          </w:p>
        </w:tc>
      </w:tr>
      <w:tr>
        <w:tc>
          <w:tcPr/>
          <w:p>
            <w:pPr>
              <w:pStyle w:val="Compact"/>
              <w:jc w:val="left"/>
            </w:pPr>
            <w:r>
              <w:t xml:space="preserve">image+text</w:t>
            </w:r>
          </w:p>
        </w:tc>
        <w:tc>
          <w:tcPr/>
          <w:p>
            <w:pPr>
              <w:pStyle w:val="Compact"/>
              <w:jc w:val="left"/>
            </w:pPr>
            <w:r>
              <w:t xml:space="preserve">268</w:t>
            </w:r>
          </w:p>
        </w:tc>
        <w:tc>
          <w:tcPr/>
          <w:p>
            <w:pPr>
              <w:pStyle w:val="Compact"/>
              <w:jc w:val="left"/>
            </w:pPr>
            <w:r>
              <w:t xml:space="preserve">20</w:t>
            </w:r>
          </w:p>
        </w:tc>
        <w:tc>
          <w:tcPr/>
          <w:p>
            <w:pPr>
              <w:pStyle w:val="Compact"/>
              <w:jc w:val="left"/>
            </w:pPr>
            <w:r>
              <w:t xml:space="preserve">5</w:t>
            </w:r>
          </w:p>
        </w:tc>
      </w:tr>
      <w:tr>
        <w:tc>
          <w:tcPr/>
          <w:p>
            <w:pPr>
              <w:pStyle w:val="Compact"/>
              <w:jc w:val="left"/>
            </w:pPr>
            <w:r>
              <w:t xml:space="preserve">text-only</w:t>
            </w:r>
          </w:p>
        </w:tc>
        <w:tc>
          <w:tcPr/>
          <w:p>
            <w:pPr>
              <w:pStyle w:val="Compact"/>
              <w:jc w:val="left"/>
            </w:pPr>
            <w:r>
              <w:t xml:space="preserve">0</w:t>
            </w:r>
          </w:p>
        </w:tc>
        <w:tc>
          <w:tcPr/>
          <w:p>
            <w:pPr>
              <w:pStyle w:val="Compact"/>
              <w:jc w:val="left"/>
            </w:pPr>
            <w:r>
              <w:t xml:space="preserve">82</w:t>
            </w:r>
          </w:p>
        </w:tc>
        <w:tc>
          <w:tcPr/>
          <w:p>
            <w:pPr>
              <w:pStyle w:val="Compact"/>
              <w:jc w:val="left"/>
            </w:pPr>
            <w:r>
              <w:t xml:space="preserve">0</w:t>
            </w:r>
          </w:p>
        </w:tc>
      </w:tr>
      <w:tr>
        <w:tc>
          <w:tcPr/>
          <w:p>
            <w:pPr>
              <w:pStyle w:val="Compact"/>
              <w:jc w:val="left"/>
            </w:pPr>
            <w:r>
              <w:t xml:space="preserve">image-only</w:t>
            </w:r>
          </w:p>
        </w:tc>
        <w:tc>
          <w:tcPr/>
          <w:p>
            <w:pPr>
              <w:pStyle w:val="Compact"/>
              <w:jc w:val="left"/>
            </w:pPr>
            <w:r>
              <w:t xml:space="preserve">7</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unclear or not reported</w:t>
            </w:r>
          </w:p>
        </w:tc>
        <w:tc>
          <w:tcPr/>
          <w:p>
            <w:pPr>
              <w:pStyle w:val="Compact"/>
              <w:jc w:val="left"/>
            </w:pPr>
            <w:r>
              <w:t xml:space="preserve">0</w:t>
            </w:r>
          </w:p>
        </w:tc>
        <w:tc>
          <w:tcPr/>
          <w:p>
            <w:pPr>
              <w:pStyle w:val="Compact"/>
              <w:jc w:val="left"/>
            </w:pPr>
            <w:r>
              <w:t xml:space="preserve">2</w:t>
            </w:r>
          </w:p>
        </w:tc>
        <w:tc>
          <w:tcPr/>
          <w:p>
            <w:pPr>
              <w:pStyle w:val="Compact"/>
              <w:jc w:val="left"/>
            </w:pPr>
            <w:r>
              <w:t xml:space="preserve">6</w:t>
            </w:r>
          </w:p>
        </w:tc>
      </w:tr>
    </w:tbl>
    <w:p>
      <w:pPr>
        <w:pStyle w:val="BodyText"/>
      </w:pPr>
      <w:r>
        <w:t xml:space="preserve">For the 82 text-only records, E1_image_input =</w:t>
      </w:r>
      <w:r>
        <w:t xml:space="preserve"> </w:t>
      </w:r>
      <w:r>
        <w:t xml:space="preserve">“</w:t>
      </w:r>
      <w:r>
        <w:t xml:space="preserve">no</w:t>
      </w:r>
      <w:r>
        <w:t xml:space="preserve">”</w:t>
      </w:r>
      <w:r>
        <w:t xml:space="preserve"> </w:t>
      </w:r>
      <w:r>
        <w:t xml:space="preserve">in all 82 (no image channel recorded in the frozen extraction). These are descriptive frozen values, not separate eligibility decisions. The executed record-level re-adjudication and its dispositions are reported in Manuscript §2.9; this cross-tabulation does not repeat those rulings.</w:t>
      </w:r>
    </w:p>
    <w:bookmarkEnd w:id="54"/>
    <w:bookmarkStart w:id="55" w:name="Xcd27f3f5edbeef2994b3336c15ce83a7306dc99"/>
    <w:p>
      <w:pPr>
        <w:pStyle w:val="Heading2"/>
      </w:pPr>
      <w:r>
        <w:t xml:space="preserve">S10. Decision-rule checklist (candidate; a prospective validation protocol is registered separately)</w:t>
      </w:r>
    </w:p>
    <w:p>
      <w:pPr>
        <w:pStyle w:val="FirstParagraph"/>
      </w:pPr>
      <w:r>
        <w:t xml:space="preserve">The checklist restates, as decision rules, the procedure used in this audit. It is an exploratory blueprint for prospective validation, not an established standard, and has been applied only to this extraction record.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step</w:t>
            </w:r>
          </w:p>
        </w:tc>
        <w:tc>
          <w:tcPr/>
          <w:p>
            <w:pPr>
              <w:pStyle w:val="Compact"/>
              <w:jc w:val="left"/>
            </w:pPr>
            <w:r>
              <w:t xml:space="preserve">rule</w:t>
            </w:r>
          </w:p>
        </w:tc>
        <w:tc>
          <w:tcPr/>
          <w:p>
            <w:pPr>
              <w:pStyle w:val="Compact"/>
              <w:jc w:val="left"/>
            </w:pPr>
            <w:r>
              <w:t xml:space="preserve">output recorded</w:t>
            </w:r>
          </w:p>
        </w:tc>
        <w:tc>
          <w:tcPr/>
          <w:p>
            <w:pPr>
              <w:pStyle w:val="Compact"/>
              <w:jc w:val="left"/>
            </w:pPr>
            <w:r>
              <w:t xml:space="preserve">where applied here</w:t>
            </w:r>
          </w:p>
        </w:tc>
      </w:tr>
      <w:tr>
        <w:tc>
          <w:tcPr/>
          <w:p>
            <w:pPr>
              <w:pStyle w:val="Compact"/>
              <w:jc w:val="left"/>
            </w:pPr>
            <w:r>
              <w:t xml:space="preserve">1</w:t>
            </w:r>
          </w:p>
        </w:tc>
        <w:tc>
          <w:tcPr/>
          <w:p>
            <w:pPr>
              <w:pStyle w:val="Compact"/>
              <w:jc w:val="left"/>
            </w:pPr>
            <w:r>
              <w:t xml:space="preserve">Before freezing, test each codebook category set for exhaustiveness on a pilot sample</w:t>
            </w:r>
          </w:p>
        </w:tc>
        <w:tc>
          <w:tcPr/>
          <w:p>
            <w:pPr>
              <w:pStyle w:val="Compact"/>
              <w:jc w:val="left"/>
            </w:pPr>
            <w:r>
              <w:t xml:space="preserve">category list with version</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Code independently in two arms; keep the adjudication record separate from the arm records</w:t>
            </w:r>
          </w:p>
        </w:tc>
        <w:tc>
          <w:tcPr/>
          <w:p>
            <w:pPr>
              <w:pStyle w:val="Compact"/>
              <w:jc w:val="left"/>
            </w:pPr>
            <w:r>
              <w:t xml:space="preserve">two arm files plus one arbitration file</w:t>
            </w:r>
          </w:p>
        </w:tc>
        <w:tc>
          <w:tcPr/>
          <w:p>
            <w:pPr>
              <w:pStyle w:val="Compact"/>
              <w:jc w:val="left"/>
            </w:pPr>
            <w:r>
              <w:t xml:space="preserve">§2.3</w:t>
            </w:r>
          </w:p>
        </w:tc>
      </w:tr>
      <w:tr>
        <w:tc>
          <w:tcPr/>
          <w:p>
            <w:pPr>
              <w:pStyle w:val="Compact"/>
              <w:jc w:val="left"/>
            </w:pPr>
            <w:r>
              <w:t xml:space="preserve">3</w:t>
            </w:r>
          </w:p>
        </w:tc>
        <w:tc>
          <w:tcPr/>
          <w:p>
            <w:pPr>
              <w:pStyle w:val="Compact"/>
              <w:jc w:val="left"/>
            </w:pPr>
            <w:r>
              <w:t xml:space="preserve">Store each supporting quotation as its own record linked to (report, field)</w:t>
            </w:r>
          </w:p>
        </w:tc>
        <w:tc>
          <w:tcPr/>
          <w:p>
            <w:pPr>
              <w:pStyle w:val="Compact"/>
              <w:jc w:val="left"/>
            </w:pPr>
            <w:r>
              <w:t xml:space="preserve">citation table</w:t>
            </w:r>
          </w:p>
        </w:tc>
        <w:tc>
          <w:tcPr/>
          <w:p>
            <w:pPr>
              <w:pStyle w:val="Compact"/>
              <w:jc w:val="left"/>
            </w:pPr>
            <w:r>
              <w:t xml:space="preserve">§2.5</w:t>
            </w:r>
          </w:p>
        </w:tc>
      </w:tr>
      <w:tr>
        <w:tc>
          <w:tcPr/>
          <w:p>
            <w:pPr>
              <w:pStyle w:val="Compact"/>
              <w:jc w:val="left"/>
            </w:pPr>
            <w:r>
              <w:t xml:space="preserve">4</w:t>
            </w:r>
          </w:p>
        </w:tc>
        <w:tc>
          <w:tcPr/>
          <w:p>
            <w:pPr>
              <w:pStyle w:val="Compact"/>
              <w:jc w:val="left"/>
            </w:pPr>
            <w:r>
              <w:t xml:space="preserve">For every field report Po, a chance-corrected coefficient where estimable, and category counts</w:t>
            </w:r>
          </w:p>
        </w:tc>
        <w:tc>
          <w:tcPr/>
          <w:p>
            <w:pPr>
              <w:pStyle w:val="Compact"/>
              <w:jc w:val="left"/>
            </w:pPr>
            <w:r>
              <w:t xml:space="preserve">field table</w:t>
            </w:r>
          </w:p>
        </w:tc>
        <w:tc>
          <w:tcPr/>
          <w:p>
            <w:pPr>
              <w:pStyle w:val="Compact"/>
              <w:jc w:val="left"/>
            </w:pPr>
            <w:r>
              <w:t xml:space="preserve">§2.4; S1c</w:t>
            </w:r>
          </w:p>
        </w:tc>
      </w:tr>
      <w:tr>
        <w:tc>
          <w:tcPr/>
          <w:p>
            <w:pPr>
              <w:pStyle w:val="Compact"/>
              <w:jc w:val="left"/>
            </w:pPr>
            <w:r>
              <w:t xml:space="preserve">5</w:t>
            </w:r>
          </w:p>
        </w:tc>
        <w:tc>
          <w:tcPr/>
          <w:p>
            <w:pPr>
              <w:pStyle w:val="Compact"/>
              <w:jc w:val="left"/>
            </w:pPr>
            <w:r>
              <w:t xml:space="preserve">Grade each citation into one tier: whole-passage verbatim; first 25 characters only; unmatched</w:t>
            </w:r>
          </w:p>
        </w:tc>
        <w:tc>
          <w:tcPr/>
          <w:p>
            <w:pPr>
              <w:pStyle w:val="Compact"/>
              <w:jc w:val="left"/>
            </w:pPr>
            <w:r>
              <w:t xml:space="preserve">tier counts on one denominator</w:t>
            </w:r>
          </w:p>
        </w:tc>
        <w:tc>
          <w:tcPr/>
          <w:p>
            <w:pPr>
              <w:pStyle w:val="Compact"/>
              <w:jc w:val="left"/>
            </w:pPr>
            <w:r>
              <w:t xml:space="preserve">§2.5; S2</w:t>
            </w:r>
          </w:p>
        </w:tc>
      </w:tr>
      <w:tr>
        <w:tc>
          <w:tcPr/>
          <w:p>
            <w:pPr>
              <w:pStyle w:val="Compact"/>
              <w:jc w:val="left"/>
            </w:pPr>
            <w:r>
              <w:t xml:space="preserve">6</w:t>
            </w:r>
          </w:p>
        </w:tc>
        <w:tc>
          <w:tcPr/>
          <w:p>
            <w:pPr>
              <w:pStyle w:val="Compact"/>
              <w:jc w:val="left"/>
            </w:pPr>
            <w:r>
              <w:t xml:space="preserve">Freeze gate thresholds before each gate is evaluated; run gates in the registered order and stop at the first failed gate</w:t>
            </w:r>
          </w:p>
        </w:tc>
        <w:tc>
          <w:tcPr/>
          <w:p>
            <w:pPr>
              <w:pStyle w:val="Compact"/>
              <w:jc w:val="left"/>
            </w:pPr>
            <w:r>
              <w:t xml:space="preserve">gate log with dates</w:t>
            </w:r>
          </w:p>
        </w:tc>
        <w:tc>
          <w:tcPr/>
          <w:p>
            <w:pPr>
              <w:pStyle w:val="Compact"/>
              <w:jc w:val="left"/>
            </w:pPr>
            <w:r>
              <w:t xml:space="preserve">§2.6; Table 5</w:t>
            </w:r>
          </w:p>
        </w:tc>
      </w:tr>
      <w:tr>
        <w:tc>
          <w:tcPr/>
          <w:p>
            <w:pPr>
              <w:pStyle w:val="Compact"/>
              <w:jc w:val="left"/>
            </w:pPr>
            <w:r>
              <w:t xml:space="preserve">7</w:t>
            </w:r>
          </w:p>
        </w:tc>
        <w:tc>
          <w:tcPr/>
          <w:p>
            <w:pPr>
              <w:pStyle w:val="Compact"/>
              <w:jc w:val="left"/>
            </w:pPr>
            <w:r>
              <w:t xml:space="preserve">Record every change to endpoints, thresholds or gate order as a dated deviation, marked prespecified or post hoc</w:t>
            </w:r>
          </w:p>
        </w:tc>
        <w:tc>
          <w:tcPr/>
          <w:p>
            <w:pPr>
              <w:pStyle w:val="Compact"/>
              <w:jc w:val="left"/>
            </w:pPr>
            <w:r>
              <w:t xml:space="preserve">deviation log</w:t>
            </w:r>
          </w:p>
        </w:tc>
        <w:tc>
          <w:tcPr/>
          <w:p>
            <w:pPr>
              <w:pStyle w:val="Compact"/>
              <w:jc w:val="left"/>
            </w:pPr>
            <w:r>
              <w:t xml:space="preserve">Table 5; S1a</w:t>
            </w:r>
          </w:p>
        </w:tc>
      </w:tr>
      <w:tr>
        <w:tc>
          <w:tcPr/>
          <w:p>
            <w:pPr>
              <w:pStyle w:val="Compact"/>
              <w:jc w:val="left"/>
            </w:pPr>
            <w:r>
              <w:t xml:space="preserve">8</w:t>
            </w:r>
          </w:p>
        </w:tc>
        <w:tc>
          <w:tcPr/>
          <w:p>
            <w:pPr>
              <w:pStyle w:val="Compact"/>
              <w:jc w:val="left"/>
            </w:pPr>
            <w:r>
              <w:t xml:space="preserve">When a tool or rubric defect is found, void and seal the affected batch and re-run under a new rule-table version</w:t>
            </w:r>
          </w:p>
        </w:tc>
        <w:tc>
          <w:tcPr/>
          <w:p>
            <w:pPr>
              <w:pStyle w:val="Compact"/>
              <w:jc w:val="left"/>
            </w:pPr>
            <w:r>
              <w:t xml:space="preserve">void statement and hash manifest</w:t>
            </w:r>
          </w:p>
        </w:tc>
        <w:tc>
          <w:tcPr/>
          <w:p>
            <w:pPr>
              <w:pStyle w:val="Compact"/>
              <w:jc w:val="left"/>
            </w:pPr>
            <w:r>
              <w:t xml:space="preserve">§3.6; S4; S7</w:t>
            </w:r>
          </w:p>
        </w:tc>
      </w:tr>
    </w:tbl>
    <w:p>
      <w:pPr>
        <w:pStyle w:val="BodyText"/>
      </w:pPr>
      <w:r>
        <w:t xml:space="preserve">In this audit, the gate order (step 6) was revised post hoc and the co-primary measures were set after the data were visible (Table 5); the checklist records the rule as it should be applied prospectively, not as it was applied here.</w:t>
      </w:r>
    </w:p>
    <w:bookmarkEnd w:id="55"/>
    <w:bookmarkEnd w:id="56"/>
    <w:sectPr>
      <w:footerReference w:type="default" r:id="rId900"/>
      <w:pgSz w:w="12240" w:h="15840"/>
      <w:pgMar w:top="1440" w:right="1440" w:bottom="1440" w:left="1440" w:header="720" w:footer="720" w:gutter="0"/>
      <w:lnNumType w:countBy="1" w:restart="continuous" w:distance="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footer" Id="rId900" Target="footer1.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2026-09-29T15:32:28Z</dcterms:created>
  <dcterms:modified xsi:type="dcterms:W3CDTF">2026-09-29T15:32:28Z</dcterms:modified>
</cp:coreProperties>
</file>

<file path=docProps/custom.xml><?xml version="1.0" encoding="utf-8"?>
<Properties xmlns="http://schemas.openxmlformats.org/officeDocument/2006/custom-properties" xmlns:vt="http://schemas.openxmlformats.org/officeDocument/2006/docPropsVTypes"/>
</file>