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extraction-codebook-v1.0"/>
    <w:p>
      <w:pPr>
        <w:pStyle w:val="Heading1"/>
      </w:pPr>
      <w:r>
        <w:t xml:space="preserve">Extraction Codebook (v1.0)</w:t>
      </w:r>
    </w:p>
    <w:p>
      <w:pPr>
        <w:pStyle w:val="FirstParagraph"/>
      </w:pPr>
      <w:r>
        <w:rPr>
          <w:bCs/>
          <w:b/>
        </w:rPr>
        <w:t xml:space="preserve">Review:</w:t>
      </w:r>
      <w:r>
        <w:t xml:space="preserve"> </w:t>
      </w:r>
      <w:r>
        <w:t xml:space="preserve">Evaluation practices and reporting gaps in multimodal large language models and vision-language models in dentistry, 2023–2026 (the audited review referred to in the manuscript)</w:t>
      </w:r>
      <w:r>
        <w:t xml:space="preserve"> </w:t>
      </w:r>
      <w:r>
        <w:rPr>
          <w:bCs/>
          <w:b/>
        </w:rPr>
        <w:t xml:space="preserve">Version:</w:t>
      </w:r>
      <w:r>
        <w:t xml:space="preserve"> </w:t>
      </w:r>
      <w:r>
        <w:t xml:space="preserve">1.0 ｜</w:t>
      </w:r>
      <w:r>
        <w:t xml:space="preserve"> </w:t>
      </w:r>
      <w:r>
        <w:rPr>
          <w:bCs/>
          <w:b/>
        </w:rPr>
        <w:t xml:space="preserve">Date:</w:t>
      </w:r>
      <w:r>
        <w:t xml:space="preserve"> </w:t>
      </w:r>
      <w:r>
        <w:t xml:space="preserve">12 September 2026 ｜</w:t>
      </w:r>
      <w:r>
        <w:t xml:space="preserve"> </w:t>
      </w:r>
      <w:r>
        <w:rPr>
          <w:bCs/>
          <w:b/>
        </w:rPr>
        <w:t xml:space="preserve">Status:</w:t>
      </w:r>
      <w:r>
        <w:t xml:space="preserve"> </w:t>
      </w:r>
      <w:r>
        <w:t xml:space="preserve">fixed before full extraction begins</w:t>
      </w:r>
    </w:p>
    <w:p>
      <w:r>
        <w:pict>
          <v:rect style="width:0;height:1.5pt" o:hralign="center" o:hrstd="t" o:hr="t"/>
        </w:pict>
      </w:r>
    </w:p>
    <w:bookmarkStart w:id="20" w:name="purpose"/>
    <w:p>
      <w:pPr>
        <w:pStyle w:val="Heading2"/>
      </w:pPr>
      <w:r>
        <w:t xml:space="preserve">1. Purpose</w:t>
      </w:r>
    </w:p>
    <w:p>
      <w:pPr>
        <w:pStyle w:val="FirstParagraph"/>
      </w:pPr>
      <w:r>
        <w:t xml:space="preserve">Editorial note on modality terms: the</w:t>
      </w:r>
      <w:r>
        <w:t xml:space="preserve"> </w:t>
      </w:r>
      <w:r>
        <w:t xml:space="preserve">“</w:t>
      </w:r>
      <w:r>
        <w:t xml:space="preserve">claimed modality</w:t>
      </w:r>
      <w:r>
        <w:t xml:space="preserve">”</w:t>
      </w:r>
      <w:r>
        <w:t xml:space="preserve"> </w:t>
      </w:r>
      <w:r>
        <w:t xml:space="preserve">categories reported in the limited map (image-plus-text / text-only / image-only) record the modality a study foregrounds. This is not the same as the eligibility condition in field 10, which concerns the study’s model pipeline; the limited map is therefore a description of the corpus and not an eligibility screen.</w:t>
      </w:r>
    </w:p>
    <w:p>
      <w:pPr>
        <w:pStyle w:val="BodyText"/>
      </w:pPr>
      <w:r>
        <w:t xml:space="preserve">This codebook defines the Tier-1 fields extracted in the audited round; analysis fields derived later are listed in Supplementary Table S1d. The codebook defines the permitted values, the decision rules for ambiguous cases, and the evidence required to support each coded value. It is the operative instruction set for extractors.</w:t>
      </w:r>
    </w:p>
    <w:bookmarkEnd w:id="20"/>
    <w:bookmarkStart w:id="21" w:name="general-rules"/>
    <w:p>
      <w:pPr>
        <w:pStyle w:val="Heading2"/>
      </w:pPr>
      <w:r>
        <w:t xml:space="preserve">2. General rules</w:t>
      </w:r>
    </w:p>
    <w:p>
      <w:pPr>
        <w:numPr>
          <w:ilvl w:val="0"/>
          <w:numId w:val="1001"/>
        </w:numPr>
        <w:pStyle w:val="Compact"/>
      </w:pPr>
      <w:r>
        <w:rPr>
          <w:bCs/>
          <w:b/>
        </w:rPr>
        <w:t xml:space="preserve">Evidence for every code.</w:t>
      </w:r>
      <w:r>
        <w:t xml:space="preserve"> </w:t>
      </w:r>
      <w:r>
        <w:t xml:space="preserve">Each coded value is supported by a source location (section, page, table or figure) recorded in the evidence column.</w:t>
      </w:r>
    </w:p>
    <w:p>
      <w:pPr>
        <w:numPr>
          <w:ilvl w:val="0"/>
          <w:numId w:val="1001"/>
        </w:numPr>
        <w:pStyle w:val="Compact"/>
      </w:pPr>
      <w:r>
        <w:rPr>
          <w:bCs/>
          <w:b/>
        </w:rPr>
        <w:t xml:space="preserve">“</w:t>
      </w:r>
      <w:r>
        <w:rPr>
          <w:bCs/>
          <w:b/>
        </w:rPr>
        <w:t xml:space="preserve">Not reported</w:t>
      </w:r>
      <w:r>
        <w:rPr>
          <w:bCs/>
          <w:b/>
        </w:rPr>
        <w:t xml:space="preserve">”</w:t>
      </w:r>
      <w:r>
        <w:rPr>
          <w:bCs/>
          <w:b/>
        </w:rPr>
        <w:t xml:space="preserve"> </w:t>
      </w:r>
      <w:r>
        <w:rPr>
          <w:bCs/>
          <w:b/>
        </w:rPr>
        <w:t xml:space="preserve">is not</w:t>
      </w:r>
      <w:r>
        <w:rPr>
          <w:bCs/>
          <w:b/>
        </w:rPr>
        <w:t xml:space="preserve"> </w:t>
      </w:r>
      <w:r>
        <w:rPr>
          <w:bCs/>
          <w:b/>
        </w:rPr>
        <w:t xml:space="preserve">“</w:t>
      </w:r>
      <w:r>
        <w:rPr>
          <w:bCs/>
          <w:b/>
        </w:rPr>
        <w:t xml:space="preserve">not done</w:t>
      </w:r>
      <w:r>
        <w:rPr>
          <w:bCs/>
          <w:b/>
        </w:rPr>
        <w:t xml:space="preserve">”</w:t>
      </w:r>
      <w:r>
        <w:rPr>
          <w:bCs/>
          <w:b/>
        </w:rPr>
        <w:t xml:space="preserve">.</w:t>
      </w:r>
      <w:r>
        <w:t xml:space="preserve"> </w:t>
      </w:r>
      <w:r>
        <w:t xml:space="preserve">If an item cannot be found, code</w:t>
      </w:r>
      <w:r>
        <w:t xml:space="preserve"> </w:t>
      </w:r>
      <w:r>
        <w:rPr>
          <w:rStyle w:val="VerbatimChar"/>
        </w:rPr>
        <w:t xml:space="preserve">unclear / not reported</w:t>
      </w:r>
      <w:r>
        <w:t xml:space="preserve">. Code</w:t>
      </w:r>
      <w:r>
        <w:t xml:space="preserve"> </w:t>
      </w:r>
      <w:r>
        <w:rPr>
          <w:rStyle w:val="VerbatimChar"/>
        </w:rPr>
        <w:t xml:space="preserve">explicitly absent</w:t>
      </w:r>
      <w:r>
        <w:t xml:space="preserve"> </w:t>
      </w:r>
      <w:r>
        <w:rPr>
          <w:bCs/>
          <w:b/>
        </w:rPr>
        <w:t xml:space="preserve">only</w:t>
      </w:r>
      <w:r>
        <w:t xml:space="preserve"> </w:t>
      </w:r>
      <w:r>
        <w:t xml:space="preserve">when the source states that the item was not done, not available or not applicable.</w:t>
      </w:r>
    </w:p>
    <w:p>
      <w:pPr>
        <w:numPr>
          <w:ilvl w:val="0"/>
          <w:numId w:val="1001"/>
        </w:numPr>
        <w:pStyle w:val="Compact"/>
      </w:pPr>
      <w:r>
        <w:rPr>
          <w:bCs/>
          <w:b/>
        </w:rPr>
        <w:t xml:space="preserve">Author-described and reviewer-coded design are separate fields.</w:t>
      </w:r>
      <w:r>
        <w:t xml:space="preserve"> </w:t>
      </w:r>
      <w:r>
        <w:t xml:space="preserve">Record what the authors say and, independently, what the methods support. Never merge them.</w:t>
      </w:r>
    </w:p>
    <w:p>
      <w:pPr>
        <w:numPr>
          <w:ilvl w:val="0"/>
          <w:numId w:val="1001"/>
        </w:numPr>
        <w:pStyle w:val="Compact"/>
      </w:pPr>
      <w:r>
        <w:rPr>
          <w:bCs/>
          <w:b/>
        </w:rPr>
        <w:t xml:space="preserve">Units are not interchangeable.</w:t>
      </w:r>
      <w:r>
        <w:t xml:space="preserve"> </w:t>
      </w:r>
      <w:r>
        <w:t xml:space="preserve">Patient, participant, case, image, tooth, slice, question and text-unit counts are recorded as distinct types and are never summed.</w:t>
      </w:r>
    </w:p>
    <w:p>
      <w:pPr>
        <w:numPr>
          <w:ilvl w:val="0"/>
          <w:numId w:val="1001"/>
        </w:numPr>
        <w:pStyle w:val="Compact"/>
      </w:pPr>
      <w:r>
        <w:rPr>
          <w:bCs/>
          <w:b/>
        </w:rPr>
        <w:t xml:space="preserve">Training scale and evaluation scale are recorded separately.</w:t>
      </w:r>
      <w:r>
        <w:t xml:space="preserve"> </w:t>
      </w:r>
      <w:r>
        <w:t xml:space="preserve">A study that reports only training volume is coded as evaluation scale =</w:t>
      </w:r>
      <w:r>
        <w:t xml:space="preserve"> </w:t>
      </w:r>
      <w:r>
        <w:rPr>
          <w:rStyle w:val="VerbatimChar"/>
        </w:rPr>
        <w:t xml:space="preserve">unclear / not reported</w:t>
      </w:r>
      <w:r>
        <w:t xml:space="preserve">.</w:t>
      </w:r>
    </w:p>
    <w:p>
      <w:pPr>
        <w:numPr>
          <w:ilvl w:val="0"/>
          <w:numId w:val="1001"/>
        </w:numPr>
        <w:pStyle w:val="Compact"/>
      </w:pPr>
      <w:r>
        <w:rPr>
          <w:bCs/>
          <w:b/>
        </w:rPr>
        <w:t xml:space="preserve">Code what the outcome measures address, not what the authors claim.</w:t>
      </w:r>
      <w:r>
        <w:t xml:space="preserve"> </w:t>
      </w:r>
      <w:r>
        <w:t xml:space="preserve">Evidence-level coding (levels L1–L6) follows the measured outcome, not the framing of the paper.</w:t>
      </w:r>
    </w:p>
    <w:p>
      <w:pPr>
        <w:numPr>
          <w:ilvl w:val="0"/>
          <w:numId w:val="1001"/>
        </w:numPr>
        <w:pStyle w:val="Compact"/>
      </w:pPr>
      <w:r>
        <w:rPr>
          <w:bCs/>
          <w:b/>
        </w:rPr>
        <w:t xml:space="preserve">Two extractors code independently.</w:t>
      </w:r>
      <w:r>
        <w:t xml:space="preserve"> </w:t>
      </w:r>
      <w:r>
        <w:t xml:space="preserve">Disagreements go to a third researcher. No automated extraction is used, and no computer-assisted extraction substitutes for human reading of the source.</w:t>
      </w:r>
    </w:p>
    <w:bookmarkEnd w:id="21"/>
    <w:bookmarkStart w:id="30" w:name="fields"/>
    <w:p>
      <w:pPr>
        <w:pStyle w:val="Heading2"/>
      </w:pPr>
      <w:r>
        <w:t xml:space="preserve">3. Fields</w:t>
      </w:r>
    </w:p>
    <w:bookmarkStart w:id="22" w:name="identification"/>
    <w:p>
      <w:pPr>
        <w:pStyle w:val="Heading3"/>
      </w:pPr>
      <w:r>
        <w:t xml:space="preserve">Identification</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Field</w:t>
            </w:r>
          </w:p>
        </w:tc>
        <w:tc>
          <w:tcPr/>
          <w:p>
            <w:pPr>
              <w:pStyle w:val="Compact"/>
              <w:jc w:val="left"/>
            </w:pPr>
            <w:r>
              <w:t xml:space="preserve">Permitted values</w:t>
            </w:r>
          </w:p>
        </w:tc>
        <w:tc>
          <w:tcPr/>
          <w:p>
            <w:pPr>
              <w:pStyle w:val="Compact"/>
              <w:jc w:val="left"/>
            </w:pPr>
            <w:r>
              <w:t xml:space="preserve">Rules</w:t>
            </w:r>
          </w:p>
        </w:tc>
      </w:tr>
      <w:tr>
        <w:tc>
          <w:tcPr/>
          <w:p>
            <w:pPr>
              <w:pStyle w:val="Compact"/>
              <w:jc w:val="left"/>
            </w:pPr>
            <w:r>
              <w:t xml:space="preserve">1</w:t>
            </w:r>
          </w:p>
        </w:tc>
        <w:tc>
          <w:tcPr/>
          <w:p>
            <w:pPr>
              <w:pStyle w:val="Compact"/>
              <w:jc w:val="left"/>
            </w:pPr>
            <w:r>
              <w:t xml:space="preserve">Study identity</w:t>
            </w:r>
          </w:p>
        </w:tc>
        <w:tc>
          <w:tcPr/>
          <w:p>
            <w:pPr>
              <w:pStyle w:val="Compact"/>
              <w:jc w:val="left"/>
            </w:pPr>
            <w:r>
              <w:t xml:space="preserve">first author, year, title, stable identifier (DOI or arXiv ID)</w:t>
            </w:r>
          </w:p>
        </w:tc>
        <w:tc>
          <w:tcPr/>
          <w:p>
            <w:pPr>
              <w:pStyle w:val="Compact"/>
              <w:jc w:val="left"/>
            </w:pPr>
            <w:r>
              <w:t xml:space="preserve">identifier required</w:t>
            </w:r>
          </w:p>
        </w:tc>
      </w:tr>
      <w:tr>
        <w:tc>
          <w:tcPr/>
          <w:p>
            <w:pPr>
              <w:pStyle w:val="Compact"/>
              <w:jc w:val="left"/>
            </w:pPr>
            <w:r>
              <w:t xml:space="preserve">2</w:t>
            </w:r>
          </w:p>
        </w:tc>
        <w:tc>
          <w:tcPr/>
          <w:p>
            <w:pPr>
              <w:pStyle w:val="Compact"/>
              <w:jc w:val="left"/>
            </w:pPr>
            <w:r>
              <w:t xml:space="preserve">Source type</w:t>
            </w:r>
          </w:p>
        </w:tc>
        <w:tc>
          <w:tcPr/>
          <w:p>
            <w:pPr>
              <w:pStyle w:val="Compact"/>
              <w:jc w:val="left"/>
            </w:pPr>
            <w:r>
              <w:t xml:space="preserve">peer-reviewed article / preprint / conference proceedings / accepted manuscript / grey literature</w:t>
            </w:r>
          </w:p>
        </w:tc>
        <w:tc>
          <w:tcPr/>
          <w:p>
            <w:pPr>
              <w:pStyle w:val="Compact"/>
              <w:jc w:val="left"/>
            </w:pPr>
            <w:r>
              <w:t xml:space="preserve">a preprint with a later journal version is recorded once, against the primary report; the version relationship is noted</w:t>
            </w:r>
          </w:p>
        </w:tc>
      </w:tr>
      <w:tr>
        <w:tc>
          <w:tcPr/>
          <w:p>
            <w:pPr>
              <w:pStyle w:val="Compact"/>
              <w:jc w:val="left"/>
            </w:pPr>
            <w:r>
              <w:t xml:space="preserve">3</w:t>
            </w:r>
          </w:p>
        </w:tc>
        <w:tc>
          <w:tcPr/>
          <w:p>
            <w:pPr>
              <w:pStyle w:val="Compact"/>
              <w:jc w:val="left"/>
            </w:pPr>
            <w:r>
              <w:t xml:space="preserve">Population stratum</w:t>
            </w:r>
          </w:p>
        </w:tc>
        <w:tc>
          <w:tcPr/>
          <w:p>
            <w:pPr>
              <w:pStyle w:val="Compact"/>
              <w:jc w:val="left"/>
            </w:pPr>
            <w:r>
              <w:t xml:space="preserve">P1 clinical care / P2 educational–examination</w:t>
            </w:r>
          </w:p>
        </w:tc>
        <w:tc>
          <w:tcPr/>
          <w:p>
            <w:pPr>
              <w:pStyle w:val="Compact"/>
              <w:jc w:val="left"/>
            </w:pPr>
            <w:r>
              <w:t xml:space="preserve">strata are recorded but never pooled</w:t>
            </w:r>
          </w:p>
        </w:tc>
      </w:tr>
    </w:tbl>
    <w:bookmarkEnd w:id="22"/>
    <w:bookmarkStart w:id="23" w:name="design"/>
    <w:p>
      <w:pPr>
        <w:pStyle w:val="Heading3"/>
      </w:pPr>
      <w:r>
        <w:t xml:space="preserve">Design</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Field</w:t>
            </w:r>
          </w:p>
        </w:tc>
        <w:tc>
          <w:tcPr/>
          <w:p>
            <w:pPr>
              <w:pStyle w:val="Compact"/>
              <w:jc w:val="left"/>
            </w:pPr>
            <w:r>
              <w:t xml:space="preserve">Permitted values</w:t>
            </w:r>
          </w:p>
        </w:tc>
        <w:tc>
          <w:tcPr/>
          <w:p>
            <w:pPr>
              <w:pStyle w:val="Compact"/>
              <w:jc w:val="left"/>
            </w:pPr>
            <w:r>
              <w:t xml:space="preserve">Rules</w:t>
            </w:r>
          </w:p>
        </w:tc>
      </w:tr>
      <w:tr>
        <w:tc>
          <w:tcPr/>
          <w:p>
            <w:pPr>
              <w:pStyle w:val="Compact"/>
              <w:jc w:val="left"/>
            </w:pPr>
            <w:r>
              <w:t xml:space="preserve">4</w:t>
            </w:r>
          </w:p>
        </w:tc>
        <w:tc>
          <w:tcPr/>
          <w:p>
            <w:pPr>
              <w:pStyle w:val="Compact"/>
              <w:jc w:val="left"/>
            </w:pPr>
            <w:r>
              <w:t xml:space="preserve">Design — author-described</w:t>
            </w:r>
          </w:p>
        </w:tc>
        <w:tc>
          <w:tcPr/>
          <w:p>
            <w:pPr>
              <w:pStyle w:val="Compact"/>
              <w:jc w:val="left"/>
            </w:pPr>
            <w:r>
              <w:t xml:space="preserve">free text</w:t>
            </w:r>
          </w:p>
        </w:tc>
        <w:tc>
          <w:tcPr/>
          <w:p>
            <w:pPr>
              <w:pStyle w:val="Compact"/>
              <w:jc w:val="left"/>
            </w:pPr>
            <w:r>
              <w:t xml:space="preserve">quote or paraphrase the authors’ own label</w:t>
            </w:r>
          </w:p>
        </w:tc>
      </w:tr>
      <w:tr>
        <w:tc>
          <w:tcPr/>
          <w:p>
            <w:pPr>
              <w:pStyle w:val="Compact"/>
              <w:jc w:val="left"/>
            </w:pPr>
            <w:r>
              <w:t xml:space="preserve">5</w:t>
            </w:r>
          </w:p>
        </w:tc>
        <w:tc>
          <w:tcPr/>
          <w:p>
            <w:pPr>
              <w:pStyle w:val="Compact"/>
              <w:jc w:val="left"/>
            </w:pPr>
            <w:r>
              <w:t xml:space="preserve">Design — reviewer-coded</w:t>
            </w:r>
          </w:p>
        </w:tc>
        <w:tc>
          <w:tcPr/>
          <w:p>
            <w:pPr>
              <w:pStyle w:val="Compact"/>
              <w:jc w:val="left"/>
            </w:pPr>
            <w:r>
              <w:t xml:space="preserve">prospective / retrospective / unclear</w:t>
            </w:r>
          </w:p>
        </w:tc>
        <w:tc>
          <w:tcPr/>
          <w:p>
            <w:pPr>
              <w:pStyle w:val="Compact"/>
              <w:jc w:val="left"/>
            </w:pPr>
            <w:r>
              <w:t xml:space="preserve">code</w:t>
            </w:r>
            <w:r>
              <w:t xml:space="preserve"> </w:t>
            </w:r>
            <w:r>
              <w:rPr>
                <w:rStyle w:val="VerbatimChar"/>
              </w:rPr>
              <w:t xml:space="preserve">prospective</w:t>
            </w:r>
            <w:r>
              <w:t xml:space="preserve"> </w:t>
            </w:r>
            <w:r>
              <w:t xml:space="preserve">only if the source states prospective collection of the evaluation data; database or archive use is retrospective</w:t>
            </w:r>
          </w:p>
        </w:tc>
      </w:tr>
      <w:tr>
        <w:tc>
          <w:tcPr/>
          <w:p>
            <w:pPr>
              <w:pStyle w:val="Compact"/>
              <w:jc w:val="left"/>
            </w:pPr>
            <w:r>
              <w:t xml:space="preserve">6</w:t>
            </w:r>
          </w:p>
        </w:tc>
        <w:tc>
          <w:tcPr/>
          <w:p>
            <w:pPr>
              <w:pStyle w:val="Compact"/>
              <w:jc w:val="left"/>
            </w:pPr>
            <w:r>
              <w:t xml:space="preserve">Multi-centre</w:t>
            </w:r>
          </w:p>
        </w:tc>
        <w:tc>
          <w:tcPr/>
          <w:p>
            <w:pPr>
              <w:pStyle w:val="Compact"/>
              <w:jc w:val="left"/>
            </w:pPr>
            <w:r>
              <w:t xml:space="preserve">yes / no / unclear</w:t>
            </w:r>
          </w:p>
        </w:tc>
        <w:tc>
          <w:tcPr/>
          <w:p>
            <w:pPr>
              <w:pStyle w:val="Compact"/>
              <w:jc w:val="left"/>
            </w:pPr>
            <w:r>
              <w:t xml:space="preserve">external validation is a separate field</w:t>
            </w:r>
          </w:p>
        </w:tc>
      </w:tr>
      <w:tr>
        <w:tc>
          <w:tcPr/>
          <w:p>
            <w:pPr>
              <w:pStyle w:val="Compact"/>
              <w:jc w:val="left"/>
            </w:pPr>
            <w:r>
              <w:t xml:space="preserve">7</w:t>
            </w:r>
          </w:p>
        </w:tc>
        <w:tc>
          <w:tcPr/>
          <w:p>
            <w:pPr>
              <w:pStyle w:val="Compact"/>
              <w:jc w:val="left"/>
            </w:pPr>
            <w:r>
              <w:t xml:space="preserve">Independent external validation</w:t>
            </w:r>
          </w:p>
        </w:tc>
        <w:tc>
          <w:tcPr/>
          <w:p>
            <w:pPr>
              <w:pStyle w:val="Compact"/>
              <w:jc w:val="left"/>
            </w:pPr>
            <w:r>
              <w:t xml:space="preserve">yes / no / unclear</w:t>
            </w:r>
          </w:p>
        </w:tc>
        <w:tc>
          <w:tcPr/>
          <w:p>
            <w:pPr>
              <w:pStyle w:val="Compact"/>
              <w:jc w:val="left"/>
            </w:pPr>
            <w:r>
              <w:rPr>
                <w:rStyle w:val="VerbatimChar"/>
              </w:rPr>
              <w:t xml:space="preserve">yes</w:t>
            </w:r>
            <w:r>
              <w:t xml:space="preserve"> </w:t>
            </w:r>
            <w:r>
              <w:t xml:space="preserve">only if the evaluation data come from outside the development team; state the basis</w:t>
            </w:r>
          </w:p>
        </w:tc>
      </w:tr>
    </w:tbl>
    <w:bookmarkEnd w:id="23"/>
    <w:bookmarkStart w:id="24" w:name="model-and-inputs"/>
    <w:p>
      <w:pPr>
        <w:pStyle w:val="Heading3"/>
      </w:pPr>
      <w:r>
        <w:t xml:space="preserve">Model and inputs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Field</w:t>
            </w:r>
          </w:p>
        </w:tc>
        <w:tc>
          <w:tcPr/>
          <w:p>
            <w:pPr>
              <w:pStyle w:val="Compact"/>
              <w:jc w:val="left"/>
            </w:pPr>
            <w:r>
              <w:t xml:space="preserve">Permitted values</w:t>
            </w:r>
          </w:p>
        </w:tc>
        <w:tc>
          <w:tcPr/>
          <w:p>
            <w:pPr>
              <w:pStyle w:val="Compact"/>
              <w:jc w:val="left"/>
            </w:pPr>
            <w:r>
              <w:t xml:space="preserve">Rules</w:t>
            </w:r>
          </w:p>
        </w:tc>
      </w:tr>
      <w:tr>
        <w:tc>
          <w:tcPr/>
          <w:p>
            <w:pPr>
              <w:pStyle w:val="Compact"/>
              <w:jc w:val="left"/>
            </w:pPr>
            <w:r>
              <w:t xml:space="preserve">8</w:t>
            </w:r>
          </w:p>
        </w:tc>
        <w:tc>
          <w:tcPr/>
          <w:p>
            <w:pPr>
              <w:pStyle w:val="Compact"/>
              <w:jc w:val="left"/>
            </w:pPr>
            <w:r>
              <w:t xml:space="preserve">Model family and version</w:t>
            </w:r>
          </w:p>
        </w:tc>
        <w:tc>
          <w:tcPr/>
          <w:p>
            <w:pPr>
              <w:pStyle w:val="Compact"/>
              <w:jc w:val="left"/>
            </w:pPr>
            <w:r>
              <w:t xml:space="preserve">name and version string as reported /</w:t>
            </w:r>
            <w:r>
              <w:t xml:space="preserve"> </w:t>
            </w:r>
            <w:r>
              <w:rPr>
                <w:rStyle w:val="VerbatimChar"/>
              </w:rPr>
              <w:t xml:space="preserve">unclear</w:t>
            </w:r>
          </w:p>
        </w:tc>
        <w:tc>
          <w:tcPr/>
          <w:p>
            <w:pPr>
              <w:pStyle w:val="Compact"/>
              <w:jc w:val="left"/>
            </w:pPr>
            <w:r>
              <w:t xml:space="preserve">version string recorded verbatim where stated</w:t>
            </w:r>
          </w:p>
        </w:tc>
      </w:tr>
      <w:tr>
        <w:tc>
          <w:tcPr/>
          <w:p>
            <w:pPr>
              <w:pStyle w:val="Compact"/>
              <w:jc w:val="left"/>
            </w:pPr>
            <w:r>
              <w:t xml:space="preserve">9</w:t>
            </w:r>
          </w:p>
        </w:tc>
        <w:tc>
          <w:tcPr/>
          <w:p>
            <w:pPr>
              <w:pStyle w:val="Compact"/>
              <w:jc w:val="left"/>
            </w:pPr>
            <w:r>
              <w:t xml:space="preserve">Access route</w:t>
            </w:r>
          </w:p>
        </w:tc>
        <w:tc>
          <w:tcPr/>
          <w:p>
            <w:pPr>
              <w:pStyle w:val="Compact"/>
              <w:jc w:val="left"/>
            </w:pPr>
            <w:r>
              <w:t xml:space="preserve">open weights / closed API / unclear</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Input modalities</w:t>
            </w:r>
          </w:p>
        </w:tc>
        <w:tc>
          <w:tcPr/>
          <w:p>
            <w:pPr>
              <w:pStyle w:val="Compact"/>
              <w:jc w:val="left"/>
            </w:pPr>
            <w:r>
              <w:t xml:space="preserve">image / text / 3D volume / intraoral scan / multi-image / video / other (multi-select)</w:t>
            </w:r>
          </w:p>
        </w:tc>
        <w:tc>
          <w:tcPr/>
          <w:p>
            <w:pPr>
              <w:pStyle w:val="Compact"/>
              <w:jc w:val="left"/>
            </w:pPr>
            <w:r>
              <w:t xml:space="preserve">the visual channel must be actually exercised in the study’s model pipeline for eligibility</w:t>
            </w:r>
          </w:p>
        </w:tc>
      </w:tr>
      <w:tr>
        <w:tc>
          <w:tcPr/>
          <w:p>
            <w:pPr>
              <w:pStyle w:val="Compact"/>
              <w:jc w:val="left"/>
            </w:pPr>
            <w:r>
              <w:t xml:space="preserve">11</w:t>
            </w:r>
          </w:p>
        </w:tc>
        <w:tc>
          <w:tcPr/>
          <w:p>
            <w:pPr>
              <w:pStyle w:val="Compact"/>
              <w:jc w:val="left"/>
            </w:pPr>
            <w:r>
              <w:t xml:space="preserve">Task domain</w:t>
            </w:r>
          </w:p>
        </w:tc>
        <w:tc>
          <w:tcPr/>
          <w:p>
            <w:pPr>
              <w:pStyle w:val="Compact"/>
              <w:jc w:val="left"/>
            </w:pPr>
            <w:r>
              <w:t xml:space="preserve">diagnosis / detection / segmentation / classification / report generation / question answering / treatment or triage advice / documentation / other</w:t>
            </w:r>
          </w:p>
        </w:tc>
        <w:tc>
          <w:tcPr/>
          <w:p>
            <w:pPr>
              <w:pStyle w:val="Compact"/>
              <w:jc w:val="left"/>
            </w:pPr>
            <w:r>
              <w:t xml:space="preserve">one primary plus optional secondary</w:t>
            </w:r>
          </w:p>
        </w:tc>
      </w:tr>
    </w:tbl>
    <w:bookmarkEnd w:id="24"/>
    <w:bookmarkStart w:id="25" w:name="data-and-scale"/>
    <w:p>
      <w:pPr>
        <w:pStyle w:val="Heading3"/>
      </w:pPr>
      <w:r>
        <w:t xml:space="preserve">Data and scale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Field</w:t>
            </w:r>
          </w:p>
        </w:tc>
        <w:tc>
          <w:tcPr/>
          <w:p>
            <w:pPr>
              <w:pStyle w:val="Compact"/>
              <w:jc w:val="left"/>
            </w:pPr>
            <w:r>
              <w:t xml:space="preserve">Permitted values</w:t>
            </w:r>
          </w:p>
        </w:tc>
        <w:tc>
          <w:tcPr/>
          <w:p>
            <w:pPr>
              <w:pStyle w:val="Compact"/>
              <w:jc w:val="left"/>
            </w:pPr>
            <w:r>
              <w:t xml:space="preserve">Rules</w:t>
            </w:r>
          </w:p>
        </w:tc>
      </w:tr>
      <w:tr>
        <w:tc>
          <w:tcPr/>
          <w:p>
            <w:pPr>
              <w:pStyle w:val="Compact"/>
              <w:jc w:val="left"/>
            </w:pPr>
            <w:r>
              <w:t xml:space="preserve">12</w:t>
            </w:r>
          </w:p>
        </w:tc>
        <w:tc>
          <w:tcPr/>
          <w:p>
            <w:pPr>
              <w:pStyle w:val="Compact"/>
              <w:jc w:val="left"/>
            </w:pPr>
            <w:r>
              <w:t xml:space="preserve">Dataset provenance</w:t>
            </w:r>
          </w:p>
        </w:tc>
        <w:tc>
          <w:tcPr/>
          <w:p>
            <w:pPr>
              <w:pStyle w:val="Compact"/>
              <w:jc w:val="left"/>
            </w:pPr>
            <w:r>
              <w:t xml:space="preserve">private or institutional / public / mixed / unclear</w:t>
            </w:r>
          </w:p>
        </w:tc>
        <w:tc>
          <w:tcPr/>
          <w:p>
            <w:pPr>
              <w:pStyle w:val="Compact"/>
              <w:jc w:val="left"/>
            </w:pPr>
            <w:r>
              <w:t xml:space="preserve">name the public dataset where given</w:t>
            </w:r>
          </w:p>
        </w:tc>
      </w:tr>
      <w:tr>
        <w:tc>
          <w:tcPr/>
          <w:p>
            <w:pPr>
              <w:pStyle w:val="Compact"/>
              <w:jc w:val="left"/>
            </w:pPr>
            <w:r>
              <w:t xml:space="preserve">13</w:t>
            </w:r>
          </w:p>
        </w:tc>
        <w:tc>
          <w:tcPr/>
          <w:p>
            <w:pPr>
              <w:pStyle w:val="Compact"/>
              <w:jc w:val="left"/>
            </w:pPr>
            <w:r>
              <w:t xml:space="preserve">Training scale</w:t>
            </w:r>
          </w:p>
        </w:tc>
        <w:tc>
          <w:tcPr/>
          <w:p>
            <w:pPr>
              <w:pStyle w:val="Compact"/>
              <w:jc w:val="left"/>
            </w:pPr>
            <w:r>
              <w:t xml:space="preserve">value + unit /</w:t>
            </w:r>
            <w:r>
              <w:t xml:space="preserve"> </w:t>
            </w:r>
            <w:r>
              <w:rPr>
                <w:rStyle w:val="VerbatimChar"/>
              </w:rPr>
              <w:t xml:space="preserve">not applicable</w:t>
            </w:r>
            <w:r>
              <w:t xml:space="preserve"> </w:t>
            </w:r>
            <w:r>
              <w:t xml:space="preserve">/</w:t>
            </w:r>
            <w:r>
              <w:t xml:space="preserve"> </w:t>
            </w:r>
            <w:r>
              <w:rPr>
                <w:rStyle w:val="VerbatimChar"/>
              </w:rPr>
              <w:t xml:space="preserve">unclear</w:t>
            </w:r>
          </w:p>
        </w:tc>
        <w:tc>
          <w:tcPr/>
          <w:p>
            <w:pPr>
              <w:pStyle w:val="Compact"/>
              <w:jc w:val="left"/>
            </w:pPr>
            <w:r>
              <w:rPr>
                <w:rStyle w:val="VerbatimChar"/>
              </w:rPr>
              <w:t xml:space="preserve">not applicable</w:t>
            </w:r>
            <w:r>
              <w:t xml:space="preserve"> </w:t>
            </w:r>
            <w:r>
              <w:t xml:space="preserve">for models used without task-specific training</w:t>
            </w:r>
          </w:p>
        </w:tc>
      </w:tr>
      <w:tr>
        <w:tc>
          <w:tcPr/>
          <w:p>
            <w:pPr>
              <w:pStyle w:val="Compact"/>
              <w:jc w:val="left"/>
            </w:pPr>
            <w:r>
              <w:t xml:space="preserve">14</w:t>
            </w:r>
          </w:p>
        </w:tc>
        <w:tc>
          <w:tcPr/>
          <w:p>
            <w:pPr>
              <w:pStyle w:val="Compact"/>
              <w:jc w:val="left"/>
            </w:pPr>
            <w:r>
              <w:t xml:space="preserve">Evaluation scale</w:t>
            </w:r>
          </w:p>
        </w:tc>
        <w:tc>
          <w:tcPr/>
          <w:p>
            <w:pPr>
              <w:pStyle w:val="Compact"/>
              <w:jc w:val="left"/>
            </w:pPr>
            <w:r>
              <w:t xml:space="preserve">value + unit /</w:t>
            </w:r>
            <w:r>
              <w:t xml:space="preserve"> </w:t>
            </w:r>
            <w:r>
              <w:rPr>
                <w:rStyle w:val="VerbatimChar"/>
              </w:rPr>
              <w:t xml:space="preserve">unclear</w:t>
            </w:r>
          </w:p>
        </w:tc>
        <w:tc>
          <w:tcPr/>
          <w:p>
            <w:pPr>
              <w:pStyle w:val="Compact"/>
              <w:jc w:val="left"/>
            </w:pPr>
            <w:r>
              <w:t xml:space="preserve">recorded independently of training scale</w:t>
            </w:r>
          </w:p>
        </w:tc>
      </w:tr>
      <w:tr>
        <w:tc>
          <w:tcPr/>
          <w:p>
            <w:pPr>
              <w:pStyle w:val="Compact"/>
              <w:jc w:val="left"/>
            </w:pPr>
            <w:r>
              <w:t xml:space="preserve">15</w:t>
            </w:r>
          </w:p>
        </w:tc>
        <w:tc>
          <w:tcPr/>
          <w:p>
            <w:pPr>
              <w:pStyle w:val="Compact"/>
              <w:jc w:val="left"/>
            </w:pPr>
            <w:r>
              <w:t xml:space="preserve">Sample units reported</w:t>
            </w:r>
          </w:p>
        </w:tc>
        <w:tc>
          <w:tcPr/>
          <w:p>
            <w:pPr>
              <w:pStyle w:val="Compact"/>
              <w:jc w:val="left"/>
            </w:pPr>
            <w:r>
              <w:t xml:space="preserve">unique patients / cases / images / teeth / slices / questions (multi-select)</w:t>
            </w:r>
          </w:p>
        </w:tc>
        <w:tc>
          <w:tcPr/>
          <w:p>
            <w:pPr>
              <w:pStyle w:val="Compact"/>
              <w:jc w:val="left"/>
            </w:pPr>
            <w:r>
              <w:t xml:space="preserve">list every unit actually reported; never sum across units</w:t>
            </w:r>
          </w:p>
        </w:tc>
      </w:tr>
    </w:tbl>
    <w:bookmarkEnd w:id="25"/>
    <w:bookmarkStart w:id="26" w:name="use-and-evaluation-design"/>
    <w:p>
      <w:pPr>
        <w:pStyle w:val="Heading3"/>
      </w:pPr>
      <w:r>
        <w:t xml:space="preserve">Use and evaluation design</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Field</w:t>
            </w:r>
          </w:p>
        </w:tc>
        <w:tc>
          <w:tcPr/>
          <w:p>
            <w:pPr>
              <w:pStyle w:val="Compact"/>
              <w:jc w:val="left"/>
            </w:pPr>
            <w:r>
              <w:t xml:space="preserve">Permitted values</w:t>
            </w:r>
          </w:p>
        </w:tc>
        <w:tc>
          <w:tcPr/>
          <w:p>
            <w:pPr>
              <w:pStyle w:val="Compact"/>
              <w:jc w:val="left"/>
            </w:pPr>
            <w:r>
              <w:t xml:space="preserve">Rules</w:t>
            </w:r>
          </w:p>
        </w:tc>
      </w:tr>
      <w:tr>
        <w:tc>
          <w:tcPr/>
          <w:p>
            <w:pPr>
              <w:pStyle w:val="Compact"/>
              <w:jc w:val="left"/>
            </w:pPr>
            <w:r>
              <w:t xml:space="preserve">16</w:t>
            </w:r>
          </w:p>
        </w:tc>
        <w:tc>
          <w:tcPr/>
          <w:p>
            <w:pPr>
              <w:pStyle w:val="Compact"/>
              <w:jc w:val="left"/>
            </w:pPr>
            <w:r>
              <w:t xml:space="preserve">Intended use as stated</w:t>
            </w:r>
          </w:p>
        </w:tc>
        <w:tc>
          <w:tcPr/>
          <w:p>
            <w:pPr>
              <w:pStyle w:val="Compact"/>
              <w:jc w:val="left"/>
            </w:pPr>
            <w:r>
              <w:t xml:space="preserve">assistive interpretation or decision support / standalone or autonomous / triage / second opinion / documentation support / education / unclear</w:t>
            </w:r>
          </w:p>
        </w:tc>
        <w:tc>
          <w:tcPr/>
          <w:p>
            <w:pPr>
              <w:pStyle w:val="Compact"/>
              <w:jc w:val="left"/>
            </w:pPr>
            <w:r>
              <w:t xml:space="preserve">quote the authors’ wording</w:t>
            </w:r>
          </w:p>
        </w:tc>
      </w:tr>
      <w:tr>
        <w:tc>
          <w:tcPr/>
          <w:p>
            <w:pPr>
              <w:pStyle w:val="Compact"/>
              <w:jc w:val="left"/>
            </w:pPr>
            <w:r>
              <w:t xml:space="preserve">17</w:t>
            </w:r>
          </w:p>
        </w:tc>
        <w:tc>
          <w:tcPr/>
          <w:p>
            <w:pPr>
              <w:pStyle w:val="Compact"/>
              <w:jc w:val="left"/>
            </w:pPr>
            <w:r>
              <w:t xml:space="preserve">Evaluated configuration</w:t>
            </w:r>
          </w:p>
        </w:tc>
        <w:tc>
          <w:tcPr/>
          <w:p>
            <w:pPr>
              <w:pStyle w:val="Compact"/>
              <w:jc w:val="left"/>
            </w:pPr>
            <w:r>
              <w:t xml:space="preserve">model alone / model versus clinician / clinician with versus without model / workflow deployment</w:t>
            </w:r>
          </w:p>
        </w:tc>
        <w:tc>
          <w:tcPr/>
          <w:p>
            <w:pPr>
              <w:pStyle w:val="Compact"/>
              <w:jc w:val="left"/>
            </w:pPr>
            <w:r>
              <w:t xml:space="preserve">code what was actually tested</w:t>
            </w:r>
          </w:p>
        </w:tc>
      </w:tr>
      <w:tr>
        <w:tc>
          <w:tcPr/>
          <w:p>
            <w:pPr>
              <w:pStyle w:val="Compact"/>
              <w:jc w:val="left"/>
            </w:pPr>
            <w:r>
              <w:t xml:space="preserve">18</w:t>
            </w:r>
          </w:p>
        </w:tc>
        <w:tc>
          <w:tcPr/>
          <w:p>
            <w:pPr>
              <w:pStyle w:val="Compact"/>
              <w:jc w:val="left"/>
            </w:pPr>
            <w:r>
              <w:t xml:space="preserve">Comparator</w:t>
            </w:r>
          </w:p>
        </w:tc>
        <w:tc>
          <w:tcPr/>
          <w:p>
            <w:pPr>
              <w:pStyle w:val="Compact"/>
              <w:jc w:val="left"/>
            </w:pPr>
            <w:r>
              <w:t xml:space="preserve">reference standard / clinicians / another model / none / unclear</w:t>
            </w:r>
          </w:p>
        </w:tc>
        <w:tc>
          <w:tcPr/>
          <w:p>
            <w:pPr>
              <w:pStyle w:val="Compact"/>
              <w:jc w:val="left"/>
            </w:pPr>
            <w:r>
              <w:t xml:space="preserve">—</w:t>
            </w:r>
          </w:p>
        </w:tc>
      </w:tr>
      <w:tr>
        <w:tc>
          <w:tcPr/>
          <w:p>
            <w:pPr>
              <w:pStyle w:val="Compact"/>
              <w:jc w:val="left"/>
            </w:pPr>
            <w:r>
              <w:t xml:space="preserve">19</w:t>
            </w:r>
          </w:p>
        </w:tc>
        <w:tc>
          <w:tcPr/>
          <w:p>
            <w:pPr>
              <w:pStyle w:val="Compact"/>
              <w:jc w:val="left"/>
            </w:pPr>
            <w:r>
              <w:t xml:space="preserve">Endpoint level</w:t>
            </w:r>
          </w:p>
        </w:tc>
        <w:tc>
          <w:tcPr/>
          <w:p>
            <w:pPr>
              <w:pStyle w:val="Compact"/>
              <w:jc w:val="left"/>
            </w:pPr>
            <w:r>
              <w:t xml:space="preserve">model performance / reader performance / workflow outcome / patient outcome</w:t>
            </w:r>
          </w:p>
        </w:tc>
        <w:tc>
          <w:tcPr/>
          <w:p>
            <w:pPr>
              <w:pStyle w:val="Compact"/>
              <w:jc w:val="left"/>
            </w:pPr>
            <w:r>
              <w:t xml:space="preserve">the level of the endpoint actually measured</w:t>
            </w:r>
          </w:p>
        </w:tc>
      </w:tr>
      <w:tr>
        <w:tc>
          <w:tcPr/>
          <w:p>
            <w:pPr>
              <w:pStyle w:val="Compact"/>
              <w:jc w:val="left"/>
            </w:pPr>
            <w:r>
              <w:t xml:space="preserve">20</w:t>
            </w:r>
          </w:p>
        </w:tc>
        <w:tc>
          <w:tcPr/>
          <w:p>
            <w:pPr>
              <w:pStyle w:val="Compact"/>
              <w:jc w:val="left"/>
            </w:pPr>
            <w:r>
              <w:t xml:space="preserve">Outcome measures</w:t>
            </w:r>
          </w:p>
        </w:tc>
        <w:tc>
          <w:tcPr/>
          <w:p>
            <w:pPr>
              <w:pStyle w:val="Compact"/>
              <w:jc w:val="left"/>
            </w:pPr>
            <w:r>
              <w:t xml:space="preserve">names and reported uncertainty (e.g. confidence intervals)</w:t>
            </w:r>
          </w:p>
        </w:tc>
        <w:tc>
          <w:tcPr/>
          <w:p>
            <w:pPr>
              <w:pStyle w:val="Compact"/>
              <w:jc w:val="left"/>
            </w:pPr>
            <w:r>
              <w:t xml:space="preserve">record whether uncertainty is reported for the primary endpoint</w:t>
            </w:r>
          </w:p>
        </w:tc>
      </w:tr>
    </w:tbl>
    <w:bookmarkEnd w:id="26"/>
    <w:bookmarkStart w:id="27" w:name="evidence-level-multi-label"/>
    <w:p>
      <w:pPr>
        <w:pStyle w:val="Heading3"/>
      </w:pPr>
      <w:r>
        <w:t xml:space="preserve">Evidence level (multi-label)</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t>
            </w:r>
          </w:p>
        </w:tc>
        <w:tc>
          <w:tcPr/>
          <w:p>
            <w:pPr>
              <w:pStyle w:val="Compact"/>
              <w:jc w:val="left"/>
            </w:pPr>
            <w:r>
              <w:t xml:space="preserve">Level</w:t>
            </w:r>
          </w:p>
        </w:tc>
        <w:tc>
          <w:tcPr/>
          <w:p>
            <w:pPr>
              <w:pStyle w:val="Compact"/>
              <w:jc w:val="left"/>
            </w:pPr>
            <w:r>
              <w:t xml:space="preserve">Meaning</w:t>
            </w:r>
          </w:p>
        </w:tc>
      </w:tr>
      <w:tr>
        <w:tc>
          <w:tcPr/>
          <w:p>
            <w:pPr>
              <w:pStyle w:val="Compact"/>
              <w:jc w:val="left"/>
            </w:pPr>
            <w:r>
              <w:t xml:space="preserve">L1</w:t>
            </w:r>
          </w:p>
        </w:tc>
        <w:tc>
          <w:tcPr/>
          <w:p>
            <w:pPr>
              <w:pStyle w:val="Compact"/>
              <w:jc w:val="left"/>
            </w:pPr>
            <w:r>
              <w:t xml:space="preserve">Technical efficacy</w:t>
            </w:r>
          </w:p>
        </w:tc>
        <w:tc>
          <w:tcPr/>
          <w:p>
            <w:pPr>
              <w:pStyle w:val="Compact"/>
              <w:jc w:val="left"/>
            </w:pPr>
            <w:r>
              <w:t xml:space="preserve">algorithm or image-quality performance (e.g. Dice, pixel metrics)</w:t>
            </w:r>
          </w:p>
        </w:tc>
      </w:tr>
      <w:tr>
        <w:tc>
          <w:tcPr/>
          <w:p>
            <w:pPr>
              <w:pStyle w:val="Compact"/>
              <w:jc w:val="left"/>
            </w:pPr>
            <w:r>
              <w:t xml:space="preserve">L2</w:t>
            </w:r>
          </w:p>
        </w:tc>
        <w:tc>
          <w:tcPr/>
          <w:p>
            <w:pPr>
              <w:pStyle w:val="Compact"/>
              <w:jc w:val="left"/>
            </w:pPr>
            <w:r>
              <w:t xml:space="preserve">Diagnostic accuracy</w:t>
            </w:r>
          </w:p>
        </w:tc>
        <w:tc>
          <w:tcPr/>
          <w:p>
            <w:pPr>
              <w:pStyle w:val="Compact"/>
              <w:jc w:val="left"/>
            </w:pPr>
            <w:r>
              <w:t xml:space="preserve">classification or detection performance against a reference standard</w:t>
            </w:r>
          </w:p>
        </w:tc>
      </w:tr>
      <w:tr>
        <w:tc>
          <w:tcPr/>
          <w:p>
            <w:pPr>
              <w:pStyle w:val="Compact"/>
              <w:jc w:val="left"/>
            </w:pPr>
            <w:r>
              <w:t xml:space="preserve">L3</w:t>
            </w:r>
          </w:p>
        </w:tc>
        <w:tc>
          <w:tcPr/>
          <w:p>
            <w:pPr>
              <w:pStyle w:val="Compact"/>
              <w:jc w:val="left"/>
            </w:pPr>
            <w:r>
              <w:t xml:space="preserve">Diagnostic thinking</w:t>
            </w:r>
          </w:p>
        </w:tc>
        <w:tc>
          <w:tcPr/>
          <w:p>
            <w:pPr>
              <w:pStyle w:val="Compact"/>
              <w:jc w:val="left"/>
            </w:pPr>
            <w:r>
              <w:t xml:space="preserve">change in clinicians’ diagnoses or interpretations</w:t>
            </w:r>
          </w:p>
        </w:tc>
      </w:tr>
      <w:tr>
        <w:tc>
          <w:tcPr/>
          <w:p>
            <w:pPr>
              <w:pStyle w:val="Compact"/>
              <w:jc w:val="left"/>
            </w:pPr>
            <w:r>
              <w:t xml:space="preserve">L4</w:t>
            </w:r>
          </w:p>
        </w:tc>
        <w:tc>
          <w:tcPr/>
          <w:p>
            <w:pPr>
              <w:pStyle w:val="Compact"/>
              <w:jc w:val="left"/>
            </w:pPr>
            <w:r>
              <w:t xml:space="preserve">Therapeutic decision</w:t>
            </w:r>
          </w:p>
        </w:tc>
        <w:tc>
          <w:tcPr/>
          <w:p>
            <w:pPr>
              <w:pStyle w:val="Compact"/>
              <w:jc w:val="left"/>
            </w:pPr>
            <w:r>
              <w:t xml:space="preserve">change in treatment planning or recommendations</w:t>
            </w:r>
          </w:p>
        </w:tc>
      </w:tr>
      <w:tr>
        <w:tc>
          <w:tcPr/>
          <w:p>
            <w:pPr>
              <w:pStyle w:val="Compact"/>
              <w:jc w:val="left"/>
            </w:pPr>
            <w:r>
              <w:t xml:space="preserve">L5</w:t>
            </w:r>
          </w:p>
        </w:tc>
        <w:tc>
          <w:tcPr/>
          <w:p>
            <w:pPr>
              <w:pStyle w:val="Compact"/>
              <w:jc w:val="left"/>
            </w:pPr>
            <w:r>
              <w:t xml:space="preserve">Patient outcome</w:t>
            </w:r>
          </w:p>
        </w:tc>
        <w:tc>
          <w:tcPr/>
          <w:p>
            <w:pPr>
              <w:pStyle w:val="Compact"/>
              <w:jc w:val="left"/>
            </w:pPr>
            <w:r>
              <w:t xml:space="preserve">patient-level health outcomes</w:t>
            </w:r>
          </w:p>
        </w:tc>
      </w:tr>
      <w:tr>
        <w:tc>
          <w:tcPr/>
          <w:p>
            <w:pPr>
              <w:pStyle w:val="Compact"/>
              <w:jc w:val="left"/>
            </w:pPr>
            <w:r>
              <w:t xml:space="preserve">L6</w:t>
            </w:r>
          </w:p>
        </w:tc>
        <w:tc>
          <w:tcPr/>
          <w:p>
            <w:pPr>
              <w:pStyle w:val="Compact"/>
              <w:jc w:val="left"/>
            </w:pPr>
            <w:r>
              <w:t xml:space="preserve">Societal / economic</w:t>
            </w:r>
          </w:p>
        </w:tc>
        <w:tc>
          <w:tcPr/>
          <w:p>
            <w:pPr>
              <w:pStyle w:val="Compact"/>
              <w:jc w:val="left"/>
            </w:pPr>
            <w:r>
              <w:t xml:space="preserve">cost, resource use, system-level impact</w:t>
            </w:r>
          </w:p>
        </w:tc>
      </w:tr>
    </w:tbl>
    <w:p>
      <w:pPr>
        <w:pStyle w:val="BodyText"/>
      </w:pPr>
      <w:r>
        <w:t xml:space="preserve">Rule: code every level that the</w:t>
      </w:r>
      <w:r>
        <w:t xml:space="preserve"> </w:t>
      </w:r>
      <w:r>
        <w:rPr>
          <w:bCs/>
          <w:b/>
        </w:rPr>
        <w:t xml:space="preserve">reported outcome measures</w:t>
      </w:r>
      <w:r>
        <w:t xml:space="preserve"> </w:t>
      </w:r>
      <w:r>
        <w:t xml:space="preserve">actually address. Do not code a level merely because the authors discuss it.</w:t>
      </w:r>
    </w:p>
    <w:bookmarkEnd w:id="27"/>
    <w:bookmarkStart w:id="28" w:name="reporting-markers-four-level-coding"/>
    <w:p>
      <w:pPr>
        <w:pStyle w:val="Heading3"/>
      </w:pPr>
      <w:r>
        <w:t xml:space="preserve">Reporting markers (four-level coding)</w:t>
      </w:r>
    </w:p>
    <w:p>
      <w:pPr>
        <w:pStyle w:val="FirstParagraph"/>
      </w:pPr>
      <w:r>
        <w:t xml:space="preserve">For each marker below, code exactly one of:</w:t>
      </w:r>
      <w:r>
        <w:t xml:space="preserve"> </w:t>
      </w:r>
      <w:r>
        <w:rPr>
          <w:bCs/>
          <w:b/>
        </w:rPr>
        <w:t xml:space="preserve">reported</w:t>
      </w:r>
      <w:r>
        <w:t xml:space="preserve"> </w:t>
      </w:r>
      <w:r>
        <w:t xml:space="preserve">/</w:t>
      </w:r>
      <w:r>
        <w:t xml:space="preserve"> </w:t>
      </w:r>
      <w:r>
        <w:rPr>
          <w:bCs/>
          <w:b/>
        </w:rPr>
        <w:t xml:space="preserve">explicitly absent or not performed</w:t>
      </w:r>
      <w:r>
        <w:t xml:space="preserve"> </w:t>
      </w:r>
      <w:r>
        <w:t xml:space="preserve">/</w:t>
      </w:r>
      <w:r>
        <w:t xml:space="preserve"> </w:t>
      </w:r>
      <w:r>
        <w:rPr>
          <w:bCs/>
          <w:b/>
        </w:rPr>
        <w:t xml:space="preserve">unclear or not reported</w:t>
      </w:r>
      <w:r>
        <w:t xml:space="preserve"> </w:t>
      </w:r>
      <w:r>
        <w:t xml:space="preserve">/</w:t>
      </w:r>
      <w:r>
        <w:t xml:space="preserve"> </w:t>
      </w:r>
      <w:r>
        <w:rPr>
          <w:bCs/>
          <w:b/>
        </w:rPr>
        <w:t xml:space="preserve">not applicable</w:t>
      </w:r>
      <w:r>
        <w:t xml:space="preserve">.</w:t>
      </w:r>
    </w:p>
    <w:p>
      <w:pPr>
        <w:pStyle w:val="BodyText"/>
      </w:pPr>
      <w:r>
        <w:t xml:space="preserve">Markers: (1) model name and version; (2) access route; (3) prompt or system message; (4) sampling parameters; (5) image preprocessing; (6) dataset provenance; (7) train/test separation; (8) basis of sample size; (9) uncertainty intervals for the principal endpoint; (10) code or weights availability; (11) reader characteristics; (12) blinding; (13) failure and safety reporting.</w:t>
      </w:r>
    </w:p>
    <w:p>
      <w:pPr>
        <w:pStyle w:val="BodyText"/>
      </w:pPr>
      <w:r>
        <w:rPr>
          <w:bCs/>
          <w:b/>
        </w:rPr>
        <w:t xml:space="preserve">Applicability rules (fixed before extraction).</w:t>
      </w:r>
      <w:r>
        <w:t xml:space="preserve"> </w:t>
      </w:r>
      <w:r>
        <w:t xml:space="preserve">A marker is coded</w:t>
      </w:r>
      <w:r>
        <w:t xml:space="preserve"> </w:t>
      </w:r>
      <w:r>
        <w:rPr>
          <w:rStyle w:val="VerbatimChar"/>
        </w:rPr>
        <w:t xml:space="preserve">not applicable</w:t>
      </w:r>
      <w:r>
        <w:t xml:space="preserve"> </w:t>
      </w:r>
      <w:r>
        <w:t xml:space="preserve">only under these conditions:</w:t>
      </w:r>
      <w:r>
        <w:t xml:space="preserve"> </w:t>
      </w:r>
      <w:r>
        <w:t xml:space="preserve">- (3) and (4) — applies only to studies using a general-purpose conversational or instruction-following model; not applicable to models trained from scratch or fine-tuned for a fixed task.</w:t>
      </w:r>
      <w:r>
        <w:t xml:space="preserve"> </w:t>
      </w:r>
      <w:r>
        <w:t xml:space="preserve">- (11) and (12) — applies only to reader or clinician studies; not applicable to purely technical evaluations.</w:t>
      </w:r>
      <w:r>
        <w:t xml:space="preserve"> </w:t>
      </w:r>
      <w:r>
        <w:t xml:space="preserve">- (9) when the study reports an agreement-only statistic as its principal endpoint — code</w:t>
      </w:r>
      <w:r>
        <w:t xml:space="preserve"> </w:t>
      </w:r>
      <w:r>
        <w:rPr>
          <w:rStyle w:val="VerbatimChar"/>
        </w:rPr>
        <w:t xml:space="preserve">not applicable</w:t>
      </w:r>
      <w:r>
        <w:t xml:space="preserve"> </w:t>
      </w:r>
      <w:r>
        <w:t xml:space="preserve">unless a confidence interval for the principal endpoint is applicable.</w:t>
      </w:r>
      <w:r>
        <w:t xml:space="preserve"> </w:t>
      </w:r>
      <w:r>
        <w:t xml:space="preserve">- All other markers apply whenever an evaluation was performed on dental data.</w:t>
      </w:r>
    </w:p>
    <w:p>
      <w:pPr>
        <w:pStyle w:val="BodyText"/>
      </w:pPr>
      <w:r>
        <w:rPr>
          <w:bCs/>
          <w:b/>
        </w:rPr>
        <w:t xml:space="preserve">Counting rule.</w:t>
      </w:r>
      <w:r>
        <w:t xml:space="preserve"> </w:t>
      </w:r>
      <w:r>
        <w:t xml:space="preserve">Counts for each marker are reported with their</w:t>
      </w:r>
      <w:r>
        <w:t xml:space="preserve"> </w:t>
      </w:r>
      <w:r>
        <w:rPr>
          <w:bCs/>
          <w:b/>
        </w:rPr>
        <w:t xml:space="preserve">applicable denominator</w:t>
      </w:r>
      <w:r>
        <w:t xml:space="preserve"> </w:t>
      </w:r>
      <w:r>
        <w:t xml:space="preserve">(i.e. the number of studies for which the marker applies). Studies coded</w:t>
      </w:r>
      <w:r>
        <w:t xml:space="preserve"> </w:t>
      </w:r>
      <w:r>
        <w:rPr>
          <w:rStyle w:val="VerbatimChar"/>
        </w:rPr>
        <w:t xml:space="preserve">not applicable</w:t>
      </w:r>
      <w:r>
        <w:t xml:space="preserve"> </w:t>
      </w:r>
      <w:r>
        <w:t xml:space="preserve">are never counted as</w:t>
      </w:r>
      <w:r>
        <w:t xml:space="preserve"> </w:t>
      </w:r>
      <w:r>
        <w:t xml:space="preserve">“</w:t>
      </w:r>
      <w:r>
        <w:t xml:space="preserve">missing</w:t>
      </w:r>
      <w:r>
        <w:t xml:space="preserve">”</w:t>
      </w:r>
      <w:r>
        <w:t xml:space="preserve">.</w:t>
      </w:r>
    </w:p>
    <w:bookmarkEnd w:id="28"/>
    <w:bookmarkStart w:id="29" w:name="reproducibility-and-limitations"/>
    <w:p>
      <w:pPr>
        <w:pStyle w:val="Heading3"/>
      </w:pPr>
      <w:r>
        <w:t xml:space="preserve">Reproducibility and limitations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Field</w:t>
            </w:r>
          </w:p>
        </w:tc>
        <w:tc>
          <w:tcPr/>
          <w:p>
            <w:pPr>
              <w:pStyle w:val="Compact"/>
              <w:jc w:val="left"/>
            </w:pPr>
            <w:r>
              <w:t xml:space="preserve">Permitted values</w:t>
            </w:r>
          </w:p>
        </w:tc>
        <w:tc>
          <w:tcPr/>
          <w:p>
            <w:pPr>
              <w:pStyle w:val="Compact"/>
              <w:jc w:val="left"/>
            </w:pPr>
            <w:r>
              <w:t xml:space="preserve">Rules</w:t>
            </w:r>
          </w:p>
        </w:tc>
      </w:tr>
      <w:tr>
        <w:tc>
          <w:tcPr/>
          <w:p>
            <w:pPr>
              <w:pStyle w:val="Compact"/>
              <w:jc w:val="left"/>
            </w:pPr>
            <w:r>
              <w:t xml:space="preserve">21</w:t>
            </w:r>
          </w:p>
        </w:tc>
        <w:tc>
          <w:tcPr/>
          <w:p>
            <w:pPr>
              <w:pStyle w:val="Compact"/>
              <w:jc w:val="left"/>
            </w:pPr>
            <w:r>
              <w:t xml:space="preserve">Version, prompt, sampling parameters documented</w:t>
            </w:r>
          </w:p>
        </w:tc>
        <w:tc>
          <w:tcPr/>
          <w:p>
            <w:pPr>
              <w:pStyle w:val="Compact"/>
              <w:jc w:val="left"/>
            </w:pPr>
            <w:r>
              <w:t xml:space="preserve">yes / partial / no / unclear</w:t>
            </w:r>
          </w:p>
        </w:tc>
        <w:tc>
          <w:tcPr/>
          <w:p>
            <w:pPr>
              <w:pStyle w:val="Compact"/>
              <w:jc w:val="left"/>
            </w:pPr>
            <w:r>
              <w:t xml:space="preserve">—</w:t>
            </w:r>
          </w:p>
        </w:tc>
      </w:tr>
      <w:tr>
        <w:tc>
          <w:tcPr/>
          <w:p>
            <w:pPr>
              <w:pStyle w:val="Compact"/>
              <w:jc w:val="left"/>
            </w:pPr>
            <w:r>
              <w:t xml:space="preserve">22</w:t>
            </w:r>
          </w:p>
        </w:tc>
        <w:tc>
          <w:tcPr/>
          <w:p>
            <w:pPr>
              <w:pStyle w:val="Compact"/>
              <w:jc w:val="left"/>
            </w:pPr>
            <w:r>
              <w:t xml:space="preserve">Code, weights, prompts, splits shared</w:t>
            </w:r>
          </w:p>
        </w:tc>
        <w:tc>
          <w:tcPr/>
          <w:p>
            <w:pPr>
              <w:pStyle w:val="Compact"/>
              <w:jc w:val="left"/>
            </w:pPr>
            <w:r>
              <w:t xml:space="preserve">each: yes / no / unclear</w:t>
            </w:r>
          </w:p>
        </w:tc>
        <w:tc>
          <w:tcPr/>
          <w:p>
            <w:pPr>
              <w:pStyle w:val="Compact"/>
              <w:jc w:val="left"/>
            </w:pPr>
            <w:r>
              <w:t xml:space="preserve">—</w:t>
            </w:r>
          </w:p>
        </w:tc>
      </w:tr>
      <w:tr>
        <w:tc>
          <w:tcPr/>
          <w:p>
            <w:pPr>
              <w:pStyle w:val="Compact"/>
              <w:jc w:val="left"/>
            </w:pPr>
            <w:r>
              <w:t xml:space="preserve">23</w:t>
            </w:r>
          </w:p>
        </w:tc>
        <w:tc>
          <w:tcPr/>
          <w:p>
            <w:pPr>
              <w:pStyle w:val="Compact"/>
              <w:jc w:val="left"/>
            </w:pPr>
            <w:r>
              <w:t xml:space="preserve">Failure and safety reporting</w:t>
            </w:r>
          </w:p>
        </w:tc>
        <w:tc>
          <w:tcPr/>
          <w:p>
            <w:pPr>
              <w:pStyle w:val="Compact"/>
              <w:jc w:val="left"/>
            </w:pPr>
            <w:r>
              <w:t xml:space="preserve">reported / explicitly absent / unclear / not applicable</w:t>
            </w:r>
          </w:p>
        </w:tc>
        <w:tc>
          <w:tcPr/>
          <w:p>
            <w:pPr>
              <w:pStyle w:val="Compact"/>
              <w:jc w:val="left"/>
            </w:pPr>
            <w:r>
              <w:t xml:space="preserve">types of failure named where given</w:t>
            </w:r>
          </w:p>
        </w:tc>
      </w:tr>
      <w:tr>
        <w:tc>
          <w:tcPr/>
          <w:p>
            <w:pPr>
              <w:pStyle w:val="Compact"/>
              <w:jc w:val="left"/>
            </w:pPr>
            <w:r>
              <w:t xml:space="preserve">24</w:t>
            </w:r>
          </w:p>
        </w:tc>
        <w:tc>
          <w:tcPr/>
          <w:p>
            <w:pPr>
              <w:pStyle w:val="Compact"/>
              <w:jc w:val="left"/>
            </w:pPr>
            <w:r>
              <w:t xml:space="preserve">Author-stated limitations</w:t>
            </w:r>
          </w:p>
        </w:tc>
        <w:tc>
          <w:tcPr/>
          <w:p>
            <w:pPr>
              <w:pStyle w:val="Compact"/>
              <w:jc w:val="left"/>
            </w:pPr>
            <w:r>
              <w:t xml:space="preserve">free text</w:t>
            </w:r>
          </w:p>
        </w:tc>
        <w:tc>
          <w:tcPr/>
          <w:p>
            <w:pPr>
              <w:pStyle w:val="Compact"/>
              <w:jc w:val="left"/>
            </w:pPr>
            <w:r>
              <w:t xml:space="preserve">—</w:t>
            </w:r>
          </w:p>
        </w:tc>
      </w:tr>
      <w:tr>
        <w:tc>
          <w:tcPr/>
          <w:p>
            <w:pPr>
              <w:pStyle w:val="Compact"/>
              <w:jc w:val="left"/>
            </w:pPr>
            <w:r>
              <w:t xml:space="preserve">25</w:t>
            </w:r>
          </w:p>
        </w:tc>
        <w:tc>
          <w:tcPr/>
          <w:p>
            <w:pPr>
              <w:pStyle w:val="Compact"/>
              <w:jc w:val="left"/>
            </w:pPr>
            <w:r>
              <w:t xml:space="preserve">Evidence category</w:t>
            </w:r>
          </w:p>
        </w:tc>
        <w:tc>
          <w:tcPr/>
          <w:p>
            <w:pPr>
              <w:pStyle w:val="Compact"/>
              <w:jc w:val="left"/>
            </w:pPr>
            <w:r>
              <w:t xml:space="preserve">dedicated dental system / evaluation of a general-purpose model / dataset–benchmark evidence</w:t>
            </w:r>
          </w:p>
        </w:tc>
        <w:tc>
          <w:tcPr/>
          <w:p>
            <w:pPr>
              <w:pStyle w:val="Compact"/>
              <w:jc w:val="left"/>
            </w:pPr>
            <w:r>
              <w:t xml:space="preserve">dataset and benchmark items are coded in this category and never merged into model-evaluation totals</w:t>
            </w:r>
          </w:p>
        </w:tc>
      </w:tr>
    </w:tbl>
    <w:bookmarkEnd w:id="29"/>
    <w:bookmarkEnd w:id="30"/>
    <w:bookmarkStart w:id="31" w:name="reliability-and-change-control"/>
    <w:p>
      <w:pPr>
        <w:pStyle w:val="Heading2"/>
      </w:pPr>
      <w:r>
        <w:t xml:space="preserve">4. Reliability and change control</w:t>
      </w:r>
    </w:p>
    <w:p>
      <w:pPr>
        <w:numPr>
          <w:ilvl w:val="0"/>
          <w:numId w:val="1002"/>
        </w:numPr>
        <w:pStyle w:val="Compact"/>
      </w:pPr>
      <w:r>
        <w:t xml:space="preserve">The codebook is piloted on</w:t>
      </w:r>
      <w:r>
        <w:t xml:space="preserve"> </w:t>
      </w:r>
      <w:r>
        <w:rPr>
          <w:bCs/>
          <w:b/>
        </w:rPr>
        <w:t xml:space="preserve">10 included studies</w:t>
      </w:r>
      <w:r>
        <w:t xml:space="preserve"> </w:t>
      </w:r>
      <w:r>
        <w:t xml:space="preserve">before full extraction; revisions are permitted only before full extraction begins.</w:t>
      </w:r>
    </w:p>
    <w:p>
      <w:pPr>
        <w:numPr>
          <w:ilvl w:val="0"/>
          <w:numId w:val="1002"/>
        </w:numPr>
        <w:pStyle w:val="Compact"/>
      </w:pPr>
      <w:r>
        <w:t xml:space="preserve">Item-level agreement between the two extractors is computed</w:t>
      </w:r>
      <w:r>
        <w:t xml:space="preserve"> </w:t>
      </w:r>
      <w:r>
        <w:rPr>
          <w:bCs/>
          <w:b/>
        </w:rPr>
        <w:t xml:space="preserve">by script</w:t>
      </w:r>
      <w:r>
        <w:t xml:space="preserve"> </w:t>
      </w:r>
      <w:r>
        <w:t xml:space="preserve">from the two independent tables (percentage agreement and, where the denominator permits, a chance-corrected statistic). It is never entered manually.</w:t>
      </w:r>
    </w:p>
    <w:p>
      <w:pPr>
        <w:numPr>
          <w:ilvl w:val="0"/>
          <w:numId w:val="1002"/>
        </w:numPr>
        <w:pStyle w:val="Compact"/>
      </w:pPr>
      <w:r>
        <w:t xml:space="preserve">Where agreement for a field is low, the codebook entry is clarified and that field is re-extracted for all studies.</w:t>
      </w:r>
    </w:p>
    <w:p>
      <w:pPr>
        <w:numPr>
          <w:ilvl w:val="0"/>
          <w:numId w:val="1002"/>
        </w:numPr>
        <w:pStyle w:val="Compact"/>
      </w:pPr>
      <w:r>
        <w:t xml:space="preserve">Any revision after full extraction has begun is documented, with its scope and the affected fields, and disclosed in the publication.</w:t>
      </w:r>
    </w:p>
    <w:bookmarkEnd w:id="31"/>
    <w:bookmarkEnd w:id="32"/>
    <w:sectPr>
      <w:footerReference w:type="default" r:id="rId900"/>
      <w:pgSz w:w="12240" w:h="15840"/>
      <w:pgMar w:top="1440" w:right="1440" w:bottom="1440" w:left="1440" w:header="720" w:footer="720" w:gutter="0"/>
      <w:lnNumType w:countBy="1" w:restart="continuous" w:distance="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footer" Id="rId900" Target="footer1.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2026-09-29T15:32:29Z</dcterms:created>
  <dcterms:modified xsi:type="dcterms:W3CDTF">2026-09-29T15:32:29Z</dcterms:modified>
</cp:coreProperties>
</file>

<file path=docProps/custom.xml><?xml version="1.0" encoding="utf-8"?>
<Properties xmlns="http://schemas.openxmlformats.org/officeDocument/2006/custom-properties" xmlns:vt="http://schemas.openxmlformats.org/officeDocument/2006/docPropsVTypes"/>
</file>