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Note: item wording follows the PRISMA 2020 official checklist page; each item is marked Reported (with manuscript location) or Not applicable (with a one-line reason).</w:t>
      </w:r>
    </w:p>
    <w:p>
      <w:pPr>
        <w:pStyle w:val="BlockText"/>
      </w:pPr>
      <w:r>
        <w:rPr>
          <w:bCs/>
          <w:b/>
        </w:rPr>
        <w:t xml:space="preserve">Scope note.</w:t>
      </w:r>
      <w:r>
        <w:t xml:space="preserve"> </w:t>
      </w:r>
      <w:r>
        <w:t xml:space="preserve">This checklist covers a meta-research audit of a completed scoping review. Items on search strategy, study selection and study flow are marked not applicable because no new literature screening was performed in this study; a post-hoc re-adjudication of eligibility against the existing screening rule was performed and is reported in §2.9, reducing the included set from 390 coded records to 277 included reports; the flow of the underlying review is reported in that review. The audited object is a scoping review whose protocol was prepared in accordance with PRISMA-ScR and JBI guidance; this study is a meta-research audit, and no recognised audit-specific reporting checklist exists, so applicable PRISMA 2020 items are used and non-applicable items are given item-by-item reasons. Items on data items, data collection and synthesis preparation are reported for the audit itself.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topic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Title: identify the report as a systematic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title identifies this manuscript as a meta-research audit of one scoping review, not as the scoping review under audit; this audit is not itself a systematic review.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 Manuscript Abstract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abstract provided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Introduction: rationale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 Manuscript §1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States the extraction-reliability gap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Introduction: objectives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 Manuscript §1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States the three audit questions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Eligibility criteria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This meta-research adds no new eligibility criteria; the object is the coded corpus of 390 records under the audited project’s frozen rules. A post-hoc re-adjudication applied the existing rule to 115 records (107 excluded, 6 unresolved, 2 confirmed), giving 277 included reports (§2.9)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Information sources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come from the existing extraction set and source literature; no new search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Search strategy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new search conducted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Selection 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new literature screening; eligibility of coded records re-adjudicated (§2.9)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collection 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 Manuscript §2.3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independent coders, third-party arbitration, versioned criteria table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 Manuscript §2.1/§2.4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 study-level fields, citation judgments, attribution-judgment cells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Study risk of bias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This audit does not assess clinical-study risk of bias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Effect measures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pooled effect measures computed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Synthesis methods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clinical synthesis conducted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Reporting bias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Reporting bias not assessed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Certainty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certainty of evidence not assessed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Study selection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new literature screening; eligibility of coded records re-adjudicated (§2.9)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Study characteristics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 Manuscript §2.1/Table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277 included reports (coded corpus 390), 29 fields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Risk of bias in studies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assessed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Results of individual studies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clinical outcomes involved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Results of syntheses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clinical synthesis performed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Reporting biases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assessed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Certainty of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assessed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Discussion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 Manuscript §4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Limitations and boundaries stated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Registration and protocol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 Manuscript §2.1/Declarations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OSF registration; revision log S5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 Declarations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specific grant received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Competing interests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 Declarations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 declared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Availability of data, code and other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 Declarations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Zenodo DOI 10.5281/zenodo.23005564</w:t>
            </w:r>
          </w:p>
        </w:tc>
      </w:tr>
    </w:tbl>
    <w:sectPr>
      <w:footerReference w:type="default" r:id="rId900"/>
      <w:pgSz w:w="12240" w:h="15840"/>
      <w:pgMar w:top="1440" w:right="1440" w:bottom="1440" w:left="1440" w:header="720" w:footer="720" w:gutter="0"/>
      <w:lnNumType w:countBy="1" w:restart="continuous" w:distance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footer" Id="rId900" Target="footer1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2026-09-29T15:32:27Z</dcterms:created>
  <dcterms:modified xsi:type="dcterms:W3CDTF">2026-09-29T15:32:27Z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