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E9FD3" w14:textId="77777777" w:rsidR="00E52964" w:rsidRDefault="00000000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Online Supplementary Materials</w:t>
      </w:r>
    </w:p>
    <w:p w14:paraId="40C63487" w14:textId="77777777" w:rsidR="00E52964" w:rsidRDefault="00000000">
      <w:pPr>
        <w:jc w:val="center"/>
        <w:rPr>
          <w:i/>
          <w:iCs/>
        </w:rPr>
      </w:pPr>
      <w:r>
        <w:rPr>
          <w:i/>
          <w:iCs/>
        </w:rPr>
        <w:t>The Optimal Intensity of Performance Evaluation: A Threshold Model of Incentive Alignment and Goal Displacement in Higher Education</w:t>
      </w:r>
    </w:p>
    <w:p w14:paraId="0ED9E57B" w14:textId="77777777" w:rsidR="00E52964" w:rsidRDefault="00000000">
      <w:pPr>
        <w:pStyle w:val="1"/>
      </w:pPr>
      <w:r>
        <w:t xml:space="preserve">1. How this supplement maps to the main </w:t>
      </w:r>
      <w:r>
        <w:rPr>
          <w:i/>
        </w:rPr>
        <w:t>text</w:t>
      </w:r>
    </w:p>
    <w:p w14:paraId="58454945" w14:textId="77777777" w:rsidR="00E52964" w:rsidRDefault="00000000">
      <w:pPr>
        <w:spacing w:after="120"/>
      </w:pPr>
      <w:r>
        <w:t xml:space="preserve">This document accompanies the main manuscript and supplies the notation, calibration, robustness checks, alternative specifications, and executable code to which the main </w:t>
      </w:r>
      <w:r>
        <w:rPr>
          <w:i/>
        </w:rPr>
        <w:t>text</w:t>
      </w:r>
      <w:r>
        <w:t xml:space="preserve"> refers. Tables S1–S5 are ordered to follow the main-text model sections §3.1–§3.5; the robustness derivation in Section 5 corresponds to main-text §3.4; and Tables S6–S7 with the code archive document the computational reproduction of Figures 1–4. Every object below is keyed to a specific section or proposition of the main </w:t>
      </w:r>
      <w:r>
        <w:rPr>
          <w:i/>
        </w:rPr>
        <w:t>text</w:t>
      </w:r>
      <w:r>
        <w:t xml:space="preserve"> so that the two documents can b</w:t>
      </w:r>
      <w:r>
        <w:rPr>
          <w:i/>
        </w:rPr>
        <w:t>e</w:t>
      </w:r>
      <w:r>
        <w:t xml:space="preserve"> read in either direction.</w:t>
      </w:r>
    </w:p>
    <w:p w14:paraId="7518AEA2" w14:textId="77777777" w:rsidR="00E52964" w:rsidRDefault="00000000">
      <w:r>
        <w:rPr>
          <w:b/>
        </w:rPr>
        <w:t xml:space="preserve">Table 1. Correspondence between this supplement and the main </w:t>
      </w:r>
      <w:r>
        <w:rPr>
          <w:b/>
          <w:i/>
        </w:rPr>
        <w:t>text</w:t>
      </w:r>
      <w:r>
        <w:rPr>
          <w:b/>
        </w:rPr>
        <w:t>.</w:t>
      </w:r>
    </w:p>
    <w:tbl>
      <w:tblPr>
        <w:tblStyle w:val="af4"/>
        <w:tblW w:w="5125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1548"/>
        <w:gridCol w:w="4586"/>
      </w:tblGrid>
      <w:tr w:rsidR="00E52964" w14:paraId="0705F835" w14:textId="77777777">
        <w:trPr>
          <w:tblHeader/>
          <w:jc w:val="center"/>
        </w:trPr>
        <w:tc>
          <w:tcPr>
            <w:tcW w:w="1549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0837F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Supplementary object</w:t>
            </w:r>
          </w:p>
        </w:tc>
        <w:tc>
          <w:tcPr>
            <w:tcW w:w="871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188B5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Main-text location</w:t>
            </w:r>
          </w:p>
        </w:tc>
        <w:tc>
          <w:tcPr>
            <w:tcW w:w="2579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68555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What it supplies</w:t>
            </w:r>
          </w:p>
        </w:tc>
      </w:tr>
      <w:tr w:rsidR="00E52964" w14:paraId="04E6E961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FB32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Table S1 — Notation and definitions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8342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5D8B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Complete symbol set for evaluation intensity, net effectiveness, parameters, and the drift–diffusion layer.</w:t>
            </w:r>
          </w:p>
        </w:tc>
      </w:tr>
      <w:tr w:rsidR="00E52964" w14:paraId="700F0F28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3D11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Table S2 — Alternative dysfunction-cost functional forms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8D7DD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E0CD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Piecewise-exponential (baseline), quadratic, and S-shaped costs; robustness of the inverted-U.</w:t>
            </w:r>
          </w:p>
        </w:tc>
      </w:tr>
      <w:tr w:rsidR="00E52964" w14:paraId="371231EC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5723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Table S3 — Qualitative-judgment sub-dimensions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A613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§3.3; Propositions 3–4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F992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Peer review, value orientation, and procedural justice; the primary parameter each lever shifts.</w:t>
            </w:r>
          </w:p>
        </w:tc>
      </w:tr>
      <w:tr w:rsidR="00E52964" w14:paraId="2A7C02C9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207A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Section 5 — Heaviside-to-logistic robustness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C27C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EA0C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Smooth replacement of the step function in Equations (2) and (17); proof that qualitative predictions are unchanged.</w:t>
            </w:r>
          </w:p>
        </w:tc>
      </w:tr>
      <w:tr w:rsidR="00E52964" w14:paraId="5822EC83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3ADE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Table S4 — Baseline parameters and empirical anchors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3BC2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§3.5; Figures 1–4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51AD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Normalised</w:t>
            </w:r>
            <w:proofErr w:type="spellEnd"/>
            <w:r>
              <w:rPr>
                <w:sz w:val="21"/>
                <w:szCs w:val="21"/>
              </w:rPr>
              <w:t xml:space="preserve"> baseline values (A=1.0, </w:t>
            </w:r>
            <w:r>
              <w:rPr>
                <w:i/>
                <w:sz w:val="21"/>
                <w:szCs w:val="21"/>
              </w:rPr>
              <w:t>α</w:t>
            </w:r>
            <w:r>
              <w:rPr>
                <w:sz w:val="21"/>
                <w:szCs w:val="21"/>
              </w:rPr>
              <w:t xml:space="preserve">=2.0, </w:t>
            </w: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 xml:space="preserve">=0.1, </w:t>
            </w:r>
            <w:r>
              <w:rPr>
                <w:i/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 xml:space="preserve">=0.2, </w:t>
            </w:r>
            <w:r>
              <w:rPr>
                <w:i/>
                <w:sz w:val="21"/>
                <w:szCs w:val="21"/>
              </w:rPr>
              <w:t>β</w:t>
            </w:r>
            <w:r>
              <w:rPr>
                <w:sz w:val="21"/>
                <w:szCs w:val="21"/>
              </w:rPr>
              <w:t xml:space="preserve">=2.0); derived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perscript"/>
              </w:rPr>
              <w:t>**</w:t>
            </w:r>
            <w:r>
              <w:rPr>
                <w:sz w:val="21"/>
                <w:szCs w:val="21"/>
              </w:rPr>
              <w:t xml:space="preserve">≈0.606, </w:t>
            </w:r>
            <w:proofErr w:type="spellStart"/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be</w:t>
            </w:r>
            <w:proofErr w:type="spellEnd"/>
            <w:r>
              <w:rPr>
                <w:sz w:val="21"/>
                <w:szCs w:val="21"/>
              </w:rPr>
              <w:t xml:space="preserve"> ≈1.303.</w:t>
            </w:r>
          </w:p>
        </w:tc>
      </w:tr>
      <w:tr w:rsidR="00E52964" w14:paraId="32E52887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851F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Table S5 — Sensitivity ranges and grid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CDAD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F4B58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Parameter ranges, grid resolution, and the reported endpoint effects on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 xml:space="preserve"> and </w:t>
            </w:r>
            <w:proofErr w:type="spellStart"/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be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E52964" w14:paraId="2B74CA36" w14:textId="77777777">
        <w:trPr>
          <w:jc w:val="center"/>
        </w:trPr>
        <w:tc>
          <w:tcPr>
            <w:tcW w:w="15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0A22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Tables S6–S7 and code archive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892B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§3.5; Figures 1–4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188AB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Figure-by-figure reproduction notes, numerical methods, and the Python/MATLAB/R implementation.</w:t>
            </w:r>
          </w:p>
        </w:tc>
      </w:tr>
    </w:tbl>
    <w:p w14:paraId="3A7E3509" w14:textId="77777777" w:rsidR="00E52964" w:rsidRDefault="00000000">
      <w:pPr>
        <w:pStyle w:val="1"/>
      </w:pPr>
      <w:r>
        <w:t>2. Notation and definitions</w:t>
      </w:r>
    </w:p>
    <w:p w14:paraId="16C575AF" w14:textId="77777777" w:rsidR="00E52964" w:rsidRDefault="00000000">
      <w:pPr>
        <w:spacing w:after="120"/>
        <w:rPr>
          <w:rFonts w:eastAsia="宋体"/>
          <w:b/>
          <w:sz w:val="21"/>
          <w:lang w:eastAsia="zh-CN"/>
        </w:rPr>
      </w:pPr>
      <w:r>
        <w:t xml:space="preserve">Evaluation intensity </w:t>
      </w:r>
      <w:r>
        <w:rPr>
          <w:i/>
        </w:rPr>
        <w:t>k</w:t>
      </w:r>
      <w:r>
        <w:t xml:space="preserve"> is the unweighted mean of four 0–1 dimensions — metric weight in personnel decisions, measurement granularity, consequence magnitude, and cross-disciplinary </w:t>
      </w:r>
      <w:proofErr w:type="spellStart"/>
      <w:r>
        <w:t>standardisation</w:t>
      </w:r>
      <w:proofErr w:type="spellEnd"/>
      <w:r>
        <w:t xml:space="preserve"> (§3.1). Net effectiveness </w:t>
      </w:r>
      <w:r>
        <w:rPr>
          <w:i/>
        </w:rPr>
        <w:t>U</w:t>
      </w:r>
      <w:r>
        <w:t>(</w:t>
      </w:r>
      <w:r>
        <w:rPr>
          <w:i/>
        </w:rPr>
        <w:t>k</w:t>
      </w:r>
      <w:r>
        <w:t xml:space="preserve">) is the alignment benefit </w:t>
      </w:r>
      <w:r>
        <w:rPr>
          <w:i/>
        </w:rPr>
        <w:t>B</w:t>
      </w:r>
      <w:r>
        <w:t>(</w:t>
      </w:r>
      <w:r>
        <w:rPr>
          <w:i/>
        </w:rPr>
        <w:t>k</w:t>
      </w:r>
      <w:r>
        <w:t xml:space="preserve">) minus the dysfunction cost </w:t>
      </w:r>
      <w:r>
        <w:rPr>
          <w:i/>
        </w:rPr>
        <w:t>C</w:t>
      </w:r>
      <w:r>
        <w:t>(</w:t>
      </w:r>
      <w:r>
        <w:rPr>
          <w:i/>
        </w:rPr>
        <w:t>k</w:t>
      </w:r>
      <w:r>
        <w:t>). Table S1 defines every symbol used in the three model stages.</w:t>
      </w:r>
    </w:p>
    <w:p w14:paraId="30408521" w14:textId="77777777" w:rsidR="00E52964" w:rsidRDefault="00E52964">
      <w:pPr>
        <w:rPr>
          <w:rFonts w:eastAsia="宋体"/>
          <w:b/>
          <w:sz w:val="21"/>
          <w:lang w:eastAsia="zh-CN"/>
        </w:rPr>
      </w:pPr>
    </w:p>
    <w:p w14:paraId="1D1CA30C" w14:textId="77777777" w:rsidR="004D47BF" w:rsidRPr="004D47BF" w:rsidRDefault="004D47BF">
      <w:pPr>
        <w:rPr>
          <w:rFonts w:eastAsia="宋体" w:hint="eastAsia"/>
          <w:b/>
          <w:sz w:val="21"/>
          <w:lang w:eastAsia="zh-CN"/>
        </w:rPr>
      </w:pPr>
    </w:p>
    <w:p w14:paraId="36401290" w14:textId="77777777" w:rsidR="00E52964" w:rsidRDefault="00000000">
      <w:r>
        <w:rPr>
          <w:b/>
        </w:rPr>
        <w:lastRenderedPageBreak/>
        <w:t xml:space="preserve">Table S1. Notation and definitions (main </w:t>
      </w:r>
      <w:r>
        <w:rPr>
          <w:b/>
          <w:i/>
        </w:rPr>
        <w:t>text</w:t>
      </w:r>
      <w:r>
        <w:rPr>
          <w:b/>
        </w:rPr>
        <w:t xml:space="preserve"> §3.1)</w:t>
      </w:r>
    </w:p>
    <w:tbl>
      <w:tblPr>
        <w:tblStyle w:val="af4"/>
        <w:tblW w:w="512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9"/>
        <w:gridCol w:w="7728"/>
      </w:tblGrid>
      <w:tr w:rsidR="00E52964" w14:paraId="6AD87FF6" w14:textId="77777777">
        <w:trPr>
          <w:tblHeader/>
          <w:jc w:val="center"/>
        </w:trPr>
        <w:tc>
          <w:tcPr>
            <w:tcW w:w="6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4F467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Symbol</w:t>
            </w:r>
          </w:p>
        </w:tc>
        <w:tc>
          <w:tcPr>
            <w:tcW w:w="434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1084E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Meaning</w:t>
            </w:r>
          </w:p>
        </w:tc>
      </w:tr>
      <w:tr w:rsidR="00E52964" w14:paraId="1B910388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1E23A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k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0873D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Evaluation intensity on the 0–1 composite (§3.1).</w:t>
            </w:r>
          </w:p>
        </w:tc>
      </w:tr>
      <w:tr w:rsidR="00E52964" w14:paraId="294789CD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1401D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U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56BDB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Net </w:t>
            </w:r>
            <w:proofErr w:type="spellStart"/>
            <w:r>
              <w:rPr>
                <w:sz w:val="21"/>
                <w:szCs w:val="21"/>
              </w:rPr>
              <w:t>organisational</w:t>
            </w:r>
            <w:proofErr w:type="spellEnd"/>
            <w:r>
              <w:rPr>
                <w:sz w:val="21"/>
                <w:szCs w:val="21"/>
              </w:rPr>
              <w:t xml:space="preserve"> effectiveness = alignment benefit minus dysfunction cost.</w:t>
            </w:r>
          </w:p>
        </w:tc>
      </w:tr>
      <w:tr w:rsidR="00E52964" w14:paraId="48621DF8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E3DC3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 xml:space="preserve">), </w:t>
            </w:r>
            <w:r>
              <w:rPr>
                <w:i/>
                <w:sz w:val="21"/>
                <w:szCs w:val="21"/>
              </w:rPr>
              <w:t>U</w:t>
            </w:r>
            <w:r>
              <w:rPr>
                <w:sz w:val="21"/>
                <w:szCs w:val="21"/>
                <w:vertAlign w:val="subscript"/>
              </w:rPr>
              <w:t>1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435D5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Alignment benefit, </w:t>
            </w: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)=A(1−</w:t>
            </w:r>
            <w:r>
              <w:rPr>
                <w:i/>
                <w:sz w:val="21"/>
                <w:szCs w:val="21"/>
              </w:rPr>
              <w:t>e</w:t>
            </w:r>
            <w:r>
              <w:rPr>
                <w:sz w:val="21"/>
                <w:szCs w:val="21"/>
                <w:vertAlign w:val="superscript"/>
              </w:rPr>
              <w:t>-</w:t>
            </w:r>
            <w:r>
              <w:rPr>
                <w:i/>
                <w:sz w:val="21"/>
                <w:szCs w:val="21"/>
                <w:vertAlign w:val="superscript"/>
              </w:rPr>
              <w:t>αk</w:t>
            </w:r>
            <w:r>
              <w:rPr>
                <w:sz w:val="21"/>
                <w:szCs w:val="21"/>
              </w:rPr>
              <w:t>) (Eq. 1).</w:t>
            </w:r>
          </w:p>
        </w:tc>
      </w:tr>
      <w:tr w:rsidR="00E52964" w14:paraId="2A9A6B1F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49B04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 xml:space="preserve">), </w:t>
            </w:r>
            <w:r>
              <w:rPr>
                <w:i/>
                <w:sz w:val="21"/>
                <w:szCs w:val="21"/>
              </w:rPr>
              <w:t>U</w:t>
            </w:r>
            <w:r>
              <w:rPr>
                <w:sz w:val="21"/>
                <w:szCs w:val="21"/>
                <w:vertAlign w:val="subscript"/>
              </w:rPr>
              <w:t>2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BE62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Piecewise dysfunction cost (Eq. 2).</w:t>
            </w:r>
          </w:p>
        </w:tc>
      </w:tr>
      <w:tr w:rsidR="00E52964" w14:paraId="2CD5B516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C5A22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A, A</w:t>
            </w:r>
            <w:r>
              <w:rPr>
                <w:sz w:val="21"/>
                <w:szCs w:val="21"/>
                <w:vertAlign w:val="subscript"/>
              </w:rPr>
              <w:t>0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A83F8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Asymptotic maximum alignment benefit; A(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>) in the bivariate model.</w:t>
            </w:r>
          </w:p>
        </w:tc>
      </w:tr>
      <w:tr w:rsidR="00E52964" w14:paraId="657F9A4E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0D2D4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α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4CD94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Rate at which alignment benefits saturate (diminishing marginal returns).</w:t>
            </w:r>
          </w:p>
        </w:tc>
      </w:tr>
      <w:tr w:rsidR="00E52964" w14:paraId="1D244C2E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F7F9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B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DFD612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Baseline linear dysfunction rate (administrative burden below threshold).</w:t>
            </w:r>
          </w:p>
        </w:tc>
      </w:tr>
      <w:tr w:rsidR="00E52964" w14:paraId="6B18FC5C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B39C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C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57D69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Amplitude of the exponential dysfunction term above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.</w:t>
            </w:r>
          </w:p>
        </w:tc>
      </w:tr>
      <w:tr w:rsidR="00E52964" w14:paraId="7B26FF4B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63FB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β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852A2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Growth rate of the exponential dysfunction term above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.</w:t>
            </w:r>
          </w:p>
        </w:tc>
      </w:tr>
      <w:tr w:rsidR="00E52964" w14:paraId="48B6F478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CD68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00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FFE98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Critical threshold;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 xml:space="preserve"> under pure quantitative evaluation (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>=0).</w:t>
            </w:r>
          </w:p>
        </w:tc>
      </w:tr>
      <w:tr w:rsidR="00E52964" w14:paraId="19FC8B31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D84F9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31515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Global optimum evaluation intensity (numerical root of Eq. 7).</w:t>
            </w:r>
          </w:p>
        </w:tc>
      </w:tr>
      <w:tr w:rsidR="00E52964" w14:paraId="6FB9245B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491F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be</w:t>
            </w:r>
            <w:proofErr w:type="spellEnd"/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1AA24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Break-even point where </w:t>
            </w:r>
            <w:r>
              <w:rPr>
                <w:i/>
                <w:sz w:val="21"/>
                <w:szCs w:val="21"/>
              </w:rPr>
              <w:t>U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)=0 (root of Eq. 8).</w:t>
            </w:r>
          </w:p>
        </w:tc>
      </w:tr>
      <w:tr w:rsidR="00E52964" w14:paraId="6B35E7F8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4ABE0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w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26ABF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Weight of qualitative judgment, 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>∈[0,1].</w:t>
            </w:r>
          </w:p>
        </w:tc>
      </w:tr>
      <w:tr w:rsidR="00E52964" w14:paraId="13B4CF7F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0F2FB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γ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65197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Threshold-raising sensitivity: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>)=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00</w:t>
            </w:r>
            <w:r>
              <w:rPr>
                <w:sz w:val="21"/>
                <w:szCs w:val="21"/>
              </w:rPr>
              <w:t>(1+</w:t>
            </w:r>
            <w:r>
              <w:rPr>
                <w:i/>
                <w:sz w:val="21"/>
                <w:szCs w:val="21"/>
              </w:rPr>
              <w:t>γw</w:t>
            </w:r>
            <w:r>
              <w:rPr>
                <w:sz w:val="21"/>
                <w:szCs w:val="21"/>
              </w:rPr>
              <w:t>) (Eq. 9).</w:t>
            </w:r>
          </w:p>
        </w:tc>
      </w:tr>
      <w:tr w:rsidR="00E52964" w14:paraId="3425A096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8F31C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δ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346F3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Benefit-enhancement sensitivity: A(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>)=A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+</w:t>
            </w:r>
            <w:r>
              <w:rPr>
                <w:i/>
                <w:sz w:val="21"/>
                <w:szCs w:val="21"/>
              </w:rPr>
              <w:t>δw</w:t>
            </w:r>
            <w:r>
              <w:rPr>
                <w:sz w:val="21"/>
                <w:szCs w:val="21"/>
              </w:rPr>
              <w:t xml:space="preserve"> (Eq. 10).</w:t>
            </w:r>
          </w:p>
        </w:tc>
      </w:tr>
      <w:tr w:rsidR="00E52964" w14:paraId="0109D6BE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E58D6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  <w:vertAlign w:val="subscript"/>
              </w:rPr>
              <w:t>p</w:t>
            </w:r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  <w:vertAlign w:val="subscript"/>
              </w:rPr>
              <w:t>v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2C203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Sub-weights for peer review, value orientation, and procedural justice (Eq. 14).</w:t>
            </w:r>
          </w:p>
        </w:tc>
      </w:tr>
      <w:tr w:rsidR="00E52964" w14:paraId="54D83492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FEED8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x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ABAAC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Effort quality level: </w:t>
            </w:r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 xml:space="preserve">=0 pure metric </w:t>
            </w:r>
            <w:proofErr w:type="spellStart"/>
            <w:r>
              <w:rPr>
                <w:sz w:val="21"/>
                <w:szCs w:val="21"/>
              </w:rPr>
              <w:t>optimisation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>=1 pure true-value production.</w:t>
            </w:r>
          </w:p>
        </w:tc>
      </w:tr>
      <w:tr w:rsidR="00E52964" w14:paraId="2711754E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5A7F3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>,</w:t>
            </w:r>
            <w:r>
              <w:rPr>
                <w:i/>
                <w:sz w:val="21"/>
                <w:szCs w:val="21"/>
              </w:rPr>
              <w:t>t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8BFC3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Density of faculty effort at quality level </w:t>
            </w:r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 xml:space="preserve"> (Fokker–Planck).</w:t>
            </w:r>
          </w:p>
        </w:tc>
      </w:tr>
      <w:tr w:rsidR="00E52964" w14:paraId="5360E6FC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E0687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μ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D5709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Drift strength above threshold.</w:t>
            </w:r>
          </w:p>
        </w:tc>
      </w:tr>
      <w:tr w:rsidR="00E52964" w14:paraId="7E698F5A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A2EFB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D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9406E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Diffusion coefficient (random exploration/adaptation).</w:t>
            </w:r>
          </w:p>
        </w:tc>
      </w:tr>
      <w:tr w:rsidR="00E52964" w14:paraId="43995F2B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D7645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Θ, σ(·)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EF13C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Heaviside step and its smooth logistic replacement of width </w:t>
            </w:r>
            <w:r>
              <w:rPr>
                <w:i/>
                <w:sz w:val="21"/>
                <w:szCs w:val="21"/>
              </w:rPr>
              <w:t>τ</w:t>
            </w:r>
            <w:r>
              <w:rPr>
                <w:sz w:val="21"/>
                <w:szCs w:val="21"/>
              </w:rPr>
              <w:t>.</w:t>
            </w:r>
          </w:p>
        </w:tc>
      </w:tr>
      <w:tr w:rsidR="00E52964" w14:paraId="2461ABFC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4BC53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 xml:space="preserve">), </w:t>
            </w:r>
            <w:r>
              <w:rPr>
                <w:i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9B5D5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True-value production and metric score production rate (</w:t>
            </w:r>
            <w:proofErr w:type="spellStart"/>
            <w:r>
              <w:rPr>
                <w:sz w:val="21"/>
                <w:szCs w:val="21"/>
              </w:rPr>
              <w:t>Eqs</w:t>
            </w:r>
            <w:proofErr w:type="spellEnd"/>
            <w:r>
              <w:rPr>
                <w:sz w:val="21"/>
                <w:szCs w:val="21"/>
              </w:rPr>
              <w:t>. 24–25).</w:t>
            </w:r>
          </w:p>
        </w:tc>
      </w:tr>
      <w:tr w:rsidR="00E52964" w14:paraId="699CEAC7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FA2E9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p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99F9C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Proportion of faculty engaged in strategic metric gaming (Eq. 28).</w:t>
            </w:r>
          </w:p>
        </w:tc>
      </w:tr>
      <w:tr w:rsidR="00E52964" w14:paraId="6ABF3477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7BC98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λ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AE711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Initial-condition concentration parameter (Eq. 20).</w:t>
            </w:r>
          </w:p>
        </w:tc>
      </w:tr>
      <w:tr w:rsidR="00E52964" w14:paraId="70ED936C" w14:textId="77777777">
        <w:trPr>
          <w:jc w:val="center"/>
        </w:trPr>
        <w:tc>
          <w:tcPr>
            <w:tcW w:w="652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CA966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>̄</w:t>
            </w:r>
          </w:p>
        </w:tc>
        <w:tc>
          <w:tcPr>
            <w:tcW w:w="4347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B84AC" w14:textId="77777777" w:rsidR="00E52964" w:rsidRDefault="00000000">
            <w:pPr>
              <w:keepNext/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Average steady-state effort quality (Eq. 27).</w:t>
            </w:r>
          </w:p>
        </w:tc>
      </w:tr>
      <w:tr w:rsidR="00E52964" w14:paraId="238CF688" w14:textId="77777777">
        <w:trPr>
          <w:jc w:val="center"/>
        </w:trPr>
        <w:tc>
          <w:tcPr>
            <w:tcW w:w="652" w:type="pct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653D8760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>,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,</w:t>
            </w:r>
            <w:r>
              <w:rPr>
                <w:i/>
                <w:sz w:val="21"/>
                <w:szCs w:val="21"/>
              </w:rPr>
              <w:t>w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4347" w:type="pct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047F5282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Drift velocity of effort (Fokker–Planck, Eq. 17).</w:t>
            </w:r>
          </w:p>
        </w:tc>
      </w:tr>
      <w:tr w:rsidR="00E52964" w14:paraId="36F1A13D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71DA86CF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</w:t>
            </w:r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6772B75F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Social-norm feedback strength (Eq. 28).</w:t>
            </w:r>
          </w:p>
        </w:tc>
      </w:tr>
      <w:tr w:rsidR="00E52964" w14:paraId="62D3CD6B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6EC35FF3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p</w:t>
            </w:r>
            <w:r>
              <w:rPr>
                <w:sz w:val="21"/>
                <w:szCs w:val="21"/>
                <w:vertAlign w:val="subscript"/>
              </w:rPr>
              <w:t>0</w:t>
            </w:r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5844CF5B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Initial proportion of strategically gaming faculty (Eq. 28).</w:t>
            </w:r>
          </w:p>
        </w:tc>
      </w:tr>
      <w:tr w:rsidR="00E52964" w14:paraId="7BC0CB0E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727C6945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τ</w:t>
            </w:r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29DF6F62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Logistic transition width; σ((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>−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)/</w:t>
            </w:r>
            <w:r>
              <w:rPr>
                <w:i/>
                <w:sz w:val="21"/>
                <w:szCs w:val="21"/>
              </w:rPr>
              <w:t>τ</w:t>
            </w:r>
            <w:r>
              <w:rPr>
                <w:sz w:val="21"/>
                <w:szCs w:val="21"/>
              </w:rPr>
              <w:t>) smooths the Heaviside step.</w:t>
            </w:r>
          </w:p>
        </w:tc>
      </w:tr>
      <w:tr w:rsidR="00E52964" w14:paraId="6D29E281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2E3ACABA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σ(·)</w:t>
            </w:r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2080181D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Logistic function σ(z)=1/(1+</w:t>
            </w:r>
            <w:r>
              <w:rPr>
                <w:i/>
                <w:sz w:val="21"/>
                <w:szCs w:val="21"/>
              </w:rPr>
              <w:t>e</w:t>
            </w:r>
            <w:r>
              <w:rPr>
                <w:sz w:val="21"/>
                <w:szCs w:val="21"/>
                <w:vertAlign w:val="superscript"/>
              </w:rPr>
              <w:t>−z</w:t>
            </w:r>
            <w:r>
              <w:rPr>
                <w:sz w:val="21"/>
                <w:szCs w:val="21"/>
              </w:rPr>
              <w:t>).</w:t>
            </w:r>
          </w:p>
        </w:tc>
      </w:tr>
      <w:tr w:rsidR="00E52964" w14:paraId="09EFCA22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7AE3641F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γ</w:t>
            </w:r>
            <w:r>
              <w:rPr>
                <w:sz w:val="21"/>
                <w:szCs w:val="21"/>
                <w:vertAlign w:val="subscript"/>
              </w:rPr>
              <w:t>p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γ</w:t>
            </w:r>
            <w:r>
              <w:rPr>
                <w:sz w:val="21"/>
                <w:szCs w:val="21"/>
                <w:vertAlign w:val="subscript"/>
              </w:rPr>
              <w:t>v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γ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008503CF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Sub-dimension threshold coefficients: peer review, value orientation, procedural justice (Eq. 15).</w:t>
            </w:r>
          </w:p>
        </w:tc>
      </w:tr>
      <w:tr w:rsidR="00E52964" w14:paraId="375C7F29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4F2A3B17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δ</w:t>
            </w:r>
            <w:r>
              <w:rPr>
                <w:sz w:val="21"/>
                <w:szCs w:val="21"/>
                <w:vertAlign w:val="subscript"/>
              </w:rPr>
              <w:t>p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δ</w:t>
            </w:r>
            <w:r>
              <w:rPr>
                <w:sz w:val="21"/>
                <w:szCs w:val="21"/>
                <w:vertAlign w:val="subscript"/>
              </w:rPr>
              <w:t>v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δ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2229C44D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Sub-dimension benefit coefficients (Eq. 15).</w:t>
            </w:r>
          </w:p>
        </w:tc>
      </w:tr>
      <w:tr w:rsidR="00E52964" w14:paraId="64F39FF3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728722C8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η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454E3928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Procedural-justice cost-reduction coefficient: </w:t>
            </w: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  <w:r>
              <w:rPr>
                <w:sz w:val="21"/>
                <w:szCs w:val="21"/>
              </w:rPr>
              <w:t>)=</w:t>
            </w: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−</w:t>
            </w:r>
            <w:r>
              <w:rPr>
                <w:i/>
                <w:sz w:val="21"/>
                <w:szCs w:val="21"/>
              </w:rPr>
              <w:t>η</w:t>
            </w:r>
            <w:r>
              <w:rPr>
                <w:sz w:val="21"/>
                <w:szCs w:val="21"/>
                <w:vertAlign w:val="subscript"/>
              </w:rPr>
              <w:t>j</w:t>
            </w:r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E52964" w14:paraId="409BE8D1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</w:tcBorders>
            <w:vAlign w:val="center"/>
          </w:tcPr>
          <w:p w14:paraId="714C271C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  <w:vertAlign w:val="subscript"/>
              </w:rPr>
              <w:t>0</w:t>
            </w:r>
          </w:p>
        </w:tc>
        <w:tc>
          <w:tcPr>
            <w:tcW w:w="4347" w:type="pct"/>
            <w:tcBorders>
              <w:right w:val="single" w:sz="12" w:space="0" w:color="auto"/>
            </w:tcBorders>
            <w:vAlign w:val="center"/>
          </w:tcPr>
          <w:p w14:paraId="1185445A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Baseline dysfunction cost at </w:t>
            </w:r>
            <w:proofErr w:type="spellStart"/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  <w:vertAlign w:val="subscript"/>
              </w:rPr>
              <w:t>j</w:t>
            </w:r>
            <w:proofErr w:type="spellEnd"/>
            <w:r>
              <w:rPr>
                <w:sz w:val="21"/>
                <w:szCs w:val="21"/>
              </w:rPr>
              <w:t>=0 (</w:t>
            </w:r>
            <w:r>
              <w:rPr>
                <w:i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=0.1 in calibration).</w:t>
            </w:r>
          </w:p>
        </w:tc>
      </w:tr>
      <w:tr w:rsidR="00E52964" w14:paraId="503A7D08" w14:textId="77777777">
        <w:trPr>
          <w:jc w:val="center"/>
        </w:trPr>
        <w:tc>
          <w:tcPr>
            <w:tcW w:w="6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3F75A4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ρ</w:t>
            </w:r>
          </w:p>
        </w:tc>
        <w:tc>
          <w:tcPr>
            <w:tcW w:w="434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90D4A4" w14:textId="77777777" w:rsidR="00E52964" w:rsidRDefault="00000000">
            <w:pPr>
              <w:snapToGrid w:val="0"/>
              <w:spacing w:before="20" w:after="2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Exogenous ranking-pressure sensitivity (main </w:t>
            </w:r>
            <w:r>
              <w:rPr>
                <w:i/>
                <w:sz w:val="21"/>
                <w:szCs w:val="21"/>
              </w:rPr>
              <w:t>text</w:t>
            </w:r>
            <w:r>
              <w:rPr>
                <w:sz w:val="21"/>
                <w:szCs w:val="21"/>
              </w:rPr>
              <w:t xml:space="preserve"> §5.4).</w:t>
            </w:r>
          </w:p>
        </w:tc>
      </w:tr>
    </w:tbl>
    <w:p w14:paraId="6EDB73A5" w14:textId="77777777" w:rsidR="00E52964" w:rsidRDefault="00000000">
      <w:pPr>
        <w:pStyle w:val="1"/>
      </w:pPr>
      <w:r>
        <w:t>3. Alternative dysfunction-cost functional forms</w:t>
      </w:r>
    </w:p>
    <w:p w14:paraId="73F075AD" w14:textId="77777777" w:rsidR="00E52964" w:rsidRDefault="00000000">
      <w:pPr>
        <w:spacing w:after="120"/>
      </w:pPr>
      <w:r>
        <w:t xml:space="preserve">The baseline piecewise-exponential cost (Eq. 2) is a parsimonious representation of accelerating dysfunction. As noted in §3.2, an exponential form is not unique: quadratic or S-shaped costs also </w:t>
      </w:r>
      <w:r>
        <w:lastRenderedPageBreak/>
        <w:t xml:space="preserve">produce rising marginal cost. Table S2 compares the three specifications and shows that the qualitative result — marginal dysfunction increasing in </w:t>
      </w:r>
      <w:r>
        <w:rPr>
          <w:i/>
        </w:rPr>
        <w:t>k</w:t>
      </w:r>
      <w:r>
        <w:t xml:space="preserve"> — is invariant; only the precise locations of </w:t>
      </w:r>
      <w:r>
        <w:rPr>
          <w:i/>
        </w:rPr>
        <w:t>k</w:t>
      </w:r>
      <w:r>
        <w:t xml:space="preserve"> and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 are function-form dependent.</w:t>
      </w:r>
    </w:p>
    <w:p w14:paraId="6ADF6E0C" w14:textId="77777777" w:rsidR="00E52964" w:rsidRDefault="00000000">
      <w:r>
        <w:rPr>
          <w:b/>
        </w:rPr>
        <w:t xml:space="preserve">Table S2. Comparison of alternative dysfunction-cost functional forms (main </w:t>
      </w:r>
      <w:r>
        <w:rPr>
          <w:b/>
          <w:i/>
        </w:rPr>
        <w:t>text</w:t>
      </w:r>
      <w:r>
        <w:rPr>
          <w:b/>
        </w:rPr>
        <w:t xml:space="preserve"> §3.2).</w:t>
      </w:r>
    </w:p>
    <w:tbl>
      <w:tblPr>
        <w:tblStyle w:val="af4"/>
        <w:tblW w:w="5000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1869"/>
        <w:gridCol w:w="1738"/>
        <w:gridCol w:w="1533"/>
        <w:gridCol w:w="1731"/>
      </w:tblGrid>
      <w:tr w:rsidR="00E52964" w14:paraId="7CD771CA" w14:textId="77777777">
        <w:trPr>
          <w:tblHeader/>
          <w:jc w:val="center"/>
        </w:trPr>
        <w:tc>
          <w:tcPr>
            <w:tcW w:w="1037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DBA79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Specification</w:t>
            </w:r>
          </w:p>
        </w:tc>
        <w:tc>
          <w:tcPr>
            <w:tcW w:w="1077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76E08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 xml:space="preserve">Cost for </w:t>
            </w:r>
            <w:r>
              <w:rPr>
                <w:b/>
                <w:i/>
              </w:rPr>
              <w:t>k</w:t>
            </w:r>
            <w:r>
              <w:rPr>
                <w:b/>
              </w:rPr>
              <w:t xml:space="preserve"> &gt; </w:t>
            </w:r>
            <w:r>
              <w:rPr>
                <w:b/>
                <w:i/>
              </w:rPr>
              <w:t>k</w:t>
            </w:r>
            <w:r>
              <w:rPr>
                <w:b/>
                <w:vertAlign w:val="subscript"/>
              </w:rPr>
              <w:t>0</w:t>
            </w:r>
          </w:p>
        </w:tc>
        <w:tc>
          <w:tcPr>
            <w:tcW w:w="1002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4D39E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Marginal cost above threshold</w:t>
            </w:r>
          </w:p>
        </w:tc>
        <w:tc>
          <w:tcPr>
            <w:tcW w:w="884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71C68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Threshold character</w:t>
            </w:r>
          </w:p>
        </w:tc>
        <w:tc>
          <w:tcPr>
            <w:tcW w:w="998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98A9E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Inverted-U?</w:t>
            </w:r>
          </w:p>
        </w:tc>
      </w:tr>
      <w:tr w:rsidR="00E52964" w14:paraId="67A7ABD8" w14:textId="77777777">
        <w:trPr>
          <w:jc w:val="center"/>
        </w:trPr>
        <w:tc>
          <w:tcPr>
            <w:tcW w:w="1037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53A8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Piecewise-exponential (baseline, Eq. 2)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35FD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Bk</w:t>
            </w:r>
            <w:r>
              <w:t xml:space="preserve"> + </w:t>
            </w:r>
            <w:r>
              <w:rPr>
                <w:i/>
              </w:rPr>
              <w:t>C</w:t>
            </w:r>
            <w:r>
              <w:t>(</w:t>
            </w:r>
            <w:r>
              <w:rPr>
                <w:i/>
              </w:rPr>
              <w:t>e</w:t>
            </w:r>
            <w:r>
              <w:rPr>
                <w:i/>
                <w:vertAlign w:val="superscript"/>
              </w:rPr>
              <w:t>β</w:t>
            </w:r>
            <w:r>
              <w:rPr>
                <w:vertAlign w:val="superscript"/>
              </w:rPr>
              <w:t>(</w:t>
            </w:r>
            <w:r>
              <w:rPr>
                <w:i/>
                <w:vertAlign w:val="superscript"/>
              </w:rPr>
              <w:t>k</w:t>
            </w:r>
            <w:r>
              <w:rPr>
                <w:vertAlign w:val="superscript"/>
              </w:rPr>
              <w:t>−</w:t>
            </w:r>
            <w:r>
              <w:rPr>
                <w:i/>
                <w:vertAlign w:val="superscript"/>
              </w:rPr>
              <w:t>k</w:t>
            </w:r>
            <w:r>
              <w:rPr>
                <w:vertAlign w:val="subscript"/>
              </w:rPr>
              <w:t>0</w:t>
            </w:r>
            <w:r>
              <w:rPr>
                <w:vertAlign w:val="superscript"/>
              </w:rPr>
              <w:t>)</w:t>
            </w:r>
            <w:r>
              <w:t>−1)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01B9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Cβ</w:t>
            </w:r>
            <w: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vertAlign w:val="superscript"/>
              </w:rPr>
              <w:t>β</w:t>
            </w:r>
            <w:r>
              <w:rPr>
                <w:vertAlign w:val="superscript"/>
              </w:rPr>
              <w:t>(</w:t>
            </w:r>
            <w:r>
              <w:rPr>
                <w:i/>
                <w:vertAlign w:val="superscript"/>
              </w:rPr>
              <w:t>k</w:t>
            </w:r>
            <w:r>
              <w:rPr>
                <w:vertAlign w:val="superscript"/>
              </w:rPr>
              <w:t>−</w:t>
            </w:r>
            <w:r>
              <w:rPr>
                <w:i/>
                <w:vertAlign w:val="superscript"/>
              </w:rPr>
              <w:t>k</w:t>
            </w:r>
            <w:r>
              <w:rPr>
                <w:vertAlign w:val="subscript"/>
              </w:rPr>
              <w:t>0</w:t>
            </w:r>
            <w:r>
              <w:rPr>
                <w:vertAlign w:val="superscript"/>
              </w:rPr>
              <w:t>)</w:t>
            </w:r>
            <w:r>
              <w:t>, rising exponentially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E2B1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 xml:space="preserve">Discontinuous at 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8120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 xml:space="preserve">Yes; </w:t>
            </w:r>
            <w:r>
              <w:rPr>
                <w:i/>
              </w:rPr>
              <w:t>k</w:t>
            </w:r>
            <w:r>
              <w:rPr>
                <w:vertAlign w:val="superscript"/>
              </w:rPr>
              <w:t>**</w:t>
            </w:r>
            <w:r>
              <w:t xml:space="preserve">≈0.606, </w:t>
            </w:r>
            <w:proofErr w:type="spellStart"/>
            <w:r>
              <w:rPr>
                <w:i/>
              </w:rPr>
              <w:t>k</w:t>
            </w:r>
            <w:r>
              <w:rPr>
                <w:vertAlign w:val="subscript"/>
              </w:rPr>
              <w:t>be</w:t>
            </w:r>
            <w:proofErr w:type="spellEnd"/>
            <w:r>
              <w:t xml:space="preserve"> ≈1.303 at baseline.</w:t>
            </w:r>
          </w:p>
        </w:tc>
      </w:tr>
      <w:tr w:rsidR="00E52964" w14:paraId="514D502C" w14:textId="77777777">
        <w:trPr>
          <w:jc w:val="center"/>
        </w:trPr>
        <w:tc>
          <w:tcPr>
            <w:tcW w:w="1037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87B7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Quadratic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676E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Bk</w:t>
            </w:r>
            <w:r>
              <w:t xml:space="preserve"> + </w:t>
            </w:r>
            <w:r>
              <w:rPr>
                <w:i/>
              </w:rPr>
              <w:t>c</w:t>
            </w:r>
            <w:r>
              <w:t>(</w:t>
            </w:r>
            <w:r>
              <w:rPr>
                <w:i/>
              </w:rPr>
              <w:t>k</w:t>
            </w:r>
            <w:r>
              <w:t>−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  <w:r>
              <w:t>)</w:t>
            </w:r>
            <w:r>
              <w:rPr>
                <w:vertAlign w:val="superscript"/>
              </w:rPr>
              <w:t>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C458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2</w:t>
            </w:r>
            <w:r>
              <w:rPr>
                <w:i/>
              </w:rPr>
              <w:t>c</w:t>
            </w:r>
            <w:r>
              <w:t>(</w:t>
            </w:r>
            <w:r>
              <w:rPr>
                <w:i/>
              </w:rPr>
              <w:t>k</w:t>
            </w:r>
            <w:r>
              <w:t>−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  <w:r>
              <w:t>), rising linearly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3015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Smooth, no discrete jump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819A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Yes; interior optimum retained.</w:t>
            </w:r>
          </w:p>
        </w:tc>
      </w:tr>
      <w:tr w:rsidR="00E52964" w14:paraId="0F4BDA19" w14:textId="77777777">
        <w:trPr>
          <w:jc w:val="center"/>
        </w:trPr>
        <w:tc>
          <w:tcPr>
            <w:tcW w:w="10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97CE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S-shaped (logistic-saturating)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9D7D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Bk</w:t>
            </w:r>
            <w:r>
              <w:t xml:space="preserve"> + C·L(k−k₀) with L sigmoid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9AA0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Sigmoid, then saturates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D538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Gradual threshold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9E1E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Yes; optimum retained, boundary smoothed.</w:t>
            </w:r>
          </w:p>
        </w:tc>
      </w:tr>
    </w:tbl>
    <w:p w14:paraId="6BFAA4A1" w14:textId="77777777" w:rsidR="00E52964" w:rsidRDefault="00000000">
      <w:pPr>
        <w:spacing w:before="120" w:after="120"/>
        <w:rPr>
          <w:sz w:val="18"/>
          <w:szCs w:val="18"/>
        </w:rPr>
      </w:pPr>
      <w:r>
        <w:t xml:space="preserve">Conclusion. Across all three forms, marginal dysfunction increases with </w:t>
      </w:r>
      <w:r>
        <w:rPr>
          <w:i/>
        </w:rPr>
        <w:t>k</w:t>
      </w:r>
      <w:r>
        <w:t xml:space="preserve"> and an interior optimum followed by a break-even point exists under the same admissibility conditions. The baseline exponential is adopted because it delivers the sharpest threshold and the cleanest closed-form steady-state distribution (Eq. 26); the robustness of the qualitative prediction justifies this choice.</w:t>
      </w:r>
    </w:p>
    <w:p w14:paraId="098AB37F" w14:textId="77777777" w:rsidR="00E52964" w:rsidRDefault="00000000">
      <w:r>
        <w:t>A.1 Univariate first- and second-segment marginal conditions (</w:t>
      </w:r>
      <w:proofErr w:type="spellStart"/>
      <w:r>
        <w:t>Eqs</w:t>
      </w:r>
      <w:proofErr w:type="spellEnd"/>
      <w:r>
        <w:t>. 4–6; main text §3.2).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8496"/>
        <w:gridCol w:w="864"/>
      </w:tblGrid>
      <w:tr w:rsidR="00502622" w14:paraId="567171B4" w14:textId="77777777">
        <w:trPr>
          <w:jc w:val="center"/>
        </w:trPr>
        <w:tc>
          <w:tcPr>
            <w:tcW w:w="8496" w:type="dxa"/>
          </w:tcPr>
          <w:p w14:paraId="2914BE1E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U'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A</m:t>
                </m:r>
                <m:r>
                  <w:rPr>
                    <w:rFonts w:ascii="Cambria Math" w:hAnsi="Cambria Math"/>
                  </w:rPr>
                  <m:t>α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-αk</m:t>
                    </m:r>
                  </m:sup>
                </m:sSup>
                <m:r>
                  <w:rPr>
                    <w:rFonts w:ascii="Cambria Math" w:hAnsi="Cambria Math" w:cs="Cambria Math"/>
                  </w:rPr>
                  <m:t xml:space="preserve"> - B</m:t>
                </m:r>
              </m:oMath>
            </m:oMathPara>
          </w:p>
        </w:tc>
        <w:tc>
          <w:tcPr>
            <w:tcW w:w="864" w:type="dxa"/>
          </w:tcPr>
          <w:p w14:paraId="1BCE5A78" w14:textId="77777777" w:rsidR="00000000" w:rsidRDefault="00000000">
            <w:pPr>
              <w:spacing w:line="360" w:lineRule="auto"/>
              <w:jc w:val="right"/>
            </w:pPr>
            <w:r>
              <w:t>(4)</w:t>
            </w:r>
          </w:p>
        </w:tc>
      </w:tr>
      <w:tr w:rsidR="00502622" w14:paraId="503DBDF7" w14:textId="77777777">
        <w:trPr>
          <w:jc w:val="center"/>
        </w:trPr>
        <w:tc>
          <w:tcPr>
            <w:tcW w:w="8496" w:type="dxa"/>
          </w:tcPr>
          <w:p w14:paraId="5923E480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*</m:t>
                    </m:r>
                  </m:sup>
                </m:sSup>
                <m:r>
                  <w:rPr>
                    <w:rFonts w:ascii="Cambria Math" w:hAnsi="Cambria Math" w:cs="Cambria Math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α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Cambria Math"/>
                              </w:rPr>
                              <m:t>A</m:t>
                            </m:r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num>
                          <m:den>
                            <m:r>
                              <w:rPr>
                                <w:rFonts w:ascii="Cambria Math" w:hAnsi="Cambria Math" w:cs="Cambria Math"/>
                              </w:rPr>
                              <m:t>B</m:t>
                            </m:r>
                          </m:den>
                        </m:f>
                      </m:e>
                    </m:d>
                  </m:e>
                </m:func>
              </m:oMath>
            </m:oMathPara>
          </w:p>
        </w:tc>
        <w:tc>
          <w:tcPr>
            <w:tcW w:w="864" w:type="dxa"/>
          </w:tcPr>
          <w:p w14:paraId="5101E1BC" w14:textId="77777777" w:rsidR="00000000" w:rsidRDefault="00000000">
            <w:pPr>
              <w:spacing w:line="360" w:lineRule="auto"/>
              <w:jc w:val="right"/>
            </w:pPr>
            <w:r>
              <w:t>(5)</w:t>
            </w:r>
          </w:p>
        </w:tc>
      </w:tr>
      <w:tr w:rsidR="00502622" w14:paraId="3E1CC54B" w14:textId="77777777">
        <w:trPr>
          <w:jc w:val="center"/>
        </w:trPr>
        <w:tc>
          <w:tcPr>
            <w:tcW w:w="8496" w:type="dxa"/>
          </w:tcPr>
          <w:p w14:paraId="6BAD904F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U'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A</m:t>
                </m:r>
                <m:r>
                  <w:rPr>
                    <w:rFonts w:ascii="Cambria Math" w:hAnsi="Cambria Math"/>
                  </w:rPr>
                  <m:t>α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-αk</m:t>
                    </m:r>
                  </m:sup>
                </m:sSup>
                <m:r>
                  <w:rPr>
                    <w:rFonts w:ascii="Cambria Math" w:hAnsi="Cambria Math" w:cs="Cambria Math"/>
                  </w:rPr>
                  <m:t xml:space="preserve"> - B - C</m:t>
                </m:r>
                <m:r>
                  <w:rPr>
                    <w:rFonts w:ascii="Cambria Math" w:hAnsi="Cambria Math"/>
                  </w:rPr>
                  <m:t>β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β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mbria Math"/>
                          </w:rPr>
                          <m:t>k-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</w:rPr>
                              <m:t>0</m:t>
                            </m:r>
                          </m:sub>
                        </m:sSub>
                      </m:e>
                    </m:d>
                  </m:sup>
                </m:sSup>
              </m:oMath>
            </m:oMathPara>
          </w:p>
        </w:tc>
        <w:tc>
          <w:tcPr>
            <w:tcW w:w="864" w:type="dxa"/>
          </w:tcPr>
          <w:p w14:paraId="7C860FE5" w14:textId="77777777" w:rsidR="00000000" w:rsidRDefault="00000000">
            <w:pPr>
              <w:spacing w:line="360" w:lineRule="auto"/>
              <w:jc w:val="right"/>
            </w:pPr>
            <w:r>
              <w:t>(6)</w:t>
            </w:r>
          </w:p>
        </w:tc>
      </w:tr>
    </w:tbl>
    <w:p w14:paraId="70C9A6E2" w14:textId="77777777" w:rsidR="00E52964" w:rsidRDefault="00000000">
      <w:pPr>
        <w:pStyle w:val="1"/>
      </w:pPr>
      <w:r>
        <w:t>4. Qualitative-judgment sub-dimensions and mechanisms</w:t>
      </w:r>
    </w:p>
    <w:p w14:paraId="031427BD" w14:textId="77777777" w:rsidR="00E52964" w:rsidRDefault="00000000">
      <w:pPr>
        <w:spacing w:after="120"/>
      </w:pPr>
      <w:r>
        <w:t xml:space="preserve">Equation (14) decomposes the qualitative-judgment weight </w:t>
      </w:r>
      <w:r>
        <w:rPr>
          <w:i/>
        </w:rPr>
        <w:t>w</w:t>
      </w:r>
      <w:r>
        <w:t xml:space="preserve"> into peer review (</w:t>
      </w:r>
      <w:r>
        <w:rPr>
          <w:i/>
        </w:rPr>
        <w:t>w</w:t>
      </w:r>
      <w:r>
        <w:rPr>
          <w:vertAlign w:val="subscript"/>
        </w:rPr>
        <w:t>p</w:t>
      </w:r>
      <w:r>
        <w:t>), value orientation (</w:t>
      </w:r>
      <w:proofErr w:type="spellStart"/>
      <w:r>
        <w:rPr>
          <w:i/>
        </w:rPr>
        <w:t>w</w:t>
      </w:r>
      <w:r>
        <w:rPr>
          <w:vertAlign w:val="subscript"/>
        </w:rPr>
        <w:t>v</w:t>
      </w:r>
      <w:proofErr w:type="spellEnd"/>
      <w:r>
        <w:t>), and procedural justice (</w:t>
      </w:r>
      <w:proofErr w:type="spellStart"/>
      <w:r>
        <w:rPr>
          <w:i/>
        </w:rPr>
        <w:t>w</w:t>
      </w:r>
      <w:r>
        <w:rPr>
          <w:vertAlign w:val="subscript"/>
        </w:rPr>
        <w:t>j</w:t>
      </w:r>
      <w:proofErr w:type="spellEnd"/>
      <w:r>
        <w:t xml:space="preserve">). Table S3 states the primary parameter each lever shifts and the underlying mechanism, </w:t>
      </w:r>
      <w:proofErr w:type="spellStart"/>
      <w:r>
        <w:t>operationalised</w:t>
      </w:r>
      <w:proofErr w:type="spellEnd"/>
      <w:r>
        <w:t xml:space="preserve"> for the empirical tests in Propositions 3 and 4. These are dominant channels, not exclusive effects: procedural justice may also raise 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, peer review may also raise A, and value orientation may also reduce </w:t>
      </w:r>
      <w:r>
        <w:rPr>
          <w:i/>
        </w:rPr>
        <w:t>B</w:t>
      </w:r>
      <w:r>
        <w:t>; Proposition 4 designs the interaction test that separates dominant from secondary effects.</w:t>
      </w:r>
    </w:p>
    <w:p w14:paraId="36C43762" w14:textId="77777777" w:rsidR="004D47BF" w:rsidRDefault="004D47BF">
      <w:pPr>
        <w:rPr>
          <w:rFonts w:eastAsia="宋体"/>
          <w:b/>
          <w:lang w:eastAsia="zh-CN"/>
        </w:rPr>
      </w:pPr>
    </w:p>
    <w:p w14:paraId="7091AF8C" w14:textId="77777777" w:rsidR="004D47BF" w:rsidRDefault="004D47BF">
      <w:pPr>
        <w:rPr>
          <w:rFonts w:eastAsia="宋体"/>
          <w:b/>
        </w:rPr>
      </w:pPr>
    </w:p>
    <w:p w14:paraId="0178A1FF" w14:textId="77777777" w:rsidR="004D47BF" w:rsidRDefault="004D47BF">
      <w:pPr>
        <w:rPr>
          <w:rFonts w:eastAsia="宋体"/>
          <w:b/>
        </w:rPr>
      </w:pPr>
    </w:p>
    <w:p w14:paraId="61B16BC4" w14:textId="77777777" w:rsidR="004D47BF" w:rsidRDefault="004D47BF">
      <w:pPr>
        <w:rPr>
          <w:rFonts w:eastAsia="宋体"/>
          <w:b/>
        </w:rPr>
      </w:pPr>
    </w:p>
    <w:p w14:paraId="3745260C" w14:textId="0BEB6C96" w:rsidR="00E52964" w:rsidRDefault="00000000">
      <w:r>
        <w:rPr>
          <w:b/>
        </w:rPr>
        <w:lastRenderedPageBreak/>
        <w:t xml:space="preserve">Table S3. Qualitative-judgment sub-dimensions, mechanisms, and parameter shifts (main </w:t>
      </w:r>
      <w:r>
        <w:rPr>
          <w:b/>
          <w:i/>
        </w:rPr>
        <w:t>text</w:t>
      </w:r>
      <w:r>
        <w:rPr>
          <w:b/>
        </w:rPr>
        <w:t xml:space="preserve"> §3.3).</w:t>
      </w:r>
    </w:p>
    <w:tbl>
      <w:tblPr>
        <w:tblStyle w:val="af4"/>
        <w:tblW w:w="5000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2077"/>
        <w:gridCol w:w="1268"/>
        <w:gridCol w:w="3010"/>
        <w:gridCol w:w="1053"/>
      </w:tblGrid>
      <w:tr w:rsidR="00E52964" w14:paraId="7F937428" w14:textId="77777777">
        <w:trPr>
          <w:tblHeader/>
          <w:jc w:val="center"/>
        </w:trPr>
        <w:tc>
          <w:tcPr>
            <w:tcW w:w="727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17087" w14:textId="77777777" w:rsidR="00E52964" w:rsidRDefault="00000000">
            <w:pPr>
              <w:keepNext/>
              <w:snapToGri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Sub-dimension</w:t>
            </w:r>
          </w:p>
        </w:tc>
        <w:tc>
          <w:tcPr>
            <w:tcW w:w="1198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6D789" w14:textId="77777777" w:rsidR="00E52964" w:rsidRDefault="00000000">
            <w:pPr>
              <w:keepNext/>
              <w:snapToGri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Operational measure (Prop. 3)</w:t>
            </w:r>
          </w:p>
        </w:tc>
        <w:tc>
          <w:tcPr>
            <w:tcW w:w="731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7A392" w14:textId="77777777" w:rsidR="00E52964" w:rsidRDefault="00000000">
            <w:pPr>
              <w:keepNext/>
              <w:snapToGri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Primary parameter</w:t>
            </w:r>
          </w:p>
        </w:tc>
        <w:tc>
          <w:tcPr>
            <w:tcW w:w="1735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AFB17" w14:textId="77777777" w:rsidR="00E52964" w:rsidRDefault="00000000">
            <w:pPr>
              <w:keepNext/>
              <w:snapToGri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Mechanism</w:t>
            </w:r>
          </w:p>
        </w:tc>
        <w:tc>
          <w:tcPr>
            <w:tcW w:w="607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FA681" w14:textId="77777777" w:rsidR="00E52964" w:rsidRDefault="00000000">
            <w:pPr>
              <w:keepNext/>
              <w:snapToGri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Sign</w:t>
            </w:r>
          </w:p>
        </w:tc>
      </w:tr>
      <w:tr w:rsidR="00E52964" w14:paraId="60D2E437" w14:textId="77777777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C25CE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Peer review (</w:t>
            </w:r>
            <w:r>
              <w:rPr>
                <w:i/>
              </w:rPr>
              <w:t>w</w:t>
            </w:r>
            <w:r>
              <w:rPr>
                <w:vertAlign w:val="subscript"/>
              </w:rPr>
              <w:t>p</w:t>
            </w:r>
            <w:r>
              <w:t>)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332AA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Share of promotion criteria from external peer review of research quality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B9400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 xml:space="preserve">Raises 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9A195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Expert assessment reduces information asymmetry, distinguishing genuine impact from strategic publication and blunting the returns to gaming.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8CC51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∂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  <w:r>
              <w:t xml:space="preserve"> /∂</w:t>
            </w:r>
            <w:r>
              <w:rPr>
                <w:i/>
              </w:rPr>
              <w:t>w</w:t>
            </w:r>
            <w:r>
              <w:rPr>
                <w:vertAlign w:val="subscript"/>
              </w:rPr>
              <w:t>p</w:t>
            </w:r>
            <w:r>
              <w:t xml:space="preserve"> &gt; 0</w:t>
            </w:r>
          </w:p>
        </w:tc>
      </w:tr>
      <w:tr w:rsidR="00E52964" w14:paraId="060909FE" w14:textId="77777777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9F2F1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Value orientation (</w:t>
            </w:r>
            <w:proofErr w:type="spellStart"/>
            <w:r>
              <w:rPr>
                <w:i/>
              </w:rPr>
              <w:t>w</w:t>
            </w:r>
            <w:r>
              <w:rPr>
                <w:vertAlign w:val="subscript"/>
              </w:rPr>
              <w:t>v</w:t>
            </w:r>
            <w:proofErr w:type="spellEnd"/>
            <w:r>
              <w:t>)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9C823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Extent to which evaluation documents explicitly reference the institutional mission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FD696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Raises A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7F33C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Aligning metrics with the mission credits hard-to-quantify outputs (teaching, service, interdisciplinarity), lifting the benefit ceiling.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B2E39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∂A/∂</w:t>
            </w:r>
            <w:proofErr w:type="spellStart"/>
            <w:r>
              <w:rPr>
                <w:i/>
              </w:rPr>
              <w:t>w</w:t>
            </w:r>
            <w:r>
              <w:rPr>
                <w:vertAlign w:val="subscript"/>
              </w:rPr>
              <w:t>v</w:t>
            </w:r>
            <w:proofErr w:type="spellEnd"/>
            <w:r>
              <w:t xml:space="preserve"> &gt; 0</w:t>
            </w:r>
          </w:p>
        </w:tc>
      </w:tr>
      <w:tr w:rsidR="00E52964" w14:paraId="421A7DC8" w14:textId="77777777">
        <w:trPr>
          <w:jc w:val="center"/>
        </w:trPr>
        <w:tc>
          <w:tcPr>
            <w:tcW w:w="72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0FB1D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Procedural justice (</w:t>
            </w:r>
            <w:proofErr w:type="spellStart"/>
            <w:r>
              <w:rPr>
                <w:i/>
              </w:rPr>
              <w:t>w</w:t>
            </w:r>
            <w:r>
              <w:rPr>
                <w:vertAlign w:val="subscript"/>
              </w:rPr>
              <w:t>j</w:t>
            </w:r>
            <w:proofErr w:type="spellEnd"/>
            <w:r>
              <w:t>)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E56F6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Transparent appeal mechanisms and faculty representation on evaluation committees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AE386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 xml:space="preserve">Reduces </w:t>
            </w:r>
            <w:r>
              <w:rPr>
                <w:i/>
              </w:rPr>
              <w:t>B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76273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Voice and transparent criteria mitigate resentment, resistance, and administrative friction.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8964B" w14:textId="77777777" w:rsidR="00E52964" w:rsidRDefault="00000000">
            <w:pPr>
              <w:keepNext/>
              <w:snapToGrid w:val="0"/>
              <w:spacing w:after="0" w:line="240" w:lineRule="auto"/>
              <w:jc w:val="center"/>
            </w:pPr>
            <w:r>
              <w:t>∂</w:t>
            </w:r>
            <w:r>
              <w:rPr>
                <w:i/>
              </w:rPr>
              <w:t>B</w:t>
            </w:r>
            <w:r>
              <w:t>/∂</w:t>
            </w:r>
            <w:proofErr w:type="spellStart"/>
            <w:r>
              <w:rPr>
                <w:i/>
              </w:rPr>
              <w:t>w</w:t>
            </w:r>
            <w:r>
              <w:rPr>
                <w:vertAlign w:val="subscript"/>
              </w:rPr>
              <w:t>j</w:t>
            </w:r>
            <w:proofErr w:type="spellEnd"/>
            <w:r>
              <w:t xml:space="preserve"> &lt; 0</w:t>
            </w:r>
          </w:p>
        </w:tc>
      </w:tr>
    </w:tbl>
    <w:p w14:paraId="0D895C05" w14:textId="77777777" w:rsidR="004D47BF" w:rsidRDefault="004D47BF">
      <w:pPr>
        <w:rPr>
          <w:rFonts w:eastAsia="宋体"/>
          <w:lang w:eastAsia="zh-CN"/>
        </w:rPr>
      </w:pPr>
    </w:p>
    <w:p w14:paraId="0D5846E3" w14:textId="277D5096" w:rsidR="00E52964" w:rsidRDefault="00000000">
      <w:r>
        <w:t>A.2 Bivariate marginal conditions and sub-dimension decomposition (</w:t>
      </w:r>
      <w:proofErr w:type="spellStart"/>
      <w:r>
        <w:t>Eqs</w:t>
      </w:r>
      <w:proofErr w:type="spellEnd"/>
      <w:r>
        <w:t>. 12–15; main text §3.3).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8496"/>
        <w:gridCol w:w="864"/>
      </w:tblGrid>
      <w:tr w:rsidR="00502622" w14:paraId="7A5E3BE6" w14:textId="77777777">
        <w:trPr>
          <w:jc w:val="center"/>
        </w:trPr>
        <w:tc>
          <w:tcPr>
            <w:tcW w:w="8496" w:type="dxa"/>
          </w:tcPr>
          <w:p w14:paraId="0EA43528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∂U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∂k</m:t>
                    </m:r>
                  </m:den>
                </m:f>
                <m:r>
                  <w:rPr>
                    <w:rFonts w:ascii="Cambria Math" w:hAnsi="Cambria Math" w:cs="Cambria Math"/>
                  </w:rPr>
                  <m:t xml:space="preserve"> = A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</m:d>
                <m:r>
                  <w:rPr>
                    <w:rFonts w:ascii="Cambria Math" w:hAnsi="Cambria Math"/>
                  </w:rPr>
                  <m:t>α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-αk</m:t>
                    </m:r>
                  </m:sup>
                </m:sSup>
                <m:r>
                  <w:rPr>
                    <w:rFonts w:ascii="Cambria Math" w:hAnsi="Cambria Math" w:cs="Cambria Math"/>
                  </w:rPr>
                  <m:t xml:space="preserve"> -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m>
                      <m:mPr>
                        <m:plcHide m:val="1"/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Cambria Math"/>
                            </w:rPr>
                            <m:t>B,</m:t>
                          </m:r>
                        </m:e>
                        <m:e>
                          <m:r>
                            <w:rPr>
                              <w:rFonts w:ascii="Cambria Math" w:hAnsi="Cambria Math" w:cs="Cambria Math"/>
                            </w:rPr>
                            <m:t xml:space="preserve">k ≤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mbria Math"/>
                                </w:rPr>
                                <m:t>0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w</m:t>
                              </m:r>
                            </m:e>
                          </m:d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Cambria Math"/>
                            </w:rPr>
                            <m:t>B + C</m:t>
                          </m:r>
                          <m:r>
                            <w:rPr>
                              <w:rFonts w:ascii="Cambria Math" w:hAnsi="Cambria Math"/>
                            </w:rPr>
                            <m:t>β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Cambria Math"/>
                                    </w:rPr>
                                    <m:t>k-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Cambria Math"/>
                                        </w:rPr>
                                        <m:t>0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</w:rPr>
                                        <m:t>w</m:t>
                                      </m:r>
                                    </m:e>
                                  </m:d>
                                </m:e>
                              </m:d>
                            </m:sup>
                          </m:sSup>
                          <m:r>
                            <w:rPr>
                              <w:rFonts w:ascii="Cambria Math" w:hAnsi="Cambria Math" w:cs="Cambria Math"/>
                            </w:rPr>
                            <m:t>,</m:t>
                          </m:r>
                        </m:e>
                        <m:e>
                          <m:r>
                            <w:rPr>
                              <w:rFonts w:ascii="Cambria Math" w:hAnsi="Cambria Math" w:cs="Cambria Math"/>
                            </w:rPr>
                            <m:t xml:space="preserve">k &gt;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mbria Math"/>
                                </w:rPr>
                                <m:t>0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w</m:t>
                              </m:r>
                            </m:e>
                          </m:d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864" w:type="dxa"/>
          </w:tcPr>
          <w:p w14:paraId="4C97E5F8" w14:textId="77777777" w:rsidR="00000000" w:rsidRDefault="00000000">
            <w:pPr>
              <w:spacing w:line="360" w:lineRule="auto"/>
              <w:jc w:val="right"/>
            </w:pPr>
            <w:r>
              <w:t>(12)</w:t>
            </w:r>
          </w:p>
        </w:tc>
      </w:tr>
      <w:tr w:rsidR="00502622" w14:paraId="5B17FEFF" w14:textId="77777777">
        <w:trPr>
          <w:jc w:val="center"/>
        </w:trPr>
        <w:tc>
          <w:tcPr>
            <w:tcW w:w="8496" w:type="dxa"/>
          </w:tcPr>
          <w:p w14:paraId="0C2CDA79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∂U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∂w</m:t>
                    </m:r>
                  </m:den>
                </m:f>
                <m:r>
                  <w:rPr>
                    <w:rFonts w:ascii="Cambria Math" w:hAnsi="Cambria Math" w:cs="Cambria Math"/>
                  </w:rPr>
                  <m:t xml:space="preserve"> = </m:t>
                </m:r>
                <m:r>
                  <w:rPr>
                    <w:rFonts w:ascii="Cambria Math" w:hAnsi="Cambria Math"/>
                  </w:rPr>
                  <m:t>δ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 xml:space="preserve">1 - 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-αk</m:t>
                        </m:r>
                      </m:sup>
                    </m:sSup>
                  </m:e>
                </m:d>
                <m:r>
                  <w:rPr>
                    <w:rFonts w:ascii="Cambria Math" w:hAnsi="Cambria Math" w:cs="Cambria Math"/>
                  </w:rPr>
                  <m:t xml:space="preserve"> +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m>
                      <m:mPr>
                        <m:plcHide m:val="1"/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Cambria Math"/>
                            </w:rPr>
                            <m:t>0,</m:t>
                          </m:r>
                        </m:e>
                        <m:e>
                          <m:r>
                            <w:rPr>
                              <w:rFonts w:ascii="Cambria Math" w:hAnsi="Cambria Math" w:cs="Cambria Math"/>
                            </w:rPr>
                            <m:t xml:space="preserve">k ≤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mbria Math"/>
                                </w:rPr>
                                <m:t>0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w</m:t>
                              </m:r>
                            </m:e>
                          </m:d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Cambria Math"/>
                            </w:rPr>
                            <m:t>C</m:t>
                          </m:r>
                          <m:r>
                            <w:rPr>
                              <w:rFonts w:ascii="Cambria Math" w:hAnsi="Cambria Math"/>
                            </w:rPr>
                            <m:t>β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mbria Math"/>
                                </w:rPr>
                                <m:t>00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γ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Cambria Math"/>
                                    </w:rPr>
                                    <m:t>k-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Cambria Math"/>
                                        </w:rPr>
                                        <m:t>0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</w:rPr>
                                        <m:t>w</m:t>
                                      </m:r>
                                    </m:e>
                                  </m:d>
                                </m:e>
                              </m:d>
                            </m:sup>
                          </m:sSup>
                          <m:r>
                            <w:rPr>
                              <w:rFonts w:ascii="Cambria Math" w:hAnsi="Cambria Math" w:cs="Cambria Math"/>
                            </w:rPr>
                            <m:t>,</m:t>
                          </m:r>
                        </m:e>
                        <m:e>
                          <m:r>
                            <w:rPr>
                              <w:rFonts w:ascii="Cambria Math" w:hAnsi="Cambria Math" w:cs="Cambria Math"/>
                            </w:rPr>
                            <m:t xml:space="preserve">k &gt;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mbria Math"/>
                                </w:rPr>
                                <m:t>0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Cambria Math"/>
                                </w:rPr>
                                <m:t>w</m:t>
                              </m:r>
                            </m:e>
                          </m:d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864" w:type="dxa"/>
          </w:tcPr>
          <w:p w14:paraId="2FC6076F" w14:textId="77777777" w:rsidR="00000000" w:rsidRDefault="00000000">
            <w:pPr>
              <w:spacing w:line="360" w:lineRule="auto"/>
              <w:jc w:val="right"/>
            </w:pPr>
            <w:r>
              <w:t>(13)</w:t>
            </w:r>
          </w:p>
        </w:tc>
      </w:tr>
      <w:tr w:rsidR="00502622" w14:paraId="5B5E0951" w14:textId="77777777">
        <w:trPr>
          <w:jc w:val="center"/>
        </w:trPr>
        <w:tc>
          <w:tcPr>
            <w:tcW w:w="8496" w:type="dxa"/>
          </w:tcPr>
          <w:p w14:paraId="429E5607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 xml:space="preserve">w =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≥ 0, w ≤ 1</m:t>
                </m:r>
              </m:oMath>
            </m:oMathPara>
          </w:p>
        </w:tc>
        <w:tc>
          <w:tcPr>
            <w:tcW w:w="864" w:type="dxa"/>
          </w:tcPr>
          <w:p w14:paraId="4F5718C4" w14:textId="77777777" w:rsidR="00000000" w:rsidRDefault="00000000">
            <w:pPr>
              <w:spacing w:line="360" w:lineRule="auto"/>
              <w:jc w:val="right"/>
            </w:pPr>
            <w:r>
              <w:t>(14)</w:t>
            </w:r>
          </w:p>
        </w:tc>
      </w:tr>
      <w:tr w:rsidR="00502622" w14:paraId="5FFA0A82" w14:textId="77777777">
        <w:trPr>
          <w:jc w:val="center"/>
        </w:trPr>
        <w:tc>
          <w:tcPr>
            <w:tcW w:w="8496" w:type="dxa"/>
          </w:tcPr>
          <w:p w14:paraId="41985AC4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 w:cs="Cambria Math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Cambria Math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j</m:t>
                        </m:r>
                      </m:sub>
                    </m:sSub>
                  </m:e>
                </m:d>
                <m:r>
                  <w:rPr>
                    <w:rFonts w:ascii="Cambria Math" w:hAnsi="Cambria Math" w:cs="Cambria Math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00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 xml:space="preserve">1 +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 w:cs="Cambria Math"/>
                      </w:rPr>
                      <m:t xml:space="preserve"> +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v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Cambria Math"/>
                      </w:rPr>
                      <m:t xml:space="preserve"> +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j</m:t>
                        </m:r>
                      </m:sub>
                    </m:sSub>
                  </m:e>
                </m:d>
                <m:r>
                  <w:rPr>
                    <w:rFonts w:ascii="Cambria Math" w:hAnsi="Cambria Math" w:cs="Cambria Math"/>
                  </w:rPr>
                  <m:t>, A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 w:cs="Cambria Math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Cambria Math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j</m:t>
                        </m:r>
                      </m:sub>
                    </m:sSub>
                  </m:e>
                </m:d>
                <m:r>
                  <w:rPr>
                    <w:rFonts w:ascii="Cambria Math" w:hAnsi="Cambria Math" w:cs="Cambria Math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v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j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j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>, B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j</m:t>
                        </m:r>
                      </m:sub>
                    </m:sSub>
                  </m:e>
                </m:d>
                <m:r>
                  <w:rPr>
                    <w:rFonts w:ascii="Cambria Math" w:hAnsi="Cambria Math" w:cs="Cambria Math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Cambria Math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j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864" w:type="dxa"/>
          </w:tcPr>
          <w:p w14:paraId="0CDEF217" w14:textId="77777777" w:rsidR="00000000" w:rsidRDefault="00000000">
            <w:pPr>
              <w:spacing w:line="360" w:lineRule="auto"/>
              <w:jc w:val="right"/>
            </w:pPr>
            <w:r>
              <w:t>(15)</w:t>
            </w:r>
          </w:p>
        </w:tc>
      </w:tr>
    </w:tbl>
    <w:p w14:paraId="1672193C" w14:textId="77777777" w:rsidR="00E52964" w:rsidRDefault="00000000">
      <w:pPr>
        <w:pStyle w:val="1"/>
      </w:pPr>
      <w:r>
        <w:t>5. Robustness of threshold activation: Heaviside step versus smooth logistic transition</w:t>
      </w:r>
    </w:p>
    <w:p w14:paraId="323EDDE0" w14:textId="77777777" w:rsidR="00E52964" w:rsidRDefault="00000000">
      <w:pPr>
        <w:spacing w:after="120"/>
      </w:pPr>
      <w:r>
        <w:t>The dysfunction cost in Equation (2) and the drift velocity in Equation (17) use the Heaviside step Θ(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), which jumps from 0 to 1 at 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. The main </w:t>
      </w:r>
      <w:r>
        <w:rPr>
          <w:i/>
        </w:rPr>
        <w:t>text</w:t>
      </w:r>
      <w:r>
        <w:t xml:space="preserve"> (§3.4) notes that this is a parsimonious device; this section shows that replacing it by a smooth transition leaves every qualitative prediction unchanged.</w:t>
      </w:r>
    </w:p>
    <w:p w14:paraId="30D2B45D" w14:textId="77777777" w:rsidR="00E52964" w:rsidRDefault="00000000">
      <w:pPr>
        <w:spacing w:after="120"/>
      </w:pPr>
      <w:r>
        <w:t xml:space="preserve">Define the logistic transition of width </w:t>
      </w:r>
      <w:r>
        <w:rPr>
          <w:i/>
        </w:rPr>
        <w:t>τ</w:t>
      </w:r>
      <w:r>
        <w:t>&gt;0:</w:t>
      </w:r>
    </w:p>
    <w:p w14:paraId="1E5E3365" w14:textId="77777777" w:rsidR="00E52964" w:rsidRDefault="00000000">
      <w:pPr>
        <w:jc w:val="center"/>
      </w:pPr>
      <w:r>
        <w:t>σ((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>)/</w:t>
      </w:r>
      <w:r>
        <w:rPr>
          <w:i/>
        </w:rPr>
        <w:t>τ</w:t>
      </w:r>
      <w:r>
        <w:t>) = 1 / (1 + exp[−(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>)/</w:t>
      </w:r>
      <w:r>
        <w:rPr>
          <w:i/>
        </w:rPr>
        <w:t>τ</w:t>
      </w:r>
      <w:r>
        <w:t>])</w:t>
      </w:r>
    </w:p>
    <w:p w14:paraId="1EE67AD7" w14:textId="77777777" w:rsidR="00E52964" w:rsidRDefault="00000000">
      <w:pPr>
        <w:spacing w:after="120"/>
      </w:pPr>
      <w:r>
        <w:lastRenderedPageBreak/>
        <w:t xml:space="preserve">As </w:t>
      </w:r>
      <w:r>
        <w:rPr>
          <w:i/>
        </w:rPr>
        <w:t>τ</w:t>
      </w:r>
      <w:r>
        <w:t>→0, σ((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>)/</w:t>
      </w:r>
      <w:r>
        <w:rPr>
          <w:i/>
        </w:rPr>
        <w:t>τ</w:t>
      </w:r>
      <w:r>
        <w:t xml:space="preserve">) converges to Θ pointwise </w:t>
      </w:r>
      <w:r>
        <w:rPr>
          <w:i/>
        </w:rPr>
        <w:t>except</w:t>
      </w:r>
      <w:r>
        <w:t xml:space="preserve"> at </w:t>
      </w:r>
      <w:r>
        <w:rPr>
          <w:i/>
        </w:rPr>
        <w:t>k</w:t>
      </w:r>
      <w:r>
        <w:t>=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; for finite </w:t>
      </w:r>
      <w:r>
        <w:rPr>
          <w:i/>
        </w:rPr>
        <w:t>τ</w:t>
      </w:r>
      <w:r>
        <w:t xml:space="preserve"> the activation rises smoothly over a boundary layer of width O(τ) around the threshold. Two consequences follow.</w:t>
      </w:r>
    </w:p>
    <w:p w14:paraId="0B035915" w14:textId="77777777" w:rsidR="00E52964" w:rsidRDefault="00000000">
      <w:pPr>
        <w:spacing w:after="120"/>
      </w:pPr>
      <w:r>
        <w:t xml:space="preserve">First, in the dysfunction cost the exponential term </w:t>
      </w:r>
      <w:r>
        <w:rPr>
          <w:i/>
        </w:rPr>
        <w:t>C</w:t>
      </w:r>
      <w:r>
        <w:t>(</w:t>
      </w:r>
      <w:r>
        <w:rPr>
          <w:i/>
        </w:rPr>
        <w:t>e</w:t>
      </w:r>
      <w:r>
        <w:rPr>
          <w:i/>
          <w:vertAlign w:val="superscript"/>
        </w:rPr>
        <w:t>β</w:t>
      </w:r>
      <w:r>
        <w:rPr>
          <w:vertAlign w:val="superscript"/>
        </w:rPr>
        <w:t>(</w:t>
      </w:r>
      <w:r>
        <w:rPr>
          <w:i/>
          <w:vertAlign w:val="superscript"/>
        </w:rPr>
        <w:t>k</w:t>
      </w:r>
      <w:r>
        <w:rPr>
          <w:vertAlign w:val="superscript"/>
        </w:rPr>
        <w:t>−</w:t>
      </w:r>
      <w:r>
        <w:rPr>
          <w:i/>
          <w:vertAlign w:val="superscript"/>
        </w:rPr>
        <w:t>k</w:t>
      </w:r>
      <w:r>
        <w:rPr>
          <w:vertAlign w:val="subscript"/>
        </w:rPr>
        <w:t>0</w:t>
      </w:r>
      <w:r>
        <w:rPr>
          <w:vertAlign w:val="superscript"/>
        </w:rPr>
        <w:t>)</w:t>
      </w:r>
      <w:r>
        <w:t>−1) is weighted by σ((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>)/</w:t>
      </w:r>
      <w:r>
        <w:rPr>
          <w:i/>
        </w:rPr>
        <w:t>τ</w:t>
      </w:r>
      <w:r>
        <w:t xml:space="preserve">) rather than switched on by Θ. The cost remains continuous and convex on either side of the boundary layer, and marginal cost stays positive and rising with </w:t>
      </w:r>
      <w:r>
        <w:rPr>
          <w:i/>
        </w:rPr>
        <w:t>k</w:t>
      </w:r>
      <w:r>
        <w:t xml:space="preserve">. The first-order condition in the second segment changes quantitatively but retains its sign structure, so an interior optimum with </w:t>
      </w:r>
      <w:r>
        <w:rPr>
          <w:i/>
        </w:rPr>
        <w:t>U</w:t>
      </w:r>
      <w:r>
        <w:t>′(</w:t>
      </w:r>
      <w:r>
        <w:rPr>
          <w:i/>
        </w:rPr>
        <w:t>k</w:t>
      </w:r>
      <w:r>
        <w:t>)=0 exists wherever it did under the step specification.</w:t>
      </w:r>
    </w:p>
    <w:p w14:paraId="1A7D3F57" w14:textId="77777777" w:rsidR="00E52964" w:rsidRDefault="00000000">
      <w:pPr>
        <w:spacing w:after="120"/>
      </w:pPr>
      <w:r>
        <w:t xml:space="preserve">Second, the drift becomes </w:t>
      </w:r>
      <w:r>
        <w:rPr>
          <w:i/>
        </w:rPr>
        <w:t>v</w:t>
      </w:r>
      <w:r>
        <w:t>(</w:t>
      </w:r>
      <w:proofErr w:type="spellStart"/>
      <w:r>
        <w:rPr>
          <w:i/>
        </w:rPr>
        <w:t>x</w:t>
      </w:r>
      <w:r>
        <w:t>,</w:t>
      </w:r>
      <w:r>
        <w:rPr>
          <w:i/>
        </w:rPr>
        <w:t>k</w:t>
      </w:r>
      <w:r>
        <w:t>,</w:t>
      </w:r>
      <w:r>
        <w:rPr>
          <w:i/>
        </w:rPr>
        <w:t>w</w:t>
      </w:r>
      <w:proofErr w:type="spellEnd"/>
      <w:r>
        <w:t>) = −</w:t>
      </w:r>
      <w:proofErr w:type="spellStart"/>
      <w:r>
        <w:rPr>
          <w:i/>
        </w:rPr>
        <w:t>μk</w:t>
      </w:r>
      <w:r>
        <w:t>·</w:t>
      </w:r>
      <w:r>
        <w:rPr>
          <w:i/>
        </w:rPr>
        <w:t>x</w:t>
      </w:r>
      <w:proofErr w:type="spellEnd"/>
      <w:r>
        <w:t>(1−</w:t>
      </w:r>
      <w:r>
        <w:rPr>
          <w:i/>
        </w:rPr>
        <w:t>x</w:t>
      </w:r>
      <w:r>
        <w:t>)·σ((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>(</w:t>
      </w:r>
      <w:r>
        <w:rPr>
          <w:i/>
        </w:rPr>
        <w:t>w</w:t>
      </w:r>
      <w:r>
        <w:t>))/</w:t>
      </w:r>
      <w:r>
        <w:rPr>
          <w:i/>
        </w:rPr>
        <w:t>τ</w:t>
      </w:r>
      <w:r>
        <w:t>). Drift no longer switches on abruptly but grows smoothly from zero; for (</w:t>
      </w:r>
      <w:r>
        <w:rPr>
          <w:i/>
        </w:rPr>
        <w:t>k</w:t>
      </w:r>
      <w:r>
        <w:t>−</w:t>
      </w:r>
      <w:r>
        <w:rPr>
          <w:i/>
        </w:rPr>
        <w:t>k</w:t>
      </w:r>
      <w:r>
        <w:rPr>
          <w:vertAlign w:val="subscript"/>
        </w:rPr>
        <w:t>0</w:t>
      </w:r>
      <w:r>
        <w:t>(</w:t>
      </w:r>
      <w:r>
        <w:rPr>
          <w:i/>
        </w:rPr>
        <w:t>w</w:t>
      </w:r>
      <w:r>
        <w:t>))/</w:t>
      </w:r>
      <w:r>
        <w:rPr>
          <w:i/>
        </w:rPr>
        <w:t>τ</w:t>
      </w:r>
      <w:r>
        <w:t xml:space="preserve"> ≫ 1, σ(·)≈1 and the drift equals its Heaviside magnitude. The steady-state balance </w:t>
      </w:r>
      <w:r>
        <w:rPr>
          <w:i/>
        </w:rPr>
        <w:t>D</w:t>
      </w:r>
      <w:r>
        <w:t xml:space="preserve"> </w:t>
      </w:r>
      <w:r>
        <w:rPr>
          <w:i/>
        </w:rPr>
        <w:t>e</w:t>
      </w:r>
      <w:r>
        <w:rPr>
          <w:vertAlign w:val="superscript"/>
        </w:rPr>
        <w:t>*</w:t>
      </w:r>
      <w:r>
        <w:t xml:space="preserve">' = </w:t>
      </w:r>
      <w:r>
        <w:rPr>
          <w:i/>
        </w:rPr>
        <w:t>v</w:t>
      </w:r>
      <w:r>
        <w:t xml:space="preserve"> </w:t>
      </w:r>
      <w:r>
        <w:rPr>
          <w:i/>
        </w:rPr>
        <w:t>e</w:t>
      </w:r>
      <w:r>
        <w:rPr>
          <w:vertAlign w:val="superscript"/>
        </w:rPr>
        <w:t>*</w:t>
      </w:r>
      <w:r>
        <w:t xml:space="preserve"> still admits a solution whose mass shifts toward low </w:t>
      </w:r>
      <w:r>
        <w:rPr>
          <w:i/>
        </w:rPr>
        <w:t>x</w:t>
      </w:r>
      <w:r>
        <w:t xml:space="preserve"> </w:t>
      </w:r>
      <w:proofErr w:type="spellStart"/>
      <w:r>
        <w:t xml:space="preserve">as </w:t>
      </w:r>
      <w:r>
        <w:rPr>
          <w:i/>
        </w:rPr>
        <w:t>k</w:t>
      </w:r>
      <w:proofErr w:type="spellEnd"/>
      <w:r>
        <w:t xml:space="preserve"> rises, with the same exponential shape as Equation (26), now weighted by σ(·).</w:t>
      </w:r>
    </w:p>
    <w:p w14:paraId="51F3B5BC" w14:textId="77777777" w:rsidR="00E52964" w:rsidRDefault="00000000">
      <w:pPr>
        <w:spacing w:after="120"/>
      </w:pPr>
      <w:r>
        <w:t>Three predictions are therefore robust to smoothing: (</w:t>
      </w:r>
      <w:proofErr w:type="spellStart"/>
      <w:r>
        <w:t>i</w:t>
      </w:r>
      <w:proofErr w:type="spellEnd"/>
      <w:r>
        <w:t xml:space="preserve">) drift direction remains toward </w:t>
      </w:r>
      <w:r>
        <w:rPr>
          <w:i/>
        </w:rPr>
        <w:t>x</w:t>
      </w:r>
      <w:r>
        <w:t xml:space="preserve">=0 because </w:t>
      </w:r>
      <w:r>
        <w:rPr>
          <w:i/>
        </w:rPr>
        <w:t>v</w:t>
      </w:r>
      <w:r>
        <w:t xml:space="preserve">≤0 for all </w:t>
      </w:r>
      <w:r>
        <w:rPr>
          <w:i/>
        </w:rPr>
        <w:t>x</w:t>
      </w:r>
      <w:r>
        <w:t xml:space="preserve">∈(0,1) regardless of </w:t>
      </w:r>
      <w:r>
        <w:rPr>
          <w:i/>
        </w:rPr>
        <w:t>τ</w:t>
      </w:r>
      <w:r>
        <w:t xml:space="preserve">; (ii) the divergence between </w:t>
      </w:r>
      <w:r>
        <w:rPr>
          <w:i/>
        </w:rPr>
        <w:t>V</w:t>
      </w:r>
      <w:r>
        <w:t>(</w:t>
      </w:r>
      <w:r>
        <w:rPr>
          <w:i/>
        </w:rPr>
        <w:t>t</w:t>
      </w:r>
      <w:r>
        <w:t xml:space="preserve">)=∫ </w:t>
      </w:r>
      <w:r>
        <w:rPr>
          <w:i/>
        </w:rPr>
        <w:t>x</w:t>
      </w:r>
      <w:r>
        <w:t xml:space="preserve"> </w:t>
      </w:r>
      <w:r>
        <w:rPr>
          <w:i/>
        </w:rPr>
        <w:t>e</w:t>
      </w:r>
      <w:r>
        <w:t xml:space="preserve"> dx and </w:t>
      </w:r>
      <w:r>
        <w:rPr>
          <w:i/>
        </w:rPr>
        <w:t>M</w:t>
      </w:r>
      <w:r>
        <w:t>(</w:t>
      </w:r>
      <w:r>
        <w:rPr>
          <w:i/>
        </w:rPr>
        <w:t>t</w:t>
      </w:r>
      <w:r>
        <w:t>)=1−</w:t>
      </w:r>
      <w:r>
        <w:rPr>
          <w:i/>
        </w:rPr>
        <w:t>V</w:t>
      </w:r>
      <w:r>
        <w:t>(</w:t>
      </w:r>
      <w:r>
        <w:rPr>
          <w:i/>
        </w:rPr>
        <w:t>t</w:t>
      </w:r>
      <w:r>
        <w:t xml:space="preserve">) persists above threshold, because any positive drift biases the distribution toward low </w:t>
      </w:r>
      <w:r>
        <w:rPr>
          <w:i/>
        </w:rPr>
        <w:t>x</w:t>
      </w:r>
      <w:r>
        <w:t xml:space="preserve">; and (iii) a rapid-transition region of width O(τ) exists around 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 for every finite </w:t>
      </w:r>
      <w:r>
        <w:rPr>
          <w:i/>
        </w:rPr>
        <w:t>τ</w:t>
      </w:r>
      <w:r>
        <w:t>. Only the sharpness of the boundary changes: a smoothed threshold predicts a gradual onset of dysfunction, which is if anything closer to observed institutional change. The Heaviside step is thus the limiting case of a family whose qualitative conclusions do not depend on the discontinuity.</w:t>
      </w:r>
    </w:p>
    <w:p w14:paraId="0D8FD1EE" w14:textId="77777777" w:rsidR="00E52964" w:rsidRDefault="00000000">
      <w:r>
        <w:t>A.3 Fokker–Planck boundary, initial, and auxiliary steady-state conditions (</w:t>
      </w:r>
      <w:proofErr w:type="spellStart"/>
      <w:r>
        <w:t>Eqs</w:t>
      </w:r>
      <w:proofErr w:type="spellEnd"/>
      <w:r>
        <w:t>. 18–23, 27–28; main text §3.4).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8506"/>
        <w:gridCol w:w="854"/>
      </w:tblGrid>
      <w:tr w:rsidR="00502622" w14:paraId="0E55947C" w14:textId="77777777">
        <w:trPr>
          <w:jc w:val="center"/>
        </w:trPr>
        <w:tc>
          <w:tcPr>
            <w:tcW w:w="8496" w:type="dxa"/>
          </w:tcPr>
          <w:p w14:paraId="617548C3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0, k, w</m:t>
                    </m:r>
                  </m:e>
                </m:d>
                <m:r>
                  <w:rPr>
                    <w:rFonts w:ascii="Cambria Math" w:hAnsi="Cambria Math" w:cs="Cambria Math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0, t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- D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∂e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∂x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0, t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0</m:t>
                </m:r>
              </m:oMath>
            </m:oMathPara>
          </w:p>
        </w:tc>
        <w:tc>
          <w:tcPr>
            <w:tcW w:w="864" w:type="dxa"/>
          </w:tcPr>
          <w:p w14:paraId="6B754E9C" w14:textId="77777777" w:rsidR="00000000" w:rsidRDefault="00000000">
            <w:pPr>
              <w:spacing w:line="360" w:lineRule="auto"/>
              <w:jc w:val="right"/>
            </w:pPr>
            <w:r>
              <w:t>(18)</w:t>
            </w:r>
          </w:p>
        </w:tc>
      </w:tr>
      <w:tr w:rsidR="00502622" w14:paraId="658500E7" w14:textId="77777777">
        <w:trPr>
          <w:jc w:val="center"/>
        </w:trPr>
        <w:tc>
          <w:tcPr>
            <w:tcW w:w="8496" w:type="dxa"/>
          </w:tcPr>
          <w:p w14:paraId="042E1C69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1, k, w</m:t>
                    </m:r>
                  </m:e>
                </m:d>
                <m:r>
                  <w:rPr>
                    <w:rFonts w:ascii="Cambria Math" w:hAnsi="Cambria Math" w:cs="Cambria Math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1, t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- D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∂e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∂x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1, t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0</m:t>
                </m:r>
              </m:oMath>
            </m:oMathPara>
          </w:p>
        </w:tc>
        <w:tc>
          <w:tcPr>
            <w:tcW w:w="864" w:type="dxa"/>
          </w:tcPr>
          <w:p w14:paraId="7804A6EE" w14:textId="77777777" w:rsidR="00000000" w:rsidRDefault="00000000">
            <w:pPr>
              <w:spacing w:line="360" w:lineRule="auto"/>
              <w:jc w:val="right"/>
            </w:pPr>
            <w:r>
              <w:t>(19)</w:t>
            </w:r>
          </w:p>
        </w:tc>
      </w:tr>
      <w:tr w:rsidR="00502622" w14:paraId="7939C71D" w14:textId="77777777">
        <w:trPr>
          <w:jc w:val="center"/>
        </w:trPr>
        <w:tc>
          <w:tcPr>
            <w:tcW w:w="8496" w:type="dxa"/>
          </w:tcPr>
          <w:p w14:paraId="3A809548" w14:textId="77777777" w:rsidR="00000000" w:rsidRDefault="00000000">
            <w:pPr>
              <w:spacing w:before="40" w:after="40"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x, 0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Z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λ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1 - x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864" w:type="dxa"/>
          </w:tcPr>
          <w:p w14:paraId="71EBAC31" w14:textId="77777777" w:rsidR="00000000" w:rsidRDefault="00000000">
            <w:pPr>
              <w:spacing w:line="360" w:lineRule="auto"/>
              <w:jc w:val="right"/>
            </w:pPr>
            <w:r>
              <w:t>(20)</w:t>
            </w:r>
          </w:p>
        </w:tc>
      </w:tr>
      <w:tr w:rsidR="00502622" w14:paraId="61C58E81" w14:textId="77777777">
        <w:trPr>
          <w:jc w:val="center"/>
        </w:trPr>
        <w:tc>
          <w:tcPr>
            <w:tcW w:w="8640" w:type="dxa"/>
          </w:tcPr>
          <w:p w14:paraId="3898925B" w14:textId="77777777" w:rsidR="00000000" w:rsidRDefault="00000000">
            <w:pPr>
              <w:spacing w:line="36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∂e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∂t</m:t>
                    </m:r>
                  </m:den>
                </m:f>
                <m:r>
                  <w:rPr>
                    <w:rFonts w:ascii="Cambria Math" w:hAnsi="Cambria Math" w:cs="Cambria Math"/>
                  </w:rPr>
                  <m:t xml:space="preserve"> = D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Cambria Math"/>
                      </w:rPr>
                      <m:t>e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20" w:type="dxa"/>
          </w:tcPr>
          <w:p w14:paraId="50337969" w14:textId="77777777" w:rsidR="00000000" w:rsidRDefault="00000000">
            <w:pPr>
              <w:spacing w:line="360" w:lineRule="auto"/>
              <w:jc w:val="right"/>
            </w:pPr>
            <w:r>
              <w:t>(21)</w:t>
            </w:r>
          </w:p>
        </w:tc>
      </w:tr>
      <w:tr w:rsidR="00502622" w14:paraId="0C548C0E" w14:textId="77777777">
        <w:trPr>
          <w:jc w:val="center"/>
        </w:trPr>
        <w:tc>
          <w:tcPr>
            <w:tcW w:w="8640" w:type="dxa"/>
          </w:tcPr>
          <w:p w14:paraId="72F8D123" w14:textId="77777777" w:rsidR="00000000" w:rsidRDefault="00000000">
            <w:pPr>
              <w:spacing w:line="360" w:lineRule="auto"/>
              <w:jc w:val="center"/>
            </w:pPr>
            <m:oMathPara>
              <m:oMath>
                <m:r>
                  <w:rPr>
                    <w:rFonts w:ascii="Cambria Math" w:hAnsi="Cambria Math" w:cs="Cambria Math"/>
                  </w:rPr>
                  <m:t>0 = 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dx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v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mbria Math"/>
                          </w:rPr>
                          <m:t>x,k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*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mbria Math"/>
                          </w:rPr>
                          <m:t>x</m:t>
                        </m:r>
                      </m:e>
                    </m:d>
                  </m:e>
                </m:d>
                <m:r>
                  <w:rPr>
                    <w:rFonts w:ascii="Cambria Math" w:hAnsi="Cambria Math" w:cs="Cambria Math"/>
                  </w:rPr>
                  <m:t xml:space="preserve"> + D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*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20" w:type="dxa"/>
          </w:tcPr>
          <w:p w14:paraId="4E7C2998" w14:textId="77777777" w:rsidR="00000000" w:rsidRDefault="00000000">
            <w:pPr>
              <w:spacing w:line="360" w:lineRule="auto"/>
              <w:jc w:val="right"/>
            </w:pPr>
            <w:r>
              <w:t>(22)</w:t>
            </w:r>
          </w:p>
        </w:tc>
      </w:tr>
      <w:tr w:rsidR="00502622" w14:paraId="56C5A21D" w14:textId="77777777">
        <w:trPr>
          <w:jc w:val="center"/>
        </w:trPr>
        <w:tc>
          <w:tcPr>
            <w:tcW w:w="8640" w:type="dxa"/>
          </w:tcPr>
          <w:p w14:paraId="228DB4C7" w14:textId="77777777" w:rsidR="00000000" w:rsidRDefault="00000000">
            <w:pPr>
              <w:spacing w:line="360" w:lineRule="auto"/>
              <w:jc w:val="center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</w:rPr>
                          <m:t>*</m:t>
                        </m:r>
                      </m:sup>
                    </m:sSup>
                  </m:e>
                </m:acc>
                <m:r>
                  <w:rPr>
                    <w:rFonts w:ascii="Cambria Math" w:hAnsi="Cambria Math" w:cs="Cambria Math"/>
                  </w:rPr>
                  <m:t xml:space="preserve"> = </m:t>
                </m:r>
                <m:nary>
                  <m:naryPr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 w:cs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Cambria Math"/>
                      </w:rPr>
                      <m:t>1</m:t>
                    </m:r>
                  </m:sup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*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Cambria Math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720" w:type="dxa"/>
          </w:tcPr>
          <w:p w14:paraId="315CF8E8" w14:textId="77777777" w:rsidR="00000000" w:rsidRDefault="00000000">
            <w:pPr>
              <w:spacing w:line="360" w:lineRule="auto"/>
              <w:jc w:val="right"/>
            </w:pPr>
            <w:r>
              <w:t>(23)</w:t>
            </w:r>
          </w:p>
        </w:tc>
      </w:tr>
      <w:tr w:rsidR="00502622" w14:paraId="1D475C38" w14:textId="77777777">
        <w:trPr>
          <w:jc w:val="center"/>
        </w:trPr>
        <w:tc>
          <w:tcPr>
            <w:tcW w:w="8640" w:type="dxa"/>
          </w:tcPr>
          <w:p w14:paraId="76E91776" w14:textId="77777777" w:rsidR="00000000" w:rsidRDefault="00000000">
            <w:pPr>
              <w:spacing w:line="360" w:lineRule="auto"/>
              <w:jc w:val="center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nary>
                      <m:naryPr>
                        <m:limLoc m:val="undOvr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 w:cs="Cambria Math"/>
                          </w:rPr>
                          <m:t>1</m:t>
                        </m:r>
                      </m:sup>
                      <m:e>
                        <m:r>
                          <w:rPr>
                            <w:rFonts w:ascii="Cambria Math" w:hAnsi="Cambria Math" w:cs="Cambria Math"/>
                          </w:rPr>
                          <m:t>x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</w:rPr>
                              <m:t>*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Cambria Math"/>
                          </w:rPr>
                          <m:t xml:space="preserve"> dx</m:t>
                        </m:r>
                      </m:e>
                    </m:nary>
                  </m:num>
                  <m:den>
                    <m:nary>
                      <m:naryPr>
                        <m:limLoc m:val="undOvr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 w:cs="Cambria Math"/>
                          </w:rPr>
                          <m:t>1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</w:rPr>
                              <m:t>*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Cambria Math"/>
                          </w:rPr>
                          <m:t xml:space="preserve"> dx</m:t>
                        </m:r>
                      </m:e>
                    </m:nary>
                  </m:den>
                </m:f>
              </m:oMath>
            </m:oMathPara>
          </w:p>
        </w:tc>
        <w:tc>
          <w:tcPr>
            <w:tcW w:w="720" w:type="dxa"/>
          </w:tcPr>
          <w:p w14:paraId="6735FD68" w14:textId="77777777" w:rsidR="00000000" w:rsidRDefault="00000000">
            <w:pPr>
              <w:spacing w:line="360" w:lineRule="auto"/>
              <w:jc w:val="right"/>
            </w:pPr>
            <w:r>
              <w:t>(27)</w:t>
            </w:r>
          </w:p>
        </w:tc>
      </w:tr>
      <w:tr w:rsidR="00502622" w14:paraId="432A3870" w14:textId="77777777">
        <w:trPr>
          <w:jc w:val="center"/>
        </w:trPr>
        <w:tc>
          <w:tcPr>
            <w:tcW w:w="8640" w:type="dxa"/>
          </w:tcPr>
          <w:p w14:paraId="55A9973A" w14:textId="77777777" w:rsidR="00000000" w:rsidRDefault="00000000">
            <w:pPr>
              <w:spacing w:line="360" w:lineRule="auto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 w:cs="Cambria Math"/>
                      </w:rPr>
                      <m:t>dp</m:t>
                    </m:r>
                  </m:num>
                  <m:den>
                    <m:r>
                      <w:rPr>
                        <w:rFonts w:ascii="Cambria Math" w:hAnsi="Cambria Math" w:cs="Cambria Math"/>
                      </w:rPr>
                      <m:t>dk</m:t>
                    </m:r>
                  </m:den>
                </m:f>
                <m:r>
                  <w:rPr>
                    <w:rFonts w:ascii="Cambria Math" w:hAnsi="Cambria Math" w:cs="Cambria Math"/>
                  </w:rPr>
                  <m:t xml:space="preserve"> = r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mbria Math"/>
                          </w:rPr>
                          <m:t>k</m:t>
                        </m:r>
                      </m:e>
                    </m:d>
                    <m:r>
                      <w:rPr>
                        <w:rFonts w:ascii="Cambria Math" w:hAnsi="Cambria Math" w:cs="Cambria Math"/>
                      </w:rPr>
                      <m:t xml:space="preserve"> + 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 w:cs="Cambria Math"/>
                  </w:rPr>
                  <m:t>, p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</w:rPr>
                      <m:t>k</m:t>
                    </m:r>
                  </m:e>
                </m:d>
                <m:r>
                  <w:rPr>
                    <w:rFonts w:ascii="Cambria Math" w:hAnsi="Cambria Math" w:cs="Cambria Math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Cambria Math"/>
                      </w:rPr>
                      <m:t>0</m:t>
                    </m:r>
                  </m:sub>
                </m:sSub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r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</w:rPr>
                                  <m:t>k-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Cambria Math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Cambria Math"/>
                                      </w:rPr>
                                      <m:t>0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</m:e>
                    </m:func>
                    <m:r>
                      <w:rPr>
                        <w:rFonts w:ascii="Cambria Math" w:hAnsi="Cambria Math" w:cs="Cambria Math"/>
                      </w:rPr>
                      <m:t xml:space="preserve"> - 1</m:t>
                    </m:r>
                  </m:e>
                </m:d>
              </m:oMath>
            </m:oMathPara>
          </w:p>
        </w:tc>
        <w:tc>
          <w:tcPr>
            <w:tcW w:w="720" w:type="dxa"/>
          </w:tcPr>
          <w:p w14:paraId="661B5F77" w14:textId="77777777" w:rsidR="00000000" w:rsidRDefault="00000000">
            <w:pPr>
              <w:spacing w:line="360" w:lineRule="auto"/>
              <w:jc w:val="right"/>
            </w:pPr>
            <w:r>
              <w:t>(28)</w:t>
            </w:r>
          </w:p>
        </w:tc>
      </w:tr>
    </w:tbl>
    <w:p w14:paraId="45C40338" w14:textId="77777777" w:rsidR="00E52964" w:rsidRDefault="00000000">
      <w:pPr>
        <w:pStyle w:val="1"/>
      </w:pPr>
      <w:r>
        <w:t>6. Baseline parameters and empirical anchors</w:t>
      </w:r>
    </w:p>
    <w:p w14:paraId="0BBC4FB7" w14:textId="77777777" w:rsidR="00E52964" w:rsidRDefault="00000000">
      <w:pPr>
        <w:spacing w:after="120"/>
      </w:pPr>
      <w:r>
        <w:t xml:space="preserve">The baseline values in Table S4 are </w:t>
      </w:r>
      <w:proofErr w:type="spellStart"/>
      <w:r>
        <w:t>normalised</w:t>
      </w:r>
      <w:proofErr w:type="spellEnd"/>
      <w:r>
        <w:t xml:space="preserve"> and illustrative; they demonstrate the model’s structure rather than constitute estimated quantities. Each is chosen to b</w:t>
      </w:r>
      <w:r>
        <w:rPr>
          <w:i/>
        </w:rPr>
        <w:t>e</w:t>
      </w:r>
      <w:r>
        <w:t xml:space="preserve"> consistent with the qualitative evidence reviewed in §3.5. Numerical solution of Equations (7) and (8) at the baseline yields </w:t>
      </w:r>
      <w:r>
        <w:rPr>
          <w:i/>
        </w:rPr>
        <w:t>k</w:t>
      </w:r>
      <w:r>
        <w:rPr>
          <w:vertAlign w:val="superscript"/>
        </w:rPr>
        <w:t>**</w:t>
      </w:r>
      <w:r>
        <w:t xml:space="preserve">≈0.606 and </w:t>
      </w:r>
      <w:r>
        <w:rPr>
          <w:i/>
        </w:rPr>
        <w:t>k</w:t>
      </w:r>
      <w:r>
        <w:rPr>
          <w:vertAlign w:val="subscript"/>
        </w:rPr>
        <w:t>be</w:t>
      </w:r>
      <w:r>
        <w:t>≈1.303, the values reported in Figure 1 and reproduced by the code archive (Table S6).</w:t>
      </w:r>
    </w:p>
    <w:p w14:paraId="524AE730" w14:textId="77777777" w:rsidR="00E52964" w:rsidRDefault="00000000">
      <w:r>
        <w:rPr>
          <w:b/>
        </w:rPr>
        <w:t xml:space="preserve">Table S4. Baseline parameter values and empirical anchors (main </w:t>
      </w:r>
      <w:r>
        <w:rPr>
          <w:b/>
          <w:i/>
        </w:rPr>
        <w:t>text</w:t>
      </w:r>
      <w:r>
        <w:rPr>
          <w:b/>
        </w:rPr>
        <w:t xml:space="preserve"> §3.5).</w:t>
      </w:r>
    </w:p>
    <w:tbl>
      <w:tblPr>
        <w:tblStyle w:val="af4"/>
        <w:tblW w:w="5000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873"/>
        <w:gridCol w:w="1994"/>
        <w:gridCol w:w="4824"/>
      </w:tblGrid>
      <w:tr w:rsidR="00E52964" w14:paraId="72EDBE8F" w14:textId="77777777">
        <w:trPr>
          <w:tblHeader/>
          <w:jc w:val="center"/>
        </w:trPr>
        <w:tc>
          <w:tcPr>
            <w:tcW w:w="564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3EFC3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Symbol</w:t>
            </w:r>
          </w:p>
        </w:tc>
        <w:tc>
          <w:tcPr>
            <w:tcW w:w="503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1BEB8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Baseline</w:t>
            </w:r>
          </w:p>
        </w:tc>
        <w:tc>
          <w:tcPr>
            <w:tcW w:w="1150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E5922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Definition</w:t>
            </w:r>
          </w:p>
        </w:tc>
        <w:tc>
          <w:tcPr>
            <w:tcW w:w="2781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E4159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19"/>
              </w:rPr>
            </w:pPr>
            <w:r>
              <w:rPr>
                <w:b/>
              </w:rPr>
              <w:t>Empirical anchor / rationale (§3.5)</w:t>
            </w:r>
          </w:p>
        </w:tc>
      </w:tr>
      <w:tr w:rsidR="00E52964" w14:paraId="637E902F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45BE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A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577D2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1.0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265CB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Asymptotic alignment benefit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7E08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proofErr w:type="spellStart"/>
            <w:r>
              <w:t>Normalised</w:t>
            </w:r>
            <w:proofErr w:type="spellEnd"/>
            <w:r>
              <w:t xml:space="preserve"> to unity without loss of scale.</w:t>
            </w:r>
          </w:p>
        </w:tc>
      </w:tr>
      <w:tr w:rsidR="00E52964" w14:paraId="3C4D4F7C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E4AC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α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820E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2.0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3A2A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Benefit saturation rate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48F6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Education-production-function estimates show strongly diminishing returns to instructional inputs; admissible range 1–3.</w:t>
            </w:r>
          </w:p>
        </w:tc>
      </w:tr>
      <w:tr w:rsidR="00E52964" w14:paraId="11CCE0C7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F1A6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B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4601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0.1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6623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Baseline linear dysfunction rate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1A892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Fixed administrative/compliance burden; high-B systems can b</w:t>
            </w:r>
            <w:r>
              <w:rPr>
                <w:i/>
              </w:rPr>
              <w:t>e</w:t>
            </w:r>
            <w:r>
              <w:t xml:space="preserve"> net-negative even at low intensity (</w:t>
            </w:r>
            <w:proofErr w:type="spellStart"/>
            <w:r>
              <w:t>Woelert</w:t>
            </w:r>
            <w:proofErr w:type="spellEnd"/>
            <w:r>
              <w:t>, 2023).</w:t>
            </w:r>
          </w:p>
        </w:tc>
      </w:tr>
      <w:tr w:rsidR="00E52964" w14:paraId="2459E321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7EFC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C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7B6E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0.2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0D2E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Exponential dysfunction amplitude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79B9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Magnitude of above-threshold gaming; dysfunction compounds over a 2–5 year horizon.</w:t>
            </w:r>
          </w:p>
        </w:tc>
      </w:tr>
      <w:tr w:rsidR="00E52964" w14:paraId="3D070B63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B1D97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AF0F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2.0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AF5A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Above-threshold dysfunction growth rate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F74F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Goal-displacement studies; admissible range 1–4.</w:t>
            </w:r>
          </w:p>
        </w:tc>
      </w:tr>
      <w:tr w:rsidR="00E52964" w14:paraId="318FDDEA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C9EC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k</w:t>
            </w:r>
            <w:r>
              <w:rPr>
                <w:vertAlign w:val="subscript"/>
              </w:rPr>
              <w:t>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3C22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0.5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D5E0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 xml:space="preserve">Threshold at </w:t>
            </w:r>
            <w:r>
              <w:rPr>
                <w:i/>
              </w:rPr>
              <w:t>w</w:t>
            </w:r>
            <w:r>
              <w:t>=0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C8A3B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Promotion systems in which quantitative metrics carry roughly 50–60% of weight, as in research-intensive practice.</w:t>
            </w:r>
          </w:p>
        </w:tc>
      </w:tr>
      <w:tr w:rsidR="00E52964" w14:paraId="553D7B6A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123B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γ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4D95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0.8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188D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Threshold-raising sensitivity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B4B1D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 xml:space="preserve">Adding qualitative judgment shifts 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  <w:r>
              <w:t xml:space="preserve"> by about 0.04 per 0.1 increase in </w:t>
            </w:r>
            <w:r>
              <w:rPr>
                <w:i/>
              </w:rPr>
              <w:t>w</w:t>
            </w:r>
            <w:r>
              <w:t>.</w:t>
            </w:r>
          </w:p>
        </w:tc>
      </w:tr>
      <w:tr w:rsidR="00E52964" w14:paraId="3B477058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4703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1DE9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0.3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56DA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Benefit-enhancement sensitivity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C398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Crediting hard-to-quantify outputs lifts the benefit ceiling.</w:t>
            </w:r>
          </w:p>
        </w:tc>
      </w:tr>
      <w:tr w:rsidR="00E52964" w14:paraId="1B558209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DAF5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μ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B9DF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1.5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85AB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Drift strength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CB84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proofErr w:type="spellStart"/>
            <w:r>
              <w:t>Normalised</w:t>
            </w:r>
            <w:proofErr w:type="spellEnd"/>
            <w:r>
              <w:t xml:space="preserve"> strong-drift regime; qualitative patterns are robust.</w:t>
            </w:r>
          </w:p>
        </w:tc>
      </w:tr>
      <w:tr w:rsidR="00E52964" w14:paraId="41362431" w14:textId="77777777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A66B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D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447D7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0.1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4BB2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Diffusion coefficient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C9BE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μ</w:t>
            </w:r>
            <w:r>
              <w:t>/</w:t>
            </w:r>
            <w:r>
              <w:rPr>
                <w:i/>
              </w:rPr>
              <w:t>D</w:t>
            </w:r>
            <w:r>
              <w:t xml:space="preserve">=15, chosen to bias the steady state toward low </w:t>
            </w:r>
            <w:r>
              <w:rPr>
                <w:i/>
              </w:rPr>
              <w:t>x</w:t>
            </w:r>
            <w:r>
              <w:t xml:space="preserve"> once drift activates.</w:t>
            </w:r>
          </w:p>
        </w:tc>
      </w:tr>
      <w:tr w:rsidR="00E52964" w14:paraId="3E1A36CF" w14:textId="77777777">
        <w:trPr>
          <w:trHeight w:val="383"/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750E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λ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6A2D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5.0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25A3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Initial concentration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CB64B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Initial effort concentrated near high quality (</w:t>
            </w:r>
            <w:r>
              <w:rPr>
                <w:i/>
              </w:rPr>
              <w:t>x</w:t>
            </w:r>
            <w:r>
              <w:t>=1).</w:t>
            </w:r>
          </w:p>
        </w:tc>
      </w:tr>
      <w:tr w:rsidR="00E52964" w14:paraId="46BF4538" w14:textId="77777777">
        <w:trPr>
          <w:trHeight w:val="301"/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57BB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rPr>
                <w:i/>
              </w:rPr>
              <w:t>k</w:t>
            </w:r>
            <w:r>
              <w:rPr>
                <w:vertAlign w:val="superscript"/>
              </w:rPr>
              <w:t>**</w:t>
            </w:r>
            <w:r>
              <w:t xml:space="preserve"> (derived)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6FCA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≈0.606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6A9B2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Global optimum (Eq. 7)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8D92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Numerical root; matches code output 0.6063.</w:t>
            </w:r>
          </w:p>
        </w:tc>
      </w:tr>
      <w:tr w:rsidR="00E52964" w14:paraId="7A73F1FF" w14:textId="77777777">
        <w:trPr>
          <w:trHeight w:val="379"/>
          <w:jc w:val="center"/>
        </w:trPr>
        <w:tc>
          <w:tcPr>
            <w:tcW w:w="56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F5AF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proofErr w:type="spellStart"/>
            <w:r>
              <w:rPr>
                <w:i/>
              </w:rPr>
              <w:t>k</w:t>
            </w:r>
            <w:r>
              <w:rPr>
                <w:vertAlign w:val="subscript"/>
              </w:rPr>
              <w:t>be</w:t>
            </w:r>
            <w:proofErr w:type="spellEnd"/>
            <w:r>
              <w:t xml:space="preserve"> (derived)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E0DB7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≈1.303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F5C9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Break-even point (Eq. 8)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0AF5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19"/>
              </w:rPr>
            </w:pPr>
            <w:r>
              <w:t>Numerical root; matches code output 1.3026.</w:t>
            </w:r>
          </w:p>
        </w:tc>
      </w:tr>
    </w:tbl>
    <w:p w14:paraId="4D17CFD4" w14:textId="77777777" w:rsidR="00E52964" w:rsidRDefault="00E52964"/>
    <w:p w14:paraId="258CCC29" w14:textId="77777777" w:rsidR="00E52964" w:rsidRDefault="00000000">
      <w:pPr>
        <w:pStyle w:val="1"/>
      </w:pPr>
      <w:r>
        <w:lastRenderedPageBreak/>
        <w:t>7. Sensitivity analysis</w:t>
      </w:r>
    </w:p>
    <w:p w14:paraId="25811A10" w14:textId="77777777" w:rsidR="00E52964" w:rsidRDefault="00000000">
      <w:pPr>
        <w:spacing w:after="120"/>
      </w:pPr>
      <w:r>
        <w:t xml:space="preserve">Table S5 documents the one-at-a-time sensitivity grid. The inverted-U, the existence of a threshold, and the direction of above-threshold drift hold across the entire admissible region; only the precise locations of </w:t>
      </w:r>
      <w:r>
        <w:rPr>
          <w:i/>
        </w:rPr>
        <w:t>k</w:t>
      </w:r>
      <w:r>
        <w:t xml:space="preserve"> and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 move with the parameters. Endpoint values are numerical and illustrative, exactly as cautioned in §3.5.</w:t>
      </w:r>
    </w:p>
    <w:p w14:paraId="64D19121" w14:textId="77777777" w:rsidR="00E52964" w:rsidRDefault="00000000">
      <w:r>
        <w:rPr>
          <w:b/>
        </w:rPr>
        <w:t xml:space="preserve">Table S5. Sensitivity-analysis parameter ranges and grid (main </w:t>
      </w:r>
      <w:r>
        <w:rPr>
          <w:b/>
          <w:i/>
        </w:rPr>
        <w:t>text</w:t>
      </w:r>
      <w:r>
        <w:rPr>
          <w:b/>
        </w:rPr>
        <w:t xml:space="preserve"> §3.5).</w:t>
      </w:r>
    </w:p>
    <w:tbl>
      <w:tblPr>
        <w:tblStyle w:val="af4"/>
        <w:tblW w:w="5000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873"/>
        <w:gridCol w:w="768"/>
        <w:gridCol w:w="801"/>
        <w:gridCol w:w="5169"/>
      </w:tblGrid>
      <w:tr w:rsidR="00E52964" w14:paraId="1B3A4E86" w14:textId="77777777">
        <w:trPr>
          <w:tblHeader/>
          <w:jc w:val="center"/>
        </w:trPr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56B99D77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b/>
              </w:rPr>
              <w:t>Parameter</w:t>
            </w:r>
          </w:p>
        </w:tc>
        <w:tc>
          <w:tcPr>
            <w:tcW w:w="503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9DACF73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b/>
              </w:rPr>
              <w:t>Baseline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4A5533DC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b/>
              </w:rPr>
              <w:t>Range</w:t>
            </w:r>
          </w:p>
        </w:tc>
        <w:tc>
          <w:tcPr>
            <w:tcW w:w="462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41B36AE5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b/>
              </w:rPr>
              <w:t>Grid</w:t>
            </w:r>
          </w:p>
        </w:tc>
        <w:tc>
          <w:tcPr>
            <w:tcW w:w="2979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1B18A338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b/>
              </w:rPr>
              <w:t>Reported effect (§3.5)</w:t>
            </w:r>
          </w:p>
        </w:tc>
      </w:tr>
      <w:tr w:rsidR="00E52964" w14:paraId="13565A23" w14:textId="77777777">
        <w:trPr>
          <w:tblHeader/>
          <w:jc w:val="center"/>
        </w:trPr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6E3207B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α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261D231" w14:textId="77777777" w:rsidR="00E52964" w:rsidRDefault="00000000">
            <w:pPr>
              <w:snapToGrid w:val="0"/>
              <w:spacing w:after="0" w:line="240" w:lineRule="auto"/>
            </w:pPr>
            <w:r>
              <w:t>2.0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DC994E4" w14:textId="77777777" w:rsidR="00E52964" w:rsidRDefault="00000000">
            <w:pPr>
              <w:snapToGrid w:val="0"/>
              <w:spacing w:after="0" w:line="240" w:lineRule="auto"/>
            </w:pPr>
            <w:r>
              <w:t>1.0–3.0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961C8AB" w14:textId="77777777" w:rsidR="00E52964" w:rsidRDefault="00000000">
            <w:pPr>
              <w:snapToGrid w:val="0"/>
              <w:spacing w:after="0" w:line="240" w:lineRule="auto"/>
            </w:pPr>
            <w:r>
              <w:t>0.25 step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75C19CB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k</w:t>
            </w:r>
            <w:r>
              <w:t xml:space="preserve"> moves from about 0.83 to about 0.51 (at </w:t>
            </w: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  <w:r>
              <w:t>=0.5); inverted-U preserved.</w:t>
            </w:r>
          </w:p>
        </w:tc>
      </w:tr>
      <w:tr w:rsidR="00E52964" w14:paraId="7199902B" w14:textId="77777777">
        <w:trPr>
          <w:tblHeader/>
          <w:jc w:val="center"/>
        </w:trPr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2CCBEF0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C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33C5EF4E" w14:textId="77777777" w:rsidR="00E52964" w:rsidRDefault="00000000">
            <w:pPr>
              <w:snapToGrid w:val="0"/>
              <w:spacing w:after="0" w:line="240" w:lineRule="auto"/>
            </w:pPr>
            <w:r>
              <w:t>0.2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4B7A4F63" w14:textId="77777777" w:rsidR="00E52964" w:rsidRDefault="00000000">
            <w:pPr>
              <w:snapToGrid w:val="0"/>
              <w:spacing w:after="0" w:line="240" w:lineRule="auto"/>
            </w:pPr>
            <w:r>
              <w:t>0.1–0.5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E4470D1" w14:textId="77777777" w:rsidR="00E52964" w:rsidRDefault="00000000">
            <w:pPr>
              <w:snapToGrid w:val="0"/>
              <w:spacing w:after="0" w:line="240" w:lineRule="auto"/>
            </w:pPr>
            <w:r>
              <w:t>0.05 step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12A8D254" w14:textId="77777777" w:rsidR="00E52964" w:rsidRDefault="00000000">
            <w:pPr>
              <w:snapToGrid w:val="0"/>
              <w:spacing w:after="0" w:line="240" w:lineRule="auto"/>
            </w:pPr>
            <w:proofErr w:type="spellStart"/>
            <w:r>
              <w:rPr>
                <w:i/>
              </w:rPr>
              <w:t>k</w:t>
            </w:r>
            <w:r>
              <w:rPr>
                <w:vertAlign w:val="subscript"/>
              </w:rPr>
              <w:t>be</w:t>
            </w:r>
            <w:proofErr w:type="spellEnd"/>
            <w:r>
              <w:t xml:space="preserve"> moves from about 1.60 to about 0.96; larger dysfunction accelerates the break-even.</w:t>
            </w:r>
          </w:p>
        </w:tc>
      </w:tr>
      <w:tr w:rsidR="00E52964" w14:paraId="58856B8A" w14:textId="77777777">
        <w:trPr>
          <w:tblHeader/>
          <w:jc w:val="center"/>
        </w:trPr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2B3CAF8B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52272CF4" w14:textId="77777777" w:rsidR="00E52964" w:rsidRDefault="00000000">
            <w:pPr>
              <w:snapToGrid w:val="0"/>
              <w:spacing w:after="0" w:line="240" w:lineRule="auto"/>
            </w:pPr>
            <w:r>
              <w:t>2.0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43F47517" w14:textId="77777777" w:rsidR="00E52964" w:rsidRDefault="00000000">
            <w:pPr>
              <w:snapToGrid w:val="0"/>
              <w:spacing w:after="0" w:line="240" w:lineRule="auto"/>
            </w:pPr>
            <w:r>
              <w:t>1.0–3.0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143CD524" w14:textId="77777777" w:rsidR="00E52964" w:rsidRDefault="00000000">
            <w:pPr>
              <w:snapToGrid w:val="0"/>
              <w:spacing w:after="0" w:line="240" w:lineRule="auto"/>
            </w:pPr>
            <w:r>
              <w:t>1.0 step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CC97B20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k</w:t>
            </w:r>
            <w:r>
              <w:t xml:space="preserve"> shifts while the existence of an interior optimum is retained.</w:t>
            </w:r>
          </w:p>
        </w:tc>
      </w:tr>
      <w:tr w:rsidR="00E52964" w14:paraId="38A96A6C" w14:textId="77777777">
        <w:trPr>
          <w:tblHeader/>
          <w:jc w:val="center"/>
        </w:trPr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117B8326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k</w:t>
            </w:r>
            <w:r>
              <w:rPr>
                <w:vertAlign w:val="subscript"/>
              </w:rPr>
              <w:t>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4A62FF81" w14:textId="77777777" w:rsidR="00E52964" w:rsidRDefault="00000000">
            <w:pPr>
              <w:snapToGrid w:val="0"/>
              <w:spacing w:after="0" w:line="240" w:lineRule="auto"/>
            </w:pPr>
            <w:r>
              <w:t>0.5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52F0C244" w14:textId="77777777" w:rsidR="00E52964" w:rsidRDefault="00000000">
            <w:pPr>
              <w:snapToGrid w:val="0"/>
              <w:spacing w:after="0" w:line="240" w:lineRule="auto"/>
            </w:pPr>
            <w:r>
              <w:t>0.3–0.7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95992B3" w14:textId="77777777" w:rsidR="00E52964" w:rsidRDefault="00000000">
            <w:pPr>
              <w:snapToGrid w:val="0"/>
              <w:spacing w:after="0" w:line="240" w:lineRule="auto"/>
            </w:pPr>
            <w:r>
              <w:t>0.1 step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C5DE1B9" w14:textId="77777777" w:rsidR="00E52964" w:rsidRDefault="00000000">
            <w:pPr>
              <w:snapToGrid w:val="0"/>
              <w:spacing w:after="0" w:line="240" w:lineRule="auto"/>
            </w:pPr>
            <w:r>
              <w:t>Threshold translates horizontally; curve shape unchanged.</w:t>
            </w:r>
          </w:p>
        </w:tc>
      </w:tr>
      <w:tr w:rsidR="00E52964" w14:paraId="709012B1" w14:textId="77777777">
        <w:trPr>
          <w:tblHeader/>
          <w:jc w:val="center"/>
        </w:trPr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56648095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w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68A5BBAD" w14:textId="77777777" w:rsidR="00E52964" w:rsidRDefault="00000000">
            <w:pPr>
              <w:snapToGrid w:val="0"/>
              <w:spacing w:after="0" w:line="240" w:lineRule="auto"/>
            </w:pPr>
            <w: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391DDD1A" w14:textId="77777777" w:rsidR="00E52964" w:rsidRDefault="00000000">
            <w:pPr>
              <w:snapToGrid w:val="0"/>
              <w:spacing w:after="0" w:line="240" w:lineRule="auto"/>
            </w:pPr>
            <w:r>
              <w:t>0–1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49B7EE95" w14:textId="77777777" w:rsidR="00E52964" w:rsidRDefault="00000000">
            <w:pPr>
              <w:snapToGrid w:val="0"/>
              <w:spacing w:after="0" w:line="240" w:lineRule="auto"/>
            </w:pPr>
            <w:r>
              <w:t>0.1 step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3048B68D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k</w:t>
            </w:r>
            <w:r>
              <w:rPr>
                <w:vertAlign w:val="subscript"/>
              </w:rPr>
              <w:t>0</w:t>
            </w:r>
            <w:r>
              <w:t>(</w:t>
            </w:r>
            <w:r>
              <w:rPr>
                <w:i/>
              </w:rPr>
              <w:t>w</w:t>
            </w:r>
            <w:r>
              <w:t>) and A(</w:t>
            </w:r>
            <w:r>
              <w:rPr>
                <w:i/>
              </w:rPr>
              <w:t>w</w:t>
            </w:r>
            <w:r>
              <w:t>) expand the safe operating range.</w:t>
            </w:r>
          </w:p>
        </w:tc>
      </w:tr>
      <w:tr w:rsidR="00E52964" w14:paraId="2C5264EC" w14:textId="77777777">
        <w:trPr>
          <w:tblHeader/>
          <w:jc w:val="center"/>
        </w:trPr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6229F77A" w14:textId="77777777" w:rsidR="00E52964" w:rsidRDefault="00000000">
            <w:pPr>
              <w:snapToGrid w:val="0"/>
              <w:spacing w:after="0" w:line="240" w:lineRule="auto"/>
            </w:pPr>
            <w:r>
              <w:rPr>
                <w:i/>
              </w:rPr>
              <w:t>μ</w:t>
            </w:r>
            <w:r>
              <w:t>/</w:t>
            </w:r>
            <w:r>
              <w:rPr>
                <w:i/>
              </w:rPr>
              <w:t>D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F07E1CD" w14:textId="77777777" w:rsidR="00E52964" w:rsidRDefault="00000000">
            <w:pPr>
              <w:snapToGrid w:val="0"/>
              <w:spacing w:after="0" w:line="240" w:lineRule="auto"/>
            </w:pPr>
            <w:r>
              <w:t>15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6C6E778C" w14:textId="77777777" w:rsidR="00E52964" w:rsidRDefault="00000000">
            <w:pPr>
              <w:snapToGrid w:val="0"/>
              <w:spacing w:after="0" w:line="240" w:lineRule="auto"/>
            </w:pPr>
            <w:r>
              <w:t>5–30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64ED1C49" w14:textId="77777777" w:rsidR="00E52964" w:rsidRDefault="00000000">
            <w:pPr>
              <w:snapToGrid w:val="0"/>
              <w:spacing w:after="0" w:line="240" w:lineRule="auto"/>
            </w:pPr>
            <w:r>
              <w:t>5 step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</w:tcPr>
          <w:p w14:paraId="7763020B" w14:textId="77777777" w:rsidR="00E52964" w:rsidRDefault="00000000">
            <w:pPr>
              <w:snapToGrid w:val="0"/>
              <w:spacing w:after="0" w:line="240" w:lineRule="auto"/>
            </w:pPr>
            <w:r>
              <w:t>Steepness of the steady-state skew; drift direction unchanged.</w:t>
            </w:r>
          </w:p>
        </w:tc>
      </w:tr>
    </w:tbl>
    <w:p w14:paraId="6FF66E33" w14:textId="77777777" w:rsidR="00E52964" w:rsidRDefault="00000000">
      <w:pPr>
        <w:spacing w:before="120" w:after="120"/>
        <w:rPr>
          <w:sz w:val="18"/>
          <w:szCs w:val="18"/>
        </w:rPr>
      </w:pPr>
      <w:r>
        <w:t xml:space="preserve">Robustness boundary. The inverted-U collapses only where the marginal benefit at </w:t>
      </w:r>
      <w:r>
        <w:rPr>
          <w:i/>
        </w:rPr>
        <w:t>k</w:t>
      </w:r>
      <w:r>
        <w:t xml:space="preserve">=0 does not exceed the baseline cost </w:t>
      </w:r>
      <w:r>
        <w:rPr>
          <w:i/>
        </w:rPr>
        <w:t>B</w:t>
      </w:r>
      <w:r>
        <w:t>, i.e. when A</w:t>
      </w:r>
      <w:r>
        <w:rPr>
          <w:i/>
        </w:rPr>
        <w:t>α</w:t>
      </w:r>
      <w:r>
        <w:t xml:space="preserve"> ≤ </w:t>
      </w:r>
      <w:r>
        <w:rPr>
          <w:i/>
        </w:rPr>
        <w:t>B</w:t>
      </w:r>
      <w:r>
        <w:t>; this is the high-fixed-cost regime discussed at the end of §3.5. All baseline and sensitivity points above satisfy A</w:t>
      </w:r>
      <w:r>
        <w:rPr>
          <w:i/>
        </w:rPr>
        <w:t>α</w:t>
      </w:r>
      <w:r>
        <w:t xml:space="preserve"> &gt; </w:t>
      </w:r>
      <w:r>
        <w:rPr>
          <w:i/>
        </w:rPr>
        <w:t>B</w:t>
      </w:r>
      <w:r>
        <w:t xml:space="preserve"> strictly.</w:t>
      </w:r>
    </w:p>
    <w:p w14:paraId="5BEE8AC5" w14:textId="77777777" w:rsidR="00E52964" w:rsidRDefault="00000000">
      <w:pPr>
        <w:pStyle w:val="1"/>
      </w:pPr>
      <w:r>
        <w:t>8. Computational reproduction</w:t>
      </w:r>
    </w:p>
    <w:p w14:paraId="694E854D" w14:textId="77777777" w:rsidR="00E52964" w:rsidRDefault="00000000">
      <w:pPr>
        <w:spacing w:after="120"/>
      </w:pPr>
      <w:r>
        <w:t>The package Reproducibility_Package/ supplies equivalent Python, MATLAB, and R implementations that regenerate Figures 1–4 from the model alone; no external empirical data are used. All baseline values are those of Table S4 and the sensitivity grid of Table S5; this section does not restate them but documents the computational protocol.</w:t>
      </w:r>
    </w:p>
    <w:p w14:paraId="045CBDBB" w14:textId="77777777" w:rsidR="00E52964" w:rsidRDefault="00000000">
      <w:pPr>
        <w:pStyle w:val="21"/>
      </w:pPr>
      <w:r>
        <w:t>8.1 Environment</w:t>
      </w:r>
    </w:p>
    <w:p w14:paraId="74E771D7" w14:textId="77777777" w:rsidR="00E52964" w:rsidRDefault="00000000">
      <w:pPr>
        <w:pStyle w:val="a0"/>
      </w:pPr>
      <w:r>
        <w:t xml:space="preserve">Python ≥ 3.9 with </w:t>
      </w:r>
      <w:proofErr w:type="spellStart"/>
      <w:r>
        <w:t>numpy</w:t>
      </w:r>
      <w:proofErr w:type="spellEnd"/>
      <w:r>
        <w:t xml:space="preserve">, </w:t>
      </w:r>
      <w:proofErr w:type="spellStart"/>
      <w:r>
        <w:t>scipy</w:t>
      </w:r>
      <w:proofErr w:type="spellEnd"/>
      <w:r>
        <w:t xml:space="preserve">, matplotlib (pip install </w:t>
      </w:r>
      <w:proofErr w:type="spellStart"/>
      <w:r>
        <w:t>numpy</w:t>
      </w:r>
      <w:proofErr w:type="spellEnd"/>
      <w:r>
        <w:t xml:space="preserve"> </w:t>
      </w:r>
      <w:proofErr w:type="spellStart"/>
      <w:r>
        <w:t>scipy</w:t>
      </w:r>
      <w:proofErr w:type="spellEnd"/>
      <w:r>
        <w:t xml:space="preserve"> matplotlib).</w:t>
      </w:r>
    </w:p>
    <w:p w14:paraId="6E074D2C" w14:textId="77777777" w:rsidR="00E52964" w:rsidRDefault="00000000">
      <w:pPr>
        <w:pStyle w:val="a0"/>
      </w:pPr>
      <w:r>
        <w:t xml:space="preserve">MATLAB ≥ R2018b, no toolboxes required (base </w:t>
      </w:r>
      <w:proofErr w:type="spellStart"/>
      <w:r>
        <w:t>fzero</w:t>
      </w:r>
      <w:proofErr w:type="spellEnd"/>
      <w:r>
        <w:t xml:space="preserve">, ode15s, </w:t>
      </w:r>
      <w:proofErr w:type="spellStart"/>
      <w:r>
        <w:t>trapz</w:t>
      </w:r>
      <w:proofErr w:type="spellEnd"/>
      <w:r>
        <w:t>, sparse matrices).</w:t>
      </w:r>
    </w:p>
    <w:p w14:paraId="29288BCB" w14:textId="77777777" w:rsidR="00E52964" w:rsidRDefault="00000000">
      <w:pPr>
        <w:pStyle w:val="a0"/>
      </w:pPr>
      <w:r>
        <w:t xml:space="preserve">R ≥ 4.0 with </w:t>
      </w:r>
      <w:proofErr w:type="spellStart"/>
      <w:r>
        <w:t>deSolve</w:t>
      </w:r>
      <w:proofErr w:type="spellEnd"/>
      <w:r>
        <w:t xml:space="preserve"> for the stiff method-of-lines integration.</w:t>
      </w:r>
    </w:p>
    <w:p w14:paraId="1387B980" w14:textId="77777777" w:rsidR="00E52964" w:rsidRDefault="00000000">
      <w:pPr>
        <w:pStyle w:val="21"/>
      </w:pPr>
      <w:r>
        <w:t>8.2 Quick start</w:t>
      </w:r>
    </w:p>
    <w:p w14:paraId="58E4134E" w14:textId="77777777" w:rsidR="00E52964" w:rsidRDefault="00000000">
      <w:pPr>
        <w:pStyle w:val="a0"/>
      </w:pPr>
      <w:r>
        <w:t>Python: cd code/python; python reproduce_figures.py.</w:t>
      </w:r>
    </w:p>
    <w:p w14:paraId="40C56CD4" w14:textId="77777777" w:rsidR="00E52964" w:rsidRDefault="00000000">
      <w:pPr>
        <w:pStyle w:val="a0"/>
      </w:pPr>
      <w:r>
        <w:t>MATLAB: cd code/</w:t>
      </w:r>
      <w:proofErr w:type="spellStart"/>
      <w:r>
        <w:t>matlab</w:t>
      </w:r>
      <w:proofErr w:type="spellEnd"/>
      <w:r>
        <w:t xml:space="preserve">; </w:t>
      </w:r>
      <w:proofErr w:type="spellStart"/>
      <w:r>
        <w:t>reproduce_figures</w:t>
      </w:r>
      <w:proofErr w:type="spellEnd"/>
      <w:r>
        <w:t>.</w:t>
      </w:r>
    </w:p>
    <w:p w14:paraId="70ECE485" w14:textId="77777777" w:rsidR="00E52964" w:rsidRDefault="00000000">
      <w:pPr>
        <w:pStyle w:val="a0"/>
      </w:pPr>
      <w:r>
        <w:t xml:space="preserve">R: cd code/r; </w:t>
      </w:r>
      <w:proofErr w:type="spellStart"/>
      <w:r>
        <w:t>Rscript</w:t>
      </w:r>
      <w:proofErr w:type="spellEnd"/>
      <w:r>
        <w:t xml:space="preserve"> </w:t>
      </w:r>
      <w:proofErr w:type="spellStart"/>
      <w:r>
        <w:t>reproduce_figures.R</w:t>
      </w:r>
      <w:proofErr w:type="spellEnd"/>
      <w:r>
        <w:t>.</w:t>
      </w:r>
    </w:p>
    <w:p w14:paraId="4B07A48C" w14:textId="77777777" w:rsidR="00E52964" w:rsidRDefault="00000000">
      <w:pPr>
        <w:spacing w:after="120"/>
      </w:pPr>
      <w:r>
        <w:t xml:space="preserve">Each implementation writes four PNG files to figures/ and prints the reproduced </w:t>
      </w:r>
      <w:r>
        <w:rPr>
          <w:i/>
        </w:rPr>
        <w:t>k</w:t>
      </w:r>
      <w:r>
        <w:t xml:space="preserve"> and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 to the console.</w:t>
      </w:r>
    </w:p>
    <w:p w14:paraId="7F406DCA" w14:textId="77777777" w:rsidR="00E52964" w:rsidRDefault="00000000">
      <w:pPr>
        <w:pStyle w:val="21"/>
      </w:pPr>
      <w:r>
        <w:t>8.3 Figures reproduced</w:t>
      </w:r>
    </w:p>
    <w:p w14:paraId="65C0E3E7" w14:textId="77777777" w:rsidR="00E52964" w:rsidRDefault="00E52964">
      <w:pPr>
        <w:rPr>
          <w:b/>
        </w:rPr>
      </w:pPr>
    </w:p>
    <w:p w14:paraId="33F40922" w14:textId="77777777" w:rsidR="00E52964" w:rsidRDefault="00000000">
      <w:r>
        <w:rPr>
          <w:b/>
        </w:rPr>
        <w:lastRenderedPageBreak/>
        <w:t>Table S6. Figures reproduced by the code archive.</w:t>
      </w:r>
    </w:p>
    <w:tbl>
      <w:tblPr>
        <w:tblStyle w:val="af4"/>
        <w:tblW w:w="4997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4249"/>
        <w:gridCol w:w="1731"/>
        <w:gridCol w:w="1811"/>
      </w:tblGrid>
      <w:tr w:rsidR="00E52964" w14:paraId="2FFE75AD" w14:textId="77777777">
        <w:trPr>
          <w:tblHeader/>
          <w:jc w:val="center"/>
        </w:trPr>
        <w:tc>
          <w:tcPr>
            <w:tcW w:w="504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F2CA0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Figure</w:t>
            </w:r>
          </w:p>
        </w:tc>
        <w:tc>
          <w:tcPr>
            <w:tcW w:w="2451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2FD6B5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Content</w:t>
            </w:r>
          </w:p>
        </w:tc>
        <w:tc>
          <w:tcPr>
            <w:tcW w:w="998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CBCC3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Model layer</w:t>
            </w:r>
          </w:p>
        </w:tc>
        <w:tc>
          <w:tcPr>
            <w:tcW w:w="1044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26AF8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Equations</w:t>
            </w:r>
          </w:p>
        </w:tc>
      </w:tr>
      <w:tr w:rsidR="00E52964" w14:paraId="0F1CC0B9" w14:textId="77777777">
        <w:trPr>
          <w:jc w:val="center"/>
        </w:trPr>
        <w:tc>
          <w:tcPr>
            <w:tcW w:w="50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52F8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Figure 1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E664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Non-monotonic </w:t>
            </w:r>
            <w:r>
              <w:rPr>
                <w:i/>
                <w:sz w:val="21"/>
                <w:szCs w:val="21"/>
              </w:rPr>
              <w:t>U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 xml:space="preserve">) with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 xml:space="preserve"> and </w:t>
            </w:r>
            <w:proofErr w:type="spellStart"/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be</w:t>
            </w:r>
            <w:proofErr w:type="spellEnd"/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5954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Univariate utility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C40B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(1)–(8)</w:t>
            </w:r>
          </w:p>
        </w:tc>
      </w:tr>
      <w:tr w:rsidR="00E52964" w14:paraId="5A582A58" w14:textId="77777777">
        <w:trPr>
          <w:jc w:val="center"/>
        </w:trPr>
        <w:tc>
          <w:tcPr>
            <w:tcW w:w="50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A2AC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Figure 2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92A7B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Effect of 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 xml:space="preserve">; 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0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>)/A(</w:t>
            </w:r>
            <w:r>
              <w:rPr>
                <w:i/>
                <w:sz w:val="21"/>
                <w:szCs w:val="21"/>
              </w:rPr>
              <w:t>w</w:t>
            </w:r>
            <w:r>
              <w:rPr>
                <w:sz w:val="21"/>
                <w:szCs w:val="21"/>
              </w:rPr>
              <w:t xml:space="preserve">); </w:t>
            </w:r>
            <w:r>
              <w:rPr>
                <w:i/>
                <w:sz w:val="21"/>
                <w:szCs w:val="21"/>
              </w:rPr>
              <w:t>β</w:t>
            </w:r>
            <w:r>
              <w:rPr>
                <w:sz w:val="21"/>
                <w:szCs w:val="21"/>
              </w:rPr>
              <w:t xml:space="preserve"> sensitivity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F7E0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Bivariate extension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1FDF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(9)–(15)</w:t>
            </w:r>
          </w:p>
        </w:tc>
      </w:tr>
      <w:tr w:rsidR="00E52964" w14:paraId="13BC163E" w14:textId="77777777">
        <w:trPr>
          <w:jc w:val="center"/>
        </w:trPr>
        <w:tc>
          <w:tcPr>
            <w:tcW w:w="50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D4E5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Figure 3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3D17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Steady-state effort distributions and average quality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7F5B0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Fokker–Planck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9158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(16)–(23), (26)–(27)</w:t>
            </w:r>
          </w:p>
        </w:tc>
      </w:tr>
      <w:tr w:rsidR="00E52964" w14:paraId="2F0B28BB" w14:textId="77777777">
        <w:trPr>
          <w:jc w:val="center"/>
        </w:trPr>
        <w:tc>
          <w:tcPr>
            <w:tcW w:w="5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E0A7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Figure 4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424B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Dynamic divergence of </w:t>
            </w:r>
            <w:r>
              <w:rPr>
                <w:i/>
                <w:sz w:val="21"/>
                <w:szCs w:val="21"/>
              </w:rPr>
              <w:t>V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 xml:space="preserve">) and </w:t>
            </w:r>
            <w:r>
              <w:rPr>
                <w:i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(</w:t>
            </w:r>
            <w:r>
              <w:rPr>
                <w:i/>
                <w:sz w:val="21"/>
                <w:szCs w:val="21"/>
              </w:rPr>
              <w:t>t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13DC5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Fokker–Planck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B9EE2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(16), (20), (24)–(25)</w:t>
            </w:r>
          </w:p>
        </w:tc>
      </w:tr>
    </w:tbl>
    <w:p w14:paraId="5A2665AC" w14:textId="77777777" w:rsidR="00E52964" w:rsidRDefault="00E52964"/>
    <w:p w14:paraId="0E176C3A" w14:textId="77777777" w:rsidR="00E52964" w:rsidRDefault="00000000">
      <w:pPr>
        <w:pStyle w:val="21"/>
      </w:pPr>
      <w:r>
        <w:t>8.4 Figure-by-figure notes</w:t>
      </w:r>
    </w:p>
    <w:p w14:paraId="339FA066" w14:textId="77777777" w:rsidR="00E52964" w:rsidRDefault="00000000">
      <w:pPr>
        <w:pStyle w:val="a0"/>
      </w:pPr>
      <w:r>
        <w:t xml:space="preserve">Figure 1. </w:t>
      </w:r>
      <w:r>
        <w:rPr>
          <w:i/>
        </w:rPr>
        <w:t>U</w:t>
      </w:r>
      <w:r>
        <w:t>(</w:t>
      </w:r>
      <w:r>
        <w:rPr>
          <w:i/>
        </w:rPr>
        <w:t>k</w:t>
      </w:r>
      <w:r>
        <w:t xml:space="preserve">) evaluated on </w:t>
      </w:r>
      <w:r>
        <w:rPr>
          <w:i/>
        </w:rPr>
        <w:t>k</w:t>
      </w:r>
      <w:r>
        <w:t xml:space="preserve">∈[0,1.6]; </w:t>
      </w:r>
      <w:r>
        <w:rPr>
          <w:i/>
        </w:rPr>
        <w:t>k</w:t>
      </w:r>
      <w:r>
        <w:t xml:space="preserve"> and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 found by Brent root-finding on </w:t>
      </w:r>
      <w:r>
        <w:rPr>
          <w:i/>
        </w:rPr>
        <w:t>U</w:t>
      </w:r>
      <w:r>
        <w:t>′(</w:t>
      </w:r>
      <w:r>
        <w:rPr>
          <w:i/>
        </w:rPr>
        <w:t>k</w:t>
      </w:r>
      <w:r>
        <w:t xml:space="preserve">)=0 and </w:t>
      </w:r>
      <w:r>
        <w:rPr>
          <w:i/>
        </w:rPr>
        <w:t>U</w:t>
      </w:r>
      <w:r>
        <w:t>(</w:t>
      </w:r>
      <w:r>
        <w:rPr>
          <w:i/>
        </w:rPr>
        <w:t>k</w:t>
      </w:r>
      <w:r>
        <w:t xml:space="preserve">)=0 in the second segment. Verified output: </w:t>
      </w:r>
      <w:r>
        <w:rPr>
          <w:i/>
        </w:rPr>
        <w:t>k</w:t>
      </w:r>
      <w:r>
        <w:rPr>
          <w:vertAlign w:val="superscript"/>
        </w:rPr>
        <w:t>**</w:t>
      </w:r>
      <w:r>
        <w:t xml:space="preserve"> = 0.6063,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 =1.3026.</w:t>
      </w:r>
    </w:p>
    <w:p w14:paraId="0DD92CCB" w14:textId="77777777" w:rsidR="00E52964" w:rsidRDefault="00000000">
      <w:pPr>
        <w:pStyle w:val="a0"/>
      </w:pPr>
      <w:r>
        <w:t xml:space="preserve">Figure 2. Panel (a) plots </w:t>
      </w:r>
      <w:r>
        <w:rPr>
          <w:i/>
        </w:rPr>
        <w:t>U</w:t>
      </w:r>
      <w:r>
        <w:t>(</w:t>
      </w:r>
      <w:proofErr w:type="spellStart"/>
      <w:r>
        <w:rPr>
          <w:i/>
        </w:rPr>
        <w:t>k</w:t>
      </w:r>
      <w:r>
        <w:t>,</w:t>
      </w:r>
      <w:r>
        <w:rPr>
          <w:i/>
        </w:rPr>
        <w:t>w</w:t>
      </w:r>
      <w:proofErr w:type="spellEnd"/>
      <w:r>
        <w:t xml:space="preserve">) for </w:t>
      </w:r>
      <w:r>
        <w:rPr>
          <w:i/>
        </w:rPr>
        <w:t>w</w:t>
      </w:r>
      <w:r>
        <w:t xml:space="preserve"> ∈{0,0.5,1.0}; panel (b) plots </w:t>
      </w:r>
      <w:r>
        <w:rPr>
          <w:i/>
        </w:rPr>
        <w:t>k</w:t>
      </w:r>
      <w:r>
        <w:rPr>
          <w:vertAlign w:val="subscript"/>
        </w:rPr>
        <w:t>0</w:t>
      </w:r>
      <w:r>
        <w:t>(</w:t>
      </w:r>
      <w:r>
        <w:rPr>
          <w:i/>
        </w:rPr>
        <w:t>w</w:t>
      </w:r>
      <w:r>
        <w:t>) and A(</w:t>
      </w:r>
      <w:r>
        <w:rPr>
          <w:i/>
        </w:rPr>
        <w:t>w</w:t>
      </w:r>
      <w:r>
        <w:t>) on separate axes; panel (</w:t>
      </w:r>
      <w:r>
        <w:rPr>
          <w:i/>
        </w:rPr>
        <w:t>c</w:t>
      </w:r>
      <w:r>
        <w:t xml:space="preserve">) varies </w:t>
      </w:r>
      <w:r>
        <w:rPr>
          <w:i/>
        </w:rPr>
        <w:t>β</w:t>
      </w:r>
      <w:r>
        <w:t xml:space="preserve">∈{1, 2, 3} at </w:t>
      </w:r>
      <w:r>
        <w:rPr>
          <w:i/>
        </w:rPr>
        <w:t>w</w:t>
      </w:r>
      <w:r>
        <w:t xml:space="preserve"> =0, confirming that an interior optimum persists across this range (Table S5).</w:t>
      </w:r>
    </w:p>
    <w:p w14:paraId="5F982303" w14:textId="77777777" w:rsidR="00E52964" w:rsidRDefault="00000000">
      <w:pPr>
        <w:pStyle w:val="a0"/>
      </w:pPr>
      <w:r>
        <w:t xml:space="preserve">Figure 3. For </w:t>
      </w:r>
      <w:r>
        <w:rPr>
          <w:i/>
        </w:rPr>
        <w:t>k</w:t>
      </w:r>
      <w:r>
        <w:t xml:space="preserve"> ≤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 the steady state is uniform; </w:t>
      </w:r>
      <w:proofErr w:type="spellStart"/>
      <w:r>
        <w:t xml:space="preserve">for </w:t>
      </w:r>
      <w:r>
        <w:rPr>
          <w:i/>
        </w:rPr>
        <w:t>k</w:t>
      </w:r>
      <w:proofErr w:type="spellEnd"/>
      <w:r>
        <w:t>&gt;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, </w:t>
      </w:r>
      <w:r>
        <w:rPr>
          <w:i/>
        </w:rPr>
        <w:t>e</w:t>
      </w:r>
      <w:r>
        <w:rPr>
          <w:vertAlign w:val="superscript"/>
        </w:rPr>
        <w:t>*</w:t>
      </w:r>
      <w:r>
        <w:t>(</w:t>
      </w:r>
      <w:r>
        <w:rPr>
          <w:i/>
        </w:rPr>
        <w:t>x</w:t>
      </w:r>
      <w:r>
        <w:t>) ∝ exp[−(</w:t>
      </w:r>
      <w:r>
        <w:rPr>
          <w:i/>
        </w:rPr>
        <w:t>μ</w:t>
      </w:r>
      <w:r>
        <w:t xml:space="preserve"> </w:t>
      </w:r>
      <w:r>
        <w:rPr>
          <w:i/>
        </w:rPr>
        <w:t>k</w:t>
      </w:r>
      <w:r>
        <w:t>/</w:t>
      </w:r>
      <w:r>
        <w:rPr>
          <w:i/>
        </w:rPr>
        <w:t>D</w:t>
      </w:r>
      <w:r>
        <w:t>)(</w:t>
      </w:r>
      <w:r>
        <w:rPr>
          <w:i/>
        </w:rPr>
        <w:t>x</w:t>
      </w:r>
      <w:r>
        <w:rPr>
          <w:vertAlign w:val="superscript"/>
        </w:rPr>
        <w:t>2</w:t>
      </w:r>
      <w:r>
        <w:t>/2−</w:t>
      </w:r>
      <w:r>
        <w:rPr>
          <w:i/>
        </w:rPr>
        <w:t>x</w:t>
      </w:r>
      <w:r>
        <w:rPr>
          <w:vertAlign w:val="superscript"/>
        </w:rPr>
        <w:t>3</w:t>
      </w:r>
      <w:r>
        <w:t xml:space="preserve">/3)] is </w:t>
      </w:r>
      <w:proofErr w:type="spellStart"/>
      <w:r>
        <w:t>normalised</w:t>
      </w:r>
      <w:proofErr w:type="spellEnd"/>
      <w:r>
        <w:t xml:space="preserve"> numerically. Average quality </w:t>
      </w:r>
      <w:r>
        <w:rPr>
          <w:i/>
        </w:rPr>
        <w:t>x</w:t>
      </w:r>
      <w:r>
        <w:t>̄(</w:t>
      </w:r>
      <w:r>
        <w:rPr>
          <w:i/>
        </w:rPr>
        <w:t>k</w:t>
      </w:r>
      <w:r>
        <w:t>) is flat at 0.5 below threshold and declines monotonically above it.</w:t>
      </w:r>
    </w:p>
    <w:p w14:paraId="6A841DED" w14:textId="77777777" w:rsidR="00E52964" w:rsidRDefault="00000000">
      <w:pPr>
        <w:pStyle w:val="a0"/>
      </w:pPr>
      <w:r>
        <w:t xml:space="preserve">Figure 4. The PDE is </w:t>
      </w:r>
      <w:proofErr w:type="spellStart"/>
      <w:r>
        <w:t>discretised</w:t>
      </w:r>
      <w:proofErr w:type="spellEnd"/>
      <w:r>
        <w:t xml:space="preserve"> by the method of lines (</w:t>
      </w:r>
      <w:proofErr w:type="spellStart"/>
      <w:r>
        <w:t>Nx</w:t>
      </w:r>
      <w:proofErr w:type="spellEnd"/>
      <w:r>
        <w:t>=400, upwind advection, central diffusion, reflecting boundaries) and integrated with a stiff solver. A</w:t>
      </w:r>
      <w:r>
        <w:rPr>
          <w:i/>
        </w:rPr>
        <w:t>t</w:t>
      </w:r>
      <w:r>
        <w:t xml:space="preserve"> </w:t>
      </w:r>
      <w:r>
        <w:rPr>
          <w:i/>
        </w:rPr>
        <w:t>k</w:t>
      </w:r>
      <w:r>
        <w:t>=0.9&gt;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, </w:t>
      </w:r>
      <w:r>
        <w:rPr>
          <w:i/>
        </w:rPr>
        <w:t>V</w:t>
      </w:r>
      <w:r>
        <w:t>(</w:t>
      </w:r>
      <w:r>
        <w:rPr>
          <w:i/>
        </w:rPr>
        <w:t>t</w:t>
      </w:r>
      <w:r>
        <w:t xml:space="preserve">) declines while </w:t>
      </w:r>
      <w:r>
        <w:rPr>
          <w:i/>
        </w:rPr>
        <w:t>M</w:t>
      </w:r>
      <w:r>
        <w:t>(</w:t>
      </w:r>
      <w:r>
        <w:rPr>
          <w:i/>
        </w:rPr>
        <w:t>t</w:t>
      </w:r>
      <w:r>
        <w:t xml:space="preserve">) rises; </w:t>
      </w:r>
      <w:proofErr w:type="spellStart"/>
      <w:r>
        <w:t xml:space="preserve">for </w:t>
      </w:r>
      <w:r>
        <w:rPr>
          <w:i/>
        </w:rPr>
        <w:t>k</w:t>
      </w:r>
      <w:proofErr w:type="spellEnd"/>
      <w:r>
        <w:t xml:space="preserve"> ≤</w:t>
      </w:r>
      <w:r>
        <w:rPr>
          <w:i/>
        </w:rPr>
        <w:t>k</w:t>
      </w:r>
      <w:r>
        <w:rPr>
          <w:vertAlign w:val="subscript"/>
        </w:rPr>
        <w:t>0</w:t>
      </w:r>
      <w:r>
        <w:t xml:space="preserve">, pure diffusion converges to </w:t>
      </w:r>
      <w:r>
        <w:rPr>
          <w:i/>
        </w:rPr>
        <w:t>V</w:t>
      </w:r>
      <w:r>
        <w:t>→0.5.</w:t>
      </w:r>
    </w:p>
    <w:p w14:paraId="697D0641" w14:textId="77777777" w:rsidR="00E52964" w:rsidRDefault="00000000">
      <w:pPr>
        <w:pStyle w:val="21"/>
      </w:pPr>
      <w:r>
        <w:t>8.5 Numerical methods</w:t>
      </w:r>
    </w:p>
    <w:p w14:paraId="7C65E0CC" w14:textId="77777777" w:rsidR="00E52964" w:rsidRDefault="00000000">
      <w:r>
        <w:rPr>
          <w:b/>
        </w:rPr>
        <w:t>Table S7. Numerical methods and parameters.</w:t>
      </w:r>
    </w:p>
    <w:tbl>
      <w:tblPr>
        <w:tblStyle w:val="af4"/>
        <w:tblW w:w="4998" w:type="pct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3462"/>
        <w:gridCol w:w="2448"/>
      </w:tblGrid>
      <w:tr w:rsidR="00E52964" w14:paraId="4BF889EC" w14:textId="77777777">
        <w:trPr>
          <w:tblHeader/>
          <w:jc w:val="center"/>
        </w:trPr>
        <w:tc>
          <w:tcPr>
            <w:tcW w:w="1590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DF59B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Component</w:t>
            </w:r>
          </w:p>
        </w:tc>
        <w:tc>
          <w:tcPr>
            <w:tcW w:w="1997" w:type="pct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4331E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Method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9F0D3" w14:textId="77777777" w:rsidR="00E52964" w:rsidRDefault="00000000">
            <w:pPr>
              <w:snapToGri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Tolerance / resolution</w:t>
            </w:r>
          </w:p>
        </w:tc>
      </w:tr>
      <w:tr w:rsidR="00E52964" w14:paraId="40895104" w14:textId="77777777">
        <w:trPr>
          <w:jc w:val="center"/>
        </w:trPr>
        <w:tc>
          <w:tcPr>
            <w:tcW w:w="159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FF037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Root-finding (</w:t>
            </w:r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i/>
                <w:sz w:val="21"/>
                <w:szCs w:val="21"/>
              </w:rPr>
              <w:t>k</w:t>
            </w:r>
            <w:r>
              <w:rPr>
                <w:sz w:val="21"/>
                <w:szCs w:val="21"/>
                <w:vertAlign w:val="subscript"/>
              </w:rPr>
              <w:t>be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F1A69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Brent’s method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5235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tol</w:t>
            </w:r>
            <w:proofErr w:type="spellEnd"/>
            <w:r>
              <w:rPr>
                <w:sz w:val="21"/>
                <w:szCs w:val="21"/>
              </w:rPr>
              <w:t xml:space="preserve"> = 1</w:t>
            </w:r>
            <w:r>
              <w:rPr>
                <w:i/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-10</w:t>
            </w:r>
          </w:p>
        </w:tc>
      </w:tr>
      <w:tr w:rsidR="00E52964" w14:paraId="0559AE07" w14:textId="77777777">
        <w:trPr>
          <w:jc w:val="center"/>
        </w:trPr>
        <w:tc>
          <w:tcPr>
            <w:tcW w:w="159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5D7D3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Steady-state </w:t>
            </w:r>
            <w:proofErr w:type="spellStart"/>
            <w:r>
              <w:rPr>
                <w:sz w:val="21"/>
                <w:szCs w:val="21"/>
              </w:rPr>
              <w:t>normalisation</w:t>
            </w:r>
            <w:proofErr w:type="spellEnd"/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59D88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Numerical quadrature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94931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 = 1000–2000 points</w:t>
            </w:r>
          </w:p>
        </w:tc>
      </w:tr>
      <w:tr w:rsidR="00E52964" w14:paraId="234DA728" w14:textId="77777777">
        <w:trPr>
          <w:jc w:val="center"/>
        </w:trPr>
        <w:tc>
          <w:tcPr>
            <w:tcW w:w="159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5F21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PDE spatial </w:t>
            </w:r>
            <w:proofErr w:type="spellStart"/>
            <w:r>
              <w:rPr>
                <w:sz w:val="21"/>
                <w:szCs w:val="21"/>
              </w:rPr>
              <w:t>discretisation</w:t>
            </w:r>
            <w:proofErr w:type="spellEnd"/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D67637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Method of lines, upwind + central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1E57C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Nx</w:t>
            </w:r>
            <w:proofErr w:type="spellEnd"/>
            <w:r>
              <w:rPr>
                <w:sz w:val="21"/>
                <w:szCs w:val="21"/>
              </w:rPr>
              <w:t xml:space="preserve"> = 400</w:t>
            </w:r>
          </w:p>
        </w:tc>
      </w:tr>
      <w:tr w:rsidR="00E52964" w14:paraId="66DF868E" w14:textId="77777777">
        <w:trPr>
          <w:jc w:val="center"/>
        </w:trPr>
        <w:tc>
          <w:tcPr>
            <w:tcW w:w="159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26C97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PDE boundary conditions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CCC7F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Reflecting (zero flux) at </w:t>
            </w:r>
            <w:r>
              <w:rPr>
                <w:i/>
                <w:sz w:val="21"/>
                <w:szCs w:val="21"/>
              </w:rPr>
              <w:t>x</w:t>
            </w:r>
            <w:r>
              <w:rPr>
                <w:sz w:val="21"/>
                <w:szCs w:val="21"/>
              </w:rPr>
              <w:t>=0,1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E16DA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E52964" w14:paraId="7FAE7262" w14:textId="77777777">
        <w:trPr>
          <w:jc w:val="center"/>
        </w:trPr>
        <w:tc>
          <w:tcPr>
            <w:tcW w:w="159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9DBDD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PDE time integration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484CD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BDF / ode15s / </w:t>
            </w:r>
            <w:proofErr w:type="spellStart"/>
            <w:r>
              <w:rPr>
                <w:sz w:val="21"/>
                <w:szCs w:val="21"/>
              </w:rPr>
              <w:t>lsoda</w:t>
            </w:r>
            <w:proofErr w:type="spellEnd"/>
            <w:r>
              <w:rPr>
                <w:sz w:val="21"/>
                <w:szCs w:val="21"/>
              </w:rPr>
              <w:t xml:space="preserve"> (stiff)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78C4D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rtol</w:t>
            </w:r>
            <w:proofErr w:type="spellEnd"/>
            <w:r>
              <w:rPr>
                <w:sz w:val="21"/>
                <w:szCs w:val="21"/>
              </w:rPr>
              <w:t xml:space="preserve">=1e-6, </w:t>
            </w:r>
            <w:proofErr w:type="spellStart"/>
            <w:r>
              <w:rPr>
                <w:sz w:val="21"/>
                <w:szCs w:val="21"/>
              </w:rPr>
              <w:t>atol</w:t>
            </w:r>
            <w:proofErr w:type="spellEnd"/>
            <w:r>
              <w:rPr>
                <w:sz w:val="21"/>
                <w:szCs w:val="21"/>
              </w:rPr>
              <w:t>=1e-9</w:t>
            </w:r>
          </w:p>
        </w:tc>
      </w:tr>
      <w:tr w:rsidR="00E52964" w14:paraId="4A39FFE1" w14:textId="77777777">
        <w:trPr>
          <w:jc w:val="center"/>
        </w:trPr>
        <w:tc>
          <w:tcPr>
            <w:tcW w:w="15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72916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Figure output</w:t>
            </w:r>
          </w:p>
        </w:tc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02B34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PNG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A6272E" w14:textId="77777777" w:rsidR="00E52964" w:rsidRDefault="00000000">
            <w:pPr>
              <w:snapToGrid w:val="0"/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300 DPI</w:t>
            </w:r>
          </w:p>
        </w:tc>
      </w:tr>
    </w:tbl>
    <w:p w14:paraId="2E1A315B" w14:textId="77777777" w:rsidR="00E52964" w:rsidRDefault="00E52964"/>
    <w:p w14:paraId="3DE44900" w14:textId="77777777" w:rsidR="00E52964" w:rsidRDefault="00000000">
      <w:pPr>
        <w:pStyle w:val="21"/>
      </w:pPr>
      <w:r>
        <w:t>8.6 Reproducibility declaration</w:t>
      </w:r>
    </w:p>
    <w:p w14:paraId="79D14FC6" w14:textId="77777777" w:rsidR="00E52964" w:rsidRDefault="00000000">
      <w:pPr>
        <w:pStyle w:val="a0"/>
      </w:pPr>
      <w:r>
        <w:t xml:space="preserve">No proprietary or restricted datasets are used; all figures are generated from the model specified in the main </w:t>
      </w:r>
      <w:r>
        <w:rPr>
          <w:i/>
        </w:rPr>
        <w:t>text</w:t>
      </w:r>
      <w:r>
        <w:t>.</w:t>
      </w:r>
    </w:p>
    <w:p w14:paraId="6DEE69C5" w14:textId="77777777" w:rsidR="00E52964" w:rsidRDefault="00000000">
      <w:pPr>
        <w:pStyle w:val="a0"/>
      </w:pPr>
      <w:r>
        <w:t>All parameter values, computational methods, and resulting figures are described in §3.5, Tables S4–S5, and this document.</w:t>
      </w:r>
    </w:p>
    <w:p w14:paraId="6E5C9ABB" w14:textId="77777777" w:rsidR="00E52964" w:rsidRDefault="00000000">
      <w:pPr>
        <w:pStyle w:val="a0"/>
      </w:pPr>
      <w:r>
        <w:t xml:space="preserve">The Python implementation is verified to produce </w:t>
      </w:r>
      <w:r>
        <w:rPr>
          <w:i/>
        </w:rPr>
        <w:t>k</w:t>
      </w:r>
      <w:r>
        <w:rPr>
          <w:vertAlign w:val="superscript"/>
        </w:rPr>
        <w:t>**</w:t>
      </w:r>
      <w:r>
        <w:t xml:space="preserve">=0.6063 and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=1.3026, matching the main </w:t>
      </w:r>
      <w:r>
        <w:rPr>
          <w:i/>
        </w:rPr>
        <w:t>text</w:t>
      </w:r>
      <w:r>
        <w:t xml:space="preserve"> (</w:t>
      </w:r>
      <w:r>
        <w:rPr>
          <w:i/>
        </w:rPr>
        <w:t>k</w:t>
      </w:r>
      <w:r>
        <w:rPr>
          <w:vertAlign w:val="superscript"/>
        </w:rPr>
        <w:t>**</w:t>
      </w:r>
      <w:r>
        <w:t xml:space="preserve"> ≈0.61, </w:t>
      </w:r>
      <w:proofErr w:type="spellStart"/>
      <w:r>
        <w:rPr>
          <w:i/>
        </w:rPr>
        <w:t>k</w:t>
      </w:r>
      <w:r>
        <w:rPr>
          <w:vertAlign w:val="subscript"/>
        </w:rPr>
        <w:t>be</w:t>
      </w:r>
      <w:proofErr w:type="spellEnd"/>
      <w:r>
        <w:t xml:space="preserve"> ≈1.30).</w:t>
      </w:r>
    </w:p>
    <w:p w14:paraId="71A8F4FC" w14:textId="77777777" w:rsidR="00E52964" w:rsidRDefault="00000000">
      <w:pPr>
        <w:pStyle w:val="a0"/>
      </w:pPr>
      <w:r>
        <w:t>The three implementations are algorithmically equivalent; floating-point differences below 0.1% do not affect any qualitative conclusion.</w:t>
      </w:r>
    </w:p>
    <w:p w14:paraId="79CB6DE4" w14:textId="77777777" w:rsidR="00E52964" w:rsidRDefault="00000000">
      <w:pPr>
        <w:pStyle w:val="1"/>
      </w:pPr>
      <w:r>
        <w:lastRenderedPageBreak/>
        <w:t>9. Data availability and contact</w:t>
      </w:r>
    </w:p>
    <w:p w14:paraId="0C43B7E5" w14:textId="77777777" w:rsidR="00E52964" w:rsidRDefault="00000000">
      <w:pPr>
        <w:spacing w:after="120"/>
      </w:pPr>
      <w:r>
        <w:t>Data availability statement. The numerical simulations and sensitivity analyses supporting the findings of this study are fully reproducible. All model parameters are specified in §3.5, and complete Python, MATLAB, and R code to regenerate Figures 1–4 is provided in the accompanying reproducibility package. No proprietary or restricted datasets were used.</w:t>
      </w:r>
    </w:p>
    <w:p w14:paraId="1CF28D9B" w14:textId="77777777" w:rsidR="00E52964" w:rsidRDefault="00000000">
      <w:pPr>
        <w:spacing w:after="120"/>
      </w:pPr>
      <w:r>
        <w:t>For questions regarding the computational implementation, please contact the corresponding author.</w:t>
      </w:r>
    </w:p>
    <w:sectPr w:rsidR="00E529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BB90" w14:textId="77777777" w:rsidR="00EE5A1A" w:rsidRDefault="00EE5A1A">
      <w:pPr>
        <w:spacing w:line="240" w:lineRule="auto"/>
      </w:pPr>
      <w:r>
        <w:separator/>
      </w:r>
    </w:p>
  </w:endnote>
  <w:endnote w:type="continuationSeparator" w:id="0">
    <w:p w14:paraId="738DC4BE" w14:textId="77777777" w:rsidR="00EE5A1A" w:rsidRDefault="00EE5A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AAEC" w14:textId="77777777" w:rsidR="00EE5A1A" w:rsidRDefault="00EE5A1A">
      <w:pPr>
        <w:spacing w:after="0"/>
      </w:pPr>
      <w:r>
        <w:separator/>
      </w:r>
    </w:p>
  </w:footnote>
  <w:footnote w:type="continuationSeparator" w:id="0">
    <w:p w14:paraId="0E20331F" w14:textId="77777777" w:rsidR="00EE5A1A" w:rsidRDefault="00EE5A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646471433">
    <w:abstractNumId w:val="1"/>
  </w:num>
  <w:num w:numId="2" w16cid:durableId="1437486252">
    <w:abstractNumId w:val="4"/>
  </w:num>
  <w:num w:numId="3" w16cid:durableId="1445885793">
    <w:abstractNumId w:val="5"/>
  </w:num>
  <w:num w:numId="4" w16cid:durableId="16153649">
    <w:abstractNumId w:val="2"/>
  </w:num>
  <w:num w:numId="5" w16cid:durableId="141968860">
    <w:abstractNumId w:val="0"/>
  </w:num>
  <w:num w:numId="6" w16cid:durableId="1360470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3D37"/>
    <w:rsid w:val="0029639D"/>
    <w:rsid w:val="00326F90"/>
    <w:rsid w:val="00346B8D"/>
    <w:rsid w:val="003D18D5"/>
    <w:rsid w:val="004D47BF"/>
    <w:rsid w:val="005137BF"/>
    <w:rsid w:val="00606FC0"/>
    <w:rsid w:val="00612928"/>
    <w:rsid w:val="00614A51"/>
    <w:rsid w:val="009F3334"/>
    <w:rsid w:val="00A65224"/>
    <w:rsid w:val="00AA1D8D"/>
    <w:rsid w:val="00B216ED"/>
    <w:rsid w:val="00B47730"/>
    <w:rsid w:val="00C61A5D"/>
    <w:rsid w:val="00C7675D"/>
    <w:rsid w:val="00CB0664"/>
    <w:rsid w:val="00D50C78"/>
    <w:rsid w:val="00D72D14"/>
    <w:rsid w:val="00E52964"/>
    <w:rsid w:val="00EE5A1A"/>
    <w:rsid w:val="00EE6943"/>
    <w:rsid w:val="00FC693F"/>
    <w:rsid w:val="39AC20C5"/>
    <w:rsid w:val="4D2D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9C69ED"/>
  <w14:defaultImageDpi w14:val="300"/>
  <w15:docId w15:val="{CC8ACDBE-38FB-45E9-8C33-B7C96430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2717</Words>
  <Characters>15489</Characters>
  <Application>Microsoft Office Word</Application>
  <DocSecurity>0</DocSecurity>
  <Lines>129</Lines>
  <Paragraphs>36</Paragraphs>
  <ScaleCrop>false</ScaleCrop>
  <Company/>
  <LinksUpToDate>false</LinksUpToDate>
  <CharactersWithSpaces>18170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Zhongjun Wang</cp:lastModifiedBy>
  <cp:revision>10</cp:revision>
  <dcterms:created xsi:type="dcterms:W3CDTF">2013-12-23T23:15:00Z</dcterms:created>
  <dcterms:modified xsi:type="dcterms:W3CDTF">2026-09-29T03:56:00Z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eyJoZGlkIjoiMTcyNDkzYmRmYzk0ZTJlZDczN2NlZjAxMWZiNmM1ZTgiLCJ1c2VySWQiOiIxMzczNTYxOTU5In0=</vt:lpwstr>
  </property>
  <property fmtid="{D5CDD505-2E9C-101B-9397-08002B2CF9AE}" pid="3" name="KSOProductBuildVer">
    <vt:lpwstr>2052-12.1.0.28505</vt:lpwstr>
  </property>
  <property fmtid="{D5CDD505-2E9C-101B-9397-08002B2CF9AE}" pid="4" name="ICV">
    <vt:lpwstr>923B0547B0224A909DA8FA27E6EEAD33_12</vt:lpwstr>
  </property>
</Properties>
</file>