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B816E" w14:textId="77777777" w:rsidR="00DE4B71" w:rsidRPr="005D1190" w:rsidRDefault="00DE4B71" w:rsidP="00DE4B71">
      <w:pPr>
        <w:spacing w:line="480" w:lineRule="auto"/>
        <w:jc w:val="both"/>
        <w:rPr>
          <w:rFonts w:ascii="Arial" w:hAnsi="Arial" w:cs="Arial"/>
          <w:color w:val="000000" w:themeColor="text1"/>
        </w:rPr>
      </w:pPr>
    </w:p>
    <w:p w14:paraId="0DA11A01" w14:textId="77777777" w:rsidR="00DE4B71" w:rsidRPr="005D1190" w:rsidRDefault="00DE4B71" w:rsidP="00DE4B71">
      <w:pPr>
        <w:pStyle w:val="NormalWeb"/>
        <w:spacing w:line="480" w:lineRule="auto"/>
        <w:jc w:val="both"/>
        <w:rPr>
          <w:color w:val="000000" w:themeColor="text1"/>
        </w:rPr>
      </w:pPr>
      <w:r w:rsidRPr="005D1190">
        <w:rPr>
          <w:noProof/>
          <w:color w:val="000000" w:themeColor="text1"/>
          <w14:ligatures w14:val="standardContextual"/>
        </w:rPr>
        <w:drawing>
          <wp:inline distT="0" distB="0" distL="0" distR="0" wp14:anchorId="6CF2C5C2" wp14:editId="38999A3D">
            <wp:extent cx="5731510" cy="5815330"/>
            <wp:effectExtent l="0" t="0" r="2540" b="0"/>
            <wp:docPr id="20958482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848227" name="Picture 2095848227"/>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5815330"/>
                    </a:xfrm>
                    <a:prstGeom prst="rect">
                      <a:avLst/>
                    </a:prstGeom>
                  </pic:spPr>
                </pic:pic>
              </a:graphicData>
            </a:graphic>
          </wp:inline>
        </w:drawing>
      </w:r>
    </w:p>
    <w:p w14:paraId="786F3EF3" w14:textId="77777777" w:rsidR="00DE4B71" w:rsidRPr="005D1190" w:rsidRDefault="00DE4B71" w:rsidP="00DE4B71">
      <w:pPr>
        <w:spacing w:line="480" w:lineRule="auto"/>
        <w:jc w:val="both"/>
        <w:rPr>
          <w:rFonts w:ascii="Arial" w:hAnsi="Arial" w:cs="Arial"/>
          <w:color w:val="000000" w:themeColor="text1"/>
        </w:rPr>
      </w:pPr>
      <w:r w:rsidRPr="005D1190">
        <w:rPr>
          <w:rFonts w:ascii="Arial" w:hAnsi="Arial" w:cs="Arial"/>
          <w:b/>
          <w:bCs/>
          <w:color w:val="000000" w:themeColor="text1"/>
          <w:lang w:val="en-GB"/>
        </w:rPr>
        <w:t>Figure S1. Efficacy of neutrophil isolation and MSC depletion</w:t>
      </w:r>
    </w:p>
    <w:p w14:paraId="5ECEDF05" w14:textId="77777777" w:rsidR="00DE4B71" w:rsidRPr="005D1190" w:rsidRDefault="00DE4B71" w:rsidP="00DE4B71">
      <w:pPr>
        <w:spacing w:line="480" w:lineRule="auto"/>
        <w:jc w:val="both"/>
        <w:rPr>
          <w:rFonts w:ascii="Arial" w:hAnsi="Arial" w:cs="Arial"/>
          <w:color w:val="000000" w:themeColor="text1"/>
        </w:rPr>
      </w:pPr>
      <w:bookmarkStart w:id="0" w:name="OLE_LINK2"/>
      <w:r w:rsidRPr="005D1190">
        <w:rPr>
          <w:rFonts w:ascii="Arial" w:hAnsi="Arial" w:cs="Arial"/>
          <w:b/>
          <w:bCs/>
          <w:color w:val="000000" w:themeColor="text1"/>
        </w:rPr>
        <w:t>A)</w:t>
      </w:r>
      <w:r w:rsidRPr="005D1190">
        <w:rPr>
          <w:rFonts w:ascii="Arial" w:hAnsi="Arial" w:cs="Arial"/>
          <w:color w:val="000000" w:themeColor="text1"/>
        </w:rPr>
        <w:t xml:space="preserve"> Schematic of the workflow used in this study. </w:t>
      </w:r>
    </w:p>
    <w:p w14:paraId="414EAEA3" w14:textId="77777777" w:rsidR="00DE4B71" w:rsidRPr="005D1190" w:rsidRDefault="00DE4B71" w:rsidP="00DE4B71">
      <w:pPr>
        <w:spacing w:line="480" w:lineRule="auto"/>
        <w:jc w:val="both"/>
        <w:rPr>
          <w:rFonts w:ascii="Arial" w:hAnsi="Arial" w:cs="Arial"/>
          <w:color w:val="000000" w:themeColor="text1"/>
        </w:rPr>
      </w:pPr>
      <w:r w:rsidRPr="005D1190">
        <w:rPr>
          <w:rFonts w:ascii="Arial" w:hAnsi="Arial" w:cs="Arial"/>
          <w:b/>
          <w:bCs/>
          <w:color w:val="000000" w:themeColor="text1"/>
        </w:rPr>
        <w:t xml:space="preserve">B) </w:t>
      </w:r>
      <w:r w:rsidRPr="005D1190">
        <w:rPr>
          <w:rFonts w:ascii="Arial" w:hAnsi="Arial" w:cs="Arial"/>
          <w:color w:val="000000" w:themeColor="text1"/>
        </w:rPr>
        <w:t>Representative flow cytometry purity evaluation of freshly isolated primary neutrophils derived from heparinized peripheral blood of healthy donors.</w:t>
      </w:r>
    </w:p>
    <w:p w14:paraId="028E8BAB" w14:textId="77777777" w:rsidR="00DE4B71" w:rsidRPr="005D1190" w:rsidRDefault="00DE4B71" w:rsidP="00DE4B71">
      <w:pPr>
        <w:spacing w:line="480" w:lineRule="auto"/>
        <w:jc w:val="both"/>
        <w:rPr>
          <w:rFonts w:ascii="Arial" w:hAnsi="Arial" w:cs="Arial"/>
          <w:color w:val="000000" w:themeColor="text1"/>
        </w:rPr>
      </w:pPr>
      <w:r w:rsidRPr="005D1190">
        <w:rPr>
          <w:rFonts w:ascii="Arial" w:hAnsi="Arial" w:cs="Arial"/>
          <w:b/>
          <w:bCs/>
          <w:color w:val="000000" w:themeColor="text1"/>
        </w:rPr>
        <w:lastRenderedPageBreak/>
        <w:t>C)</w:t>
      </w:r>
      <w:r w:rsidRPr="005D1190">
        <w:rPr>
          <w:rFonts w:ascii="Arial" w:hAnsi="Arial" w:cs="Arial"/>
          <w:color w:val="000000" w:themeColor="text1"/>
        </w:rPr>
        <w:t xml:space="preserve"> Freshly isolated primary neutrophils from different donors were pre-incubated with MSCs for 6h or 18h. </w:t>
      </w:r>
      <w:bookmarkEnd w:id="0"/>
      <w:r w:rsidRPr="005D1190">
        <w:rPr>
          <w:rFonts w:ascii="Arial" w:hAnsi="Arial" w:cs="Arial"/>
          <w:color w:val="000000" w:themeColor="text1"/>
        </w:rPr>
        <w:t>After incubation, residual MSCs were removed using human CD90 MicroBeads and CD90 positive MSC levels were measured by flow cytometry. Data is presented as mean ± SD from 9 independent experiments where 9 healthy donors were incubated with different MSC sources. Statistical significance was assessed using a two-tailed paired Wilcoxon test. ****</w:t>
      </w:r>
      <w:r w:rsidRPr="005D1190">
        <w:rPr>
          <w:rFonts w:ascii="Arial" w:hAnsi="Arial" w:cs="Arial"/>
          <w:i/>
          <w:iCs/>
          <w:color w:val="000000" w:themeColor="text1"/>
        </w:rPr>
        <w:t>p</w:t>
      </w:r>
      <w:r w:rsidRPr="005D1190">
        <w:rPr>
          <w:rFonts w:ascii="Arial" w:hAnsi="Arial" w:cs="Arial"/>
          <w:color w:val="000000" w:themeColor="text1"/>
        </w:rPr>
        <w:t> &lt; 0.0001</w:t>
      </w:r>
    </w:p>
    <w:p w14:paraId="3190DA8A" w14:textId="77777777" w:rsidR="00DE4B71" w:rsidRPr="005D1190" w:rsidRDefault="00DE4B71" w:rsidP="00DE4B71">
      <w:pPr>
        <w:pStyle w:val="NormalWeb"/>
        <w:spacing w:line="480" w:lineRule="auto"/>
        <w:jc w:val="both"/>
        <w:rPr>
          <w:color w:val="000000" w:themeColor="text1"/>
        </w:rPr>
      </w:pPr>
    </w:p>
    <w:p w14:paraId="1D1CBB8D" w14:textId="77777777" w:rsidR="00DE4B71" w:rsidRPr="005D1190" w:rsidRDefault="00DE4B71" w:rsidP="00DE4B71">
      <w:pPr>
        <w:pStyle w:val="NormalWeb"/>
        <w:spacing w:line="480" w:lineRule="auto"/>
        <w:jc w:val="both"/>
        <w:rPr>
          <w:color w:val="000000" w:themeColor="text1"/>
        </w:rPr>
      </w:pPr>
      <w:r w:rsidRPr="005D1190">
        <w:rPr>
          <w:noProof/>
          <w:color w:val="000000" w:themeColor="text1"/>
          <w14:ligatures w14:val="standardContextual"/>
        </w:rPr>
        <w:lastRenderedPageBreak/>
        <w:drawing>
          <wp:inline distT="0" distB="0" distL="0" distR="0" wp14:anchorId="77BEEC40" wp14:editId="727A4823">
            <wp:extent cx="5731510" cy="6671945"/>
            <wp:effectExtent l="0" t="0" r="2540" b="0"/>
            <wp:docPr id="7547340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34072" name="Picture 75473407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6671945"/>
                    </a:xfrm>
                    <a:prstGeom prst="rect">
                      <a:avLst/>
                    </a:prstGeom>
                  </pic:spPr>
                </pic:pic>
              </a:graphicData>
            </a:graphic>
          </wp:inline>
        </w:drawing>
      </w:r>
    </w:p>
    <w:p w14:paraId="7253CB6A" w14:textId="77777777" w:rsidR="00DE4B71" w:rsidRPr="005D1190" w:rsidRDefault="00DE4B71" w:rsidP="00DE4B71">
      <w:pPr>
        <w:spacing w:line="480" w:lineRule="auto"/>
        <w:rPr>
          <w:rFonts w:ascii="Arial" w:hAnsi="Arial" w:cs="Arial"/>
          <w:b/>
          <w:bCs/>
          <w:color w:val="000000" w:themeColor="text1"/>
          <w:lang w:val="en-GB"/>
        </w:rPr>
      </w:pPr>
      <w:r w:rsidRPr="005D1190">
        <w:rPr>
          <w:rFonts w:ascii="Arial" w:hAnsi="Arial" w:cs="Arial"/>
          <w:b/>
          <w:bCs/>
          <w:color w:val="000000" w:themeColor="text1"/>
          <w:lang w:val="en-GB"/>
        </w:rPr>
        <w:t>Figure S2. MSC-programmed neutrophils suppress T-cell proliferation</w:t>
      </w:r>
    </w:p>
    <w:p w14:paraId="13AF8E62" w14:textId="77777777" w:rsidR="00DE4B71" w:rsidRPr="005D1190" w:rsidRDefault="00DE4B71" w:rsidP="00DE4B71">
      <w:pPr>
        <w:spacing w:line="480" w:lineRule="auto"/>
        <w:jc w:val="both"/>
        <w:rPr>
          <w:rFonts w:ascii="Arial" w:hAnsi="Arial" w:cs="Arial"/>
          <w:color w:val="000000" w:themeColor="text1"/>
        </w:rPr>
      </w:pPr>
      <w:r w:rsidRPr="005D1190">
        <w:rPr>
          <w:rFonts w:ascii="Arial" w:hAnsi="Arial" w:cs="Arial"/>
          <w:color w:val="000000" w:themeColor="text1"/>
        </w:rPr>
        <w:t xml:space="preserve">In experiments shown in panel A, B and C of this figure, freshly isolated primary neutrophils from different donors were pre-incubated with freshly thawed MSCs for 6h. </w:t>
      </w:r>
      <w:r w:rsidRPr="005D1190">
        <w:rPr>
          <w:rFonts w:ascii="Arial" w:hAnsi="Arial" w:cs="Arial"/>
          <w:color w:val="000000" w:themeColor="text1"/>
        </w:rPr>
        <w:lastRenderedPageBreak/>
        <w:t>Residual MSCs were subsequently removed, and the programmed neutrophils (PR-N) or unprogrammed neutrophils (N) were co-cultured with autologous, freshly isolated T-cells (T). T-cells were labelled with CTV and then either left unstimulated (unst-T) or stimulated via CD3/CD28 stimulation (st-T). T-cell proliferation was assessed by flow cytometry after 7 days of neutrophil-T cell co-incubation.</w:t>
      </w:r>
    </w:p>
    <w:p w14:paraId="50F5F63B" w14:textId="77777777" w:rsidR="00DE4B71" w:rsidRPr="005D1190" w:rsidRDefault="00DE4B71" w:rsidP="00DE4B71">
      <w:pPr>
        <w:spacing w:line="480" w:lineRule="auto"/>
        <w:jc w:val="both"/>
        <w:rPr>
          <w:rFonts w:ascii="Arial" w:hAnsi="Arial" w:cs="Arial"/>
          <w:color w:val="000000" w:themeColor="text1"/>
        </w:rPr>
      </w:pPr>
      <w:r w:rsidRPr="005D1190">
        <w:rPr>
          <w:rFonts w:ascii="Arial" w:hAnsi="Arial" w:cs="Arial"/>
          <w:b/>
          <w:bCs/>
          <w:color w:val="000000" w:themeColor="text1"/>
        </w:rPr>
        <w:t>A, B)</w:t>
      </w:r>
      <w:r w:rsidRPr="005D1190">
        <w:rPr>
          <w:rFonts w:ascii="Arial" w:hAnsi="Arial" w:cs="Arial"/>
          <w:color w:val="000000" w:themeColor="text1"/>
        </w:rPr>
        <w:t xml:space="preserve"> Neutrophils from multiple blood donors were pre-incubated with the same MSC source for 6h. T</w:t>
      </w:r>
      <w:r w:rsidRPr="005D1190">
        <w:rPr>
          <w:rFonts w:ascii="Arial" w:hAnsi="Arial" w:cs="Arial"/>
          <w:color w:val="000000" w:themeColor="text1"/>
          <w:lang w:val="en-GB"/>
        </w:rPr>
        <w:t>-</w:t>
      </w:r>
      <w:r w:rsidRPr="005D1190">
        <w:rPr>
          <w:rFonts w:ascii="Arial" w:hAnsi="Arial" w:cs="Arial"/>
          <w:color w:val="000000" w:themeColor="text1"/>
        </w:rPr>
        <w:t>cell proliferation and viability were evaluated, and the effect of MSC-mediated neutrophil reprogramming was compared to unprogrammed neutrophils. Data is presented as mean ± SD from 6 independent healthy donors. Statistical significance was assessed using one-way repeated-measures ANOVA followed by Šídák's multiple-comparisons test for neutrophils to focus on the comparison between N and PR-N on T-cells.</w:t>
      </w:r>
    </w:p>
    <w:p w14:paraId="06F40ADB" w14:textId="77777777" w:rsidR="00DE4B71" w:rsidRPr="005D1190" w:rsidRDefault="00DE4B71" w:rsidP="00DE4B71">
      <w:pPr>
        <w:spacing w:line="480" w:lineRule="auto"/>
        <w:jc w:val="both"/>
        <w:rPr>
          <w:rFonts w:ascii="Arial" w:hAnsi="Arial" w:cs="Arial"/>
          <w:color w:val="000000" w:themeColor="text1"/>
        </w:rPr>
      </w:pPr>
      <w:r w:rsidRPr="005D1190">
        <w:rPr>
          <w:rFonts w:ascii="Arial" w:hAnsi="Arial" w:cs="Arial"/>
          <w:b/>
          <w:bCs/>
          <w:color w:val="000000" w:themeColor="text1"/>
        </w:rPr>
        <w:t>C)</w:t>
      </w:r>
      <w:r w:rsidRPr="005D1190">
        <w:rPr>
          <w:rFonts w:ascii="Arial" w:hAnsi="Arial" w:cs="Arial"/>
          <w:color w:val="000000" w:themeColor="text1"/>
        </w:rPr>
        <w:t xml:space="preserve"> Neutrophils from two blood donors were each pre-incubated with three different MSC sources. The effect of MSC-mediated neutrophil reprogramming was compared to unprogrammed neutrophils. Data is representative of two independent experiments, each performed in triplicate and are presented as mean ± SD of technical triplicates from a single blood donor. Statistical significance was assessed using one-way repeated-measures ANOVA followed by Tukey’s multiple-comparisons test.</w:t>
      </w:r>
    </w:p>
    <w:p w14:paraId="5B5129BB" w14:textId="77777777" w:rsidR="00DE4B71" w:rsidRPr="005D1190" w:rsidRDefault="00DE4B71" w:rsidP="00DE4B71">
      <w:pPr>
        <w:spacing w:line="480" w:lineRule="auto"/>
        <w:jc w:val="both"/>
        <w:rPr>
          <w:rFonts w:ascii="Arial" w:hAnsi="Arial" w:cs="Arial"/>
          <w:color w:val="000000" w:themeColor="text1"/>
        </w:rPr>
      </w:pPr>
      <w:r w:rsidRPr="005D1190">
        <w:rPr>
          <w:rFonts w:ascii="Arial" w:hAnsi="Arial" w:cs="Arial"/>
          <w:b/>
          <w:bCs/>
          <w:color w:val="000000" w:themeColor="text1"/>
        </w:rPr>
        <w:t>D)</w:t>
      </w:r>
      <w:r w:rsidRPr="005D1190">
        <w:rPr>
          <w:rFonts w:ascii="Arial" w:hAnsi="Arial" w:cs="Arial"/>
          <w:color w:val="000000" w:themeColor="text1"/>
        </w:rPr>
        <w:t xml:space="preserve"> Immediately after thawing, MSCs were counted and either subjected to heat shock (52°C for 40min) or treated with 6M perchloric acid for 6h. Cells were subsequently stained using the Violet Chromatin Condensation/Dead Cell Apoptosis Kit with Vybrant® DyeCycle™ Violet (to identify apoptotic cells) and SYTOX® AADvanced™ (to identify </w:t>
      </w:r>
      <w:r w:rsidRPr="005D1190">
        <w:rPr>
          <w:rFonts w:ascii="Arial" w:hAnsi="Arial" w:cs="Arial"/>
          <w:color w:val="000000" w:themeColor="text1"/>
        </w:rPr>
        <w:lastRenderedPageBreak/>
        <w:t>necrotic cells) and analysed by flow cytometry. Data is representative of a single experiment.</w:t>
      </w:r>
    </w:p>
    <w:p w14:paraId="53BAD149" w14:textId="77777777" w:rsidR="00DE4B71" w:rsidRPr="005D1190" w:rsidRDefault="00DE4B71" w:rsidP="00DE4B71">
      <w:pPr>
        <w:spacing w:line="480" w:lineRule="auto"/>
        <w:jc w:val="both"/>
        <w:rPr>
          <w:rFonts w:ascii="Arial" w:hAnsi="Arial" w:cs="Arial"/>
          <w:color w:val="000000" w:themeColor="text1"/>
        </w:rPr>
      </w:pPr>
      <w:r w:rsidRPr="005D1190">
        <w:rPr>
          <w:rFonts w:ascii="Arial" w:hAnsi="Arial" w:cs="Arial"/>
          <w:color w:val="000000" w:themeColor="text1"/>
        </w:rPr>
        <w:t>*</w:t>
      </w:r>
      <w:r w:rsidRPr="005D1190">
        <w:rPr>
          <w:rFonts w:ascii="Arial" w:hAnsi="Arial" w:cs="Arial"/>
          <w:i/>
          <w:iCs/>
          <w:color w:val="000000" w:themeColor="text1"/>
        </w:rPr>
        <w:t>p</w:t>
      </w:r>
      <w:r w:rsidRPr="005D1190">
        <w:rPr>
          <w:rFonts w:ascii="Arial" w:hAnsi="Arial" w:cs="Arial"/>
          <w:color w:val="000000" w:themeColor="text1"/>
        </w:rPr>
        <w:t> &lt; 0.05, **</w:t>
      </w:r>
      <w:r w:rsidRPr="005D1190">
        <w:rPr>
          <w:rFonts w:ascii="Arial" w:hAnsi="Arial" w:cs="Arial"/>
          <w:i/>
          <w:iCs/>
          <w:color w:val="000000" w:themeColor="text1"/>
        </w:rPr>
        <w:t>p</w:t>
      </w:r>
      <w:r w:rsidRPr="005D1190">
        <w:rPr>
          <w:rFonts w:ascii="Arial" w:hAnsi="Arial" w:cs="Arial"/>
          <w:color w:val="000000" w:themeColor="text1"/>
        </w:rPr>
        <w:t> &lt; 0.01</w:t>
      </w:r>
    </w:p>
    <w:p w14:paraId="40FBBC01" w14:textId="77777777" w:rsidR="00DE4B71" w:rsidRPr="005D1190" w:rsidRDefault="00DE4B71" w:rsidP="00DE4B71">
      <w:pPr>
        <w:pStyle w:val="NormalWeb"/>
        <w:spacing w:line="480" w:lineRule="auto"/>
        <w:jc w:val="both"/>
        <w:rPr>
          <w:color w:val="000000" w:themeColor="text1"/>
        </w:rPr>
      </w:pPr>
      <w:r w:rsidRPr="005D1190">
        <w:rPr>
          <w:noProof/>
          <w:color w:val="000000" w:themeColor="text1"/>
          <w14:ligatures w14:val="standardContextual"/>
        </w:rPr>
        <w:drawing>
          <wp:inline distT="0" distB="0" distL="0" distR="0" wp14:anchorId="582E4E57" wp14:editId="0380418A">
            <wp:extent cx="4911852" cy="4006596"/>
            <wp:effectExtent l="0" t="0" r="3175" b="0"/>
            <wp:docPr id="10768484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848413" name="Picture 1076848413"/>
                    <pic:cNvPicPr/>
                  </pic:nvPicPr>
                  <pic:blipFill>
                    <a:blip r:embed="rId6" cstate="print">
                      <a:extLst>
                        <a:ext uri="{28A0092B-C50C-407E-A947-70E740481C1C}">
                          <a14:useLocalDpi xmlns:a14="http://schemas.microsoft.com/office/drawing/2010/main" val="0"/>
                        </a:ext>
                      </a:extLst>
                    </a:blip>
                    <a:stretch>
                      <a:fillRect/>
                    </a:stretch>
                  </pic:blipFill>
                  <pic:spPr>
                    <a:xfrm>
                      <a:off x="0" y="0"/>
                      <a:ext cx="4911852" cy="4006596"/>
                    </a:xfrm>
                    <a:prstGeom prst="rect">
                      <a:avLst/>
                    </a:prstGeom>
                  </pic:spPr>
                </pic:pic>
              </a:graphicData>
            </a:graphic>
          </wp:inline>
        </w:drawing>
      </w:r>
    </w:p>
    <w:p w14:paraId="14684E14" w14:textId="77777777" w:rsidR="00DE4B71" w:rsidRPr="005D1190" w:rsidRDefault="00DE4B71" w:rsidP="00DE4B71">
      <w:pPr>
        <w:spacing w:line="480" w:lineRule="auto"/>
        <w:jc w:val="both"/>
        <w:rPr>
          <w:rFonts w:ascii="Arial" w:hAnsi="Arial" w:cs="Arial"/>
          <w:color w:val="000000" w:themeColor="text1"/>
        </w:rPr>
      </w:pPr>
      <w:r w:rsidRPr="005D1190">
        <w:rPr>
          <w:rFonts w:ascii="Arial" w:hAnsi="Arial" w:cs="Arial"/>
          <w:b/>
          <w:bCs/>
          <w:color w:val="000000" w:themeColor="text1"/>
          <w:lang w:val="en-GB"/>
        </w:rPr>
        <w:t xml:space="preserve">Figure S3. MSC effect on </w:t>
      </w:r>
      <w:r w:rsidRPr="005D1190">
        <w:rPr>
          <w:rFonts w:ascii="Arial" w:hAnsi="Arial" w:cs="Arial"/>
          <w:b/>
          <w:bCs/>
          <w:color w:val="000000" w:themeColor="text1"/>
        </w:rPr>
        <w:t>neutrophil phenotype and viability</w:t>
      </w:r>
    </w:p>
    <w:p w14:paraId="00881555" w14:textId="77777777" w:rsidR="00DE4B71" w:rsidRPr="005D1190" w:rsidRDefault="00DE4B71" w:rsidP="00DE4B71">
      <w:pPr>
        <w:spacing w:line="480" w:lineRule="auto"/>
        <w:jc w:val="both"/>
        <w:rPr>
          <w:rFonts w:ascii="Arial" w:hAnsi="Arial" w:cs="Arial"/>
          <w:color w:val="000000" w:themeColor="text1"/>
        </w:rPr>
      </w:pPr>
      <w:r w:rsidRPr="005D1190">
        <w:rPr>
          <w:rFonts w:ascii="Arial" w:hAnsi="Arial" w:cs="Arial"/>
          <w:b/>
          <w:bCs/>
          <w:color w:val="000000" w:themeColor="text1"/>
        </w:rPr>
        <w:t>A)</w:t>
      </w:r>
      <w:r w:rsidRPr="005D1190">
        <w:rPr>
          <w:rFonts w:ascii="Arial" w:hAnsi="Arial" w:cs="Arial"/>
          <w:color w:val="000000" w:themeColor="text1"/>
        </w:rPr>
        <w:t xml:space="preserve"> Freshly isolated whole blood from multiple donors was incubated with freshly thawed MSCs (blood+M) and CD16 expression levels were quantified in neutrophils. Neutrophil viability was additionally evaluated to exclude that differences were related to increased neutrophil mortality over time. Data is presented as mean ± SD from 7 independent healthy donors. Statistical significance was assessed using two-way repeated-measures ANOVA followed by Tukey’s multiple-comparisons test.</w:t>
      </w:r>
    </w:p>
    <w:p w14:paraId="7FA71CF7" w14:textId="77777777" w:rsidR="00DE4B71" w:rsidRPr="005D1190" w:rsidRDefault="00DE4B71" w:rsidP="00DE4B71">
      <w:pPr>
        <w:spacing w:line="480" w:lineRule="auto"/>
        <w:jc w:val="both"/>
        <w:rPr>
          <w:rFonts w:ascii="Arial" w:hAnsi="Arial" w:cs="Arial"/>
          <w:color w:val="000000" w:themeColor="text1"/>
        </w:rPr>
      </w:pPr>
      <w:r w:rsidRPr="005D1190">
        <w:rPr>
          <w:rFonts w:ascii="Arial" w:hAnsi="Arial" w:cs="Arial"/>
          <w:b/>
          <w:bCs/>
          <w:color w:val="000000" w:themeColor="text1"/>
        </w:rPr>
        <w:lastRenderedPageBreak/>
        <w:t>B)</w:t>
      </w:r>
      <w:r w:rsidRPr="005D1190">
        <w:rPr>
          <w:rFonts w:ascii="Arial" w:hAnsi="Arial" w:cs="Arial"/>
          <w:color w:val="000000" w:themeColor="text1"/>
        </w:rPr>
        <w:t xml:space="preserve"> Neutrophils from multiple blood donors were pre-incubated with freshly thawed MSCs. PR-N or N were then co-cultured with autologous, freshly isolated T</w:t>
      </w:r>
      <w:r w:rsidRPr="005D1190">
        <w:rPr>
          <w:rFonts w:ascii="Arial" w:hAnsi="Arial" w:cs="Arial"/>
          <w:color w:val="000000" w:themeColor="text1"/>
          <w:lang w:val="en-GB"/>
        </w:rPr>
        <w:t>-</w:t>
      </w:r>
      <w:r w:rsidRPr="005D1190">
        <w:rPr>
          <w:rFonts w:ascii="Arial" w:hAnsi="Arial" w:cs="Arial"/>
          <w:color w:val="000000" w:themeColor="text1"/>
        </w:rPr>
        <w:t xml:space="preserve">cells, and neutrophil viability was assessed after 2 days. Data is presented as mean ± SD from 7 independent experiments with 5 healthy donors, one of which was incubated with 3 different sources of MSCs. Statistical significance was assessed using a two-tailed paired t-test. </w:t>
      </w:r>
    </w:p>
    <w:p w14:paraId="490F2DB0" w14:textId="77777777" w:rsidR="00DE4B71" w:rsidRPr="005D1190" w:rsidRDefault="00DE4B71" w:rsidP="00DE4B71">
      <w:pPr>
        <w:spacing w:line="480" w:lineRule="auto"/>
        <w:jc w:val="both"/>
        <w:rPr>
          <w:rFonts w:ascii="Arial" w:hAnsi="Arial" w:cs="Arial"/>
          <w:color w:val="000000" w:themeColor="text1"/>
        </w:rPr>
      </w:pPr>
      <w:r w:rsidRPr="005D1190">
        <w:rPr>
          <w:rFonts w:ascii="Arial" w:hAnsi="Arial" w:cs="Arial"/>
          <w:color w:val="000000" w:themeColor="text1"/>
        </w:rPr>
        <w:t>*</w:t>
      </w:r>
      <w:r w:rsidRPr="005D1190">
        <w:rPr>
          <w:rFonts w:ascii="Arial" w:hAnsi="Arial" w:cs="Arial"/>
          <w:i/>
          <w:iCs/>
          <w:color w:val="000000" w:themeColor="text1"/>
        </w:rPr>
        <w:t>p</w:t>
      </w:r>
      <w:r w:rsidRPr="005D1190">
        <w:rPr>
          <w:rFonts w:ascii="Arial" w:hAnsi="Arial" w:cs="Arial"/>
          <w:color w:val="000000" w:themeColor="text1"/>
        </w:rPr>
        <w:t> &lt; 0.05</w:t>
      </w:r>
    </w:p>
    <w:p w14:paraId="4B7C56D3" w14:textId="77777777" w:rsidR="00B64608" w:rsidRPr="005D1190" w:rsidRDefault="00DE4B71" w:rsidP="00B64608">
      <w:pPr>
        <w:spacing w:before="100" w:beforeAutospacing="1" w:after="100" w:afterAutospacing="1" w:line="480" w:lineRule="auto"/>
        <w:jc w:val="both"/>
        <w:rPr>
          <w:rFonts w:ascii="Times New Roman" w:eastAsia="Times New Roman" w:hAnsi="Times New Roman" w:cs="Times New Roman"/>
          <w:color w:val="000000" w:themeColor="text1"/>
          <w:kern w:val="0"/>
          <w:lang w:eastAsia="en-GB"/>
          <w14:ligatures w14:val="none"/>
        </w:rPr>
      </w:pPr>
      <w:r w:rsidRPr="005D1190">
        <w:rPr>
          <w:color w:val="000000" w:themeColor="text1"/>
        </w:rPr>
        <w:br/>
      </w:r>
    </w:p>
    <w:p w14:paraId="7C1BAF98" w14:textId="77777777" w:rsidR="00B64608" w:rsidRPr="005D1190" w:rsidRDefault="00B64608" w:rsidP="00B64608">
      <w:pPr>
        <w:spacing w:before="100" w:beforeAutospacing="1" w:after="100" w:afterAutospacing="1" w:line="480" w:lineRule="auto"/>
        <w:jc w:val="both"/>
        <w:rPr>
          <w:rFonts w:ascii="Times New Roman" w:eastAsia="Times New Roman" w:hAnsi="Times New Roman" w:cs="Times New Roman"/>
          <w:color w:val="000000" w:themeColor="text1"/>
          <w:kern w:val="0"/>
          <w:lang w:eastAsia="en-GB"/>
          <w14:ligatures w14:val="none"/>
        </w:rPr>
      </w:pPr>
      <w:r w:rsidRPr="005D1190">
        <w:rPr>
          <w:rFonts w:ascii="Times New Roman" w:eastAsia="Times New Roman" w:hAnsi="Times New Roman" w:cs="Times New Roman"/>
          <w:noProof/>
          <w:color w:val="000000" w:themeColor="text1"/>
          <w:kern w:val="0"/>
          <w:lang w:eastAsia="en-GB"/>
        </w:rPr>
        <w:drawing>
          <wp:inline distT="0" distB="0" distL="0" distR="0" wp14:anchorId="72E06B65" wp14:editId="268504AB">
            <wp:extent cx="5300472" cy="1811274"/>
            <wp:effectExtent l="0" t="0" r="0" b="0"/>
            <wp:docPr id="17422498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249895" name="Picture 174224989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00472" cy="1811274"/>
                    </a:xfrm>
                    <a:prstGeom prst="rect">
                      <a:avLst/>
                    </a:prstGeom>
                  </pic:spPr>
                </pic:pic>
              </a:graphicData>
            </a:graphic>
          </wp:inline>
        </w:drawing>
      </w:r>
    </w:p>
    <w:p w14:paraId="4D2C5D58" w14:textId="77777777" w:rsidR="00B64608" w:rsidRPr="005D1190" w:rsidRDefault="00B64608" w:rsidP="00B64608">
      <w:pPr>
        <w:spacing w:line="480" w:lineRule="auto"/>
        <w:rPr>
          <w:rFonts w:ascii="Arial" w:hAnsi="Arial" w:cs="Arial"/>
          <w:b/>
          <w:bCs/>
          <w:color w:val="000000" w:themeColor="text1"/>
        </w:rPr>
      </w:pPr>
      <w:r w:rsidRPr="005D1190">
        <w:rPr>
          <w:rFonts w:ascii="Arial" w:hAnsi="Arial" w:cs="Arial"/>
          <w:b/>
          <w:bCs/>
          <w:color w:val="000000" w:themeColor="text1"/>
          <w:lang w:val="en-GB"/>
        </w:rPr>
        <w:t xml:space="preserve">Figure S4. </w:t>
      </w:r>
      <w:r w:rsidRPr="005D1190">
        <w:rPr>
          <w:rFonts w:ascii="Arial" w:hAnsi="Arial" w:cs="Arial"/>
          <w:b/>
          <w:bCs/>
          <w:color w:val="000000" w:themeColor="text1"/>
        </w:rPr>
        <w:t>Assessment of neutrophil-mediated HEK cell uptake</w:t>
      </w:r>
    </w:p>
    <w:p w14:paraId="3A05CE03" w14:textId="77777777" w:rsidR="00B64608" w:rsidRPr="005D1190" w:rsidRDefault="00B64608" w:rsidP="00B64608">
      <w:pPr>
        <w:spacing w:line="480" w:lineRule="auto"/>
        <w:jc w:val="both"/>
        <w:rPr>
          <w:rFonts w:ascii="Arial" w:hAnsi="Arial" w:cs="Arial"/>
          <w:color w:val="000000" w:themeColor="text1"/>
        </w:rPr>
      </w:pPr>
      <w:r w:rsidRPr="005D1190">
        <w:rPr>
          <w:rFonts w:ascii="Arial" w:hAnsi="Arial" w:cs="Arial"/>
          <w:color w:val="000000" w:themeColor="text1"/>
        </w:rPr>
        <w:t>Freshly isolated primary neutrophils from two healthy donors were co-incubated with freshly thawed HEK cells for 6 h. At the end of the co-incubation, the number of remaining HEK cells was quantified relative to the number of neutrophils by flow cytometry and normalized to Cytochalasin D-treated samples (inhib-N). Data is presented as mean ± SD from two independent healthy donors.</w:t>
      </w:r>
    </w:p>
    <w:p w14:paraId="40A02BAF" w14:textId="77777777" w:rsidR="00B64608" w:rsidRPr="005D1190" w:rsidRDefault="00B64608" w:rsidP="00B64608">
      <w:pPr>
        <w:spacing w:before="100" w:beforeAutospacing="1" w:after="100" w:afterAutospacing="1" w:line="480" w:lineRule="auto"/>
        <w:jc w:val="both"/>
        <w:rPr>
          <w:rFonts w:ascii="Times New Roman" w:eastAsia="Times New Roman" w:hAnsi="Times New Roman" w:cs="Times New Roman"/>
          <w:color w:val="000000" w:themeColor="text1"/>
          <w:kern w:val="0"/>
          <w:lang w:eastAsia="en-GB"/>
          <w14:ligatures w14:val="none"/>
        </w:rPr>
      </w:pPr>
      <w:r w:rsidRPr="005D1190">
        <w:rPr>
          <w:rFonts w:ascii="Times New Roman" w:eastAsia="Times New Roman" w:hAnsi="Times New Roman" w:cs="Times New Roman"/>
          <w:noProof/>
          <w:color w:val="000000" w:themeColor="text1"/>
          <w:kern w:val="0"/>
          <w:lang w:eastAsia="en-GB"/>
        </w:rPr>
        <w:lastRenderedPageBreak/>
        <w:drawing>
          <wp:inline distT="0" distB="0" distL="0" distR="0" wp14:anchorId="111E8A1D" wp14:editId="5BA530B5">
            <wp:extent cx="5731510" cy="3721735"/>
            <wp:effectExtent l="0" t="0" r="2540" b="0"/>
            <wp:docPr id="19400129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012981" name="Picture 194001298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721735"/>
                    </a:xfrm>
                    <a:prstGeom prst="rect">
                      <a:avLst/>
                    </a:prstGeom>
                  </pic:spPr>
                </pic:pic>
              </a:graphicData>
            </a:graphic>
          </wp:inline>
        </w:drawing>
      </w:r>
    </w:p>
    <w:p w14:paraId="5BB8C00C" w14:textId="77777777" w:rsidR="00B64608" w:rsidRPr="005D1190" w:rsidRDefault="00B64608" w:rsidP="00B64608">
      <w:pPr>
        <w:spacing w:before="100" w:beforeAutospacing="1" w:after="100" w:afterAutospacing="1" w:line="480" w:lineRule="auto"/>
        <w:jc w:val="both"/>
        <w:rPr>
          <w:rFonts w:ascii="Times New Roman" w:eastAsia="Times New Roman" w:hAnsi="Times New Roman" w:cs="Times New Roman"/>
          <w:color w:val="000000" w:themeColor="text1"/>
          <w:kern w:val="0"/>
          <w:lang w:eastAsia="en-GB"/>
          <w14:ligatures w14:val="none"/>
        </w:rPr>
      </w:pPr>
    </w:p>
    <w:p w14:paraId="59AC86A4" w14:textId="77777777" w:rsidR="00B64608" w:rsidRPr="005D1190" w:rsidRDefault="00B64608" w:rsidP="00B64608">
      <w:pPr>
        <w:spacing w:line="480" w:lineRule="auto"/>
        <w:rPr>
          <w:rFonts w:ascii="Arial" w:eastAsia="Times New Roman" w:hAnsi="Arial" w:cs="Arial"/>
          <w:b/>
          <w:bCs/>
          <w:color w:val="000000" w:themeColor="text1"/>
          <w:kern w:val="0"/>
          <w:lang w:eastAsia="en-GB"/>
          <w14:ligatures w14:val="none"/>
        </w:rPr>
      </w:pPr>
      <w:r w:rsidRPr="005D1190">
        <w:rPr>
          <w:rFonts w:ascii="Arial" w:hAnsi="Arial" w:cs="Arial"/>
          <w:b/>
          <w:bCs/>
          <w:color w:val="000000" w:themeColor="text1"/>
          <w:lang w:val="en-GB"/>
        </w:rPr>
        <w:t xml:space="preserve">Figure S5. </w:t>
      </w:r>
      <w:r w:rsidRPr="005D1190">
        <w:rPr>
          <w:rFonts w:ascii="Arial" w:eastAsia="Times New Roman" w:hAnsi="Arial" w:cs="Arial"/>
          <w:b/>
          <w:bCs/>
          <w:color w:val="000000" w:themeColor="text1"/>
          <w:kern w:val="0"/>
          <w:lang w:eastAsia="en-GB"/>
          <w14:ligatures w14:val="none"/>
        </w:rPr>
        <w:t>MSC-derived extracellular vesicles programmed neutrophils lose the ability to suppress T-cell activation after 7 days of co-culture</w:t>
      </w:r>
    </w:p>
    <w:p w14:paraId="4AB62C33" w14:textId="77777777" w:rsidR="00B64608" w:rsidRPr="005D1190" w:rsidRDefault="00B64608" w:rsidP="00B64608">
      <w:pPr>
        <w:spacing w:line="480" w:lineRule="auto"/>
        <w:jc w:val="both"/>
        <w:rPr>
          <w:rFonts w:ascii="Arial" w:hAnsi="Arial" w:cs="Arial"/>
          <w:color w:val="000000" w:themeColor="text1"/>
        </w:rPr>
      </w:pPr>
      <w:r w:rsidRPr="005D1190">
        <w:rPr>
          <w:rFonts w:ascii="Arial" w:hAnsi="Arial" w:cs="Arial"/>
          <w:b/>
          <w:bCs/>
          <w:color w:val="000000" w:themeColor="text1"/>
        </w:rPr>
        <w:t>A)</w:t>
      </w:r>
      <w:r w:rsidRPr="005D1190">
        <w:rPr>
          <w:rFonts w:ascii="Arial" w:hAnsi="Arial" w:cs="Arial"/>
          <w:color w:val="000000" w:themeColor="text1"/>
        </w:rPr>
        <w:t xml:space="preserve"> Freshly isolated primary neutrophils from multiple donors were incubated for 6h with freshly thawed MSCs labelled with pHrodo. At the end of the co-incubation, conditioned medium from the neutrophil-MSC co-culture (M(N)cond med) was collected. Half of each sample was depleted (N+M(N)-EV_depl med) of extracellular vesicles. Freshly isolated primary neutrophils from other donors were then incubated with the conditioned or depleted media for 2h or 6h. Uptake of pHrodo was assessed by flow cytometry and gates were defined using neutrophils alone (N). Data is presented as mean ± SD from 3 independent healthy donors, with 2 healthy donors being incubated with 2 different </w:t>
      </w:r>
      <w:r w:rsidRPr="005D1190">
        <w:rPr>
          <w:rFonts w:ascii="Arial" w:hAnsi="Arial" w:cs="Arial"/>
          <w:color w:val="000000" w:themeColor="text1"/>
        </w:rPr>
        <w:lastRenderedPageBreak/>
        <w:t>conditioned/depleted media. Statistical significance was assessed using two-way repeated-measures ANOVA followed by Tukey’s multiple-comparisons test.</w:t>
      </w:r>
    </w:p>
    <w:p w14:paraId="49CA8C93" w14:textId="77777777" w:rsidR="00B64608" w:rsidRPr="005D1190" w:rsidRDefault="00B64608" w:rsidP="00B64608">
      <w:pPr>
        <w:spacing w:line="480" w:lineRule="auto"/>
        <w:jc w:val="both"/>
        <w:rPr>
          <w:rFonts w:ascii="Arial" w:hAnsi="Arial" w:cs="Arial"/>
          <w:color w:val="000000" w:themeColor="text1"/>
        </w:rPr>
      </w:pPr>
      <w:r w:rsidRPr="005D1190">
        <w:rPr>
          <w:rFonts w:ascii="Arial" w:hAnsi="Arial" w:cs="Arial"/>
          <w:b/>
          <w:bCs/>
          <w:color w:val="000000" w:themeColor="text1"/>
        </w:rPr>
        <w:t>B)</w:t>
      </w:r>
      <w:r w:rsidRPr="005D1190">
        <w:rPr>
          <w:rFonts w:ascii="Arial" w:hAnsi="Arial" w:cs="Arial"/>
          <w:color w:val="000000" w:themeColor="text1"/>
        </w:rPr>
        <w:t xml:space="preserve"> Freshly isolated neutrophils from multiple blood donors were pre-incubated for 6h with freshly thawed MSC-conditioned medium. The effect of reprogrammed neutrophils (st-T + medPR-N) on T-cell proliferation was assessed and compared to unprogrammed neutrophils (st-T + N) after 7 days by flow cytometry. Data is presented as mean ± SD from 4 independent healthy donors. Statistical significance was assessed using a two-tailed paired t-test.</w:t>
      </w:r>
    </w:p>
    <w:p w14:paraId="7A7FBA64" w14:textId="77777777" w:rsidR="00B64608" w:rsidRPr="005D1190" w:rsidRDefault="00B64608" w:rsidP="00B64608">
      <w:pPr>
        <w:spacing w:line="480" w:lineRule="auto"/>
        <w:jc w:val="both"/>
        <w:rPr>
          <w:rFonts w:ascii="Arial" w:hAnsi="Arial" w:cs="Arial"/>
          <w:color w:val="000000" w:themeColor="text1"/>
        </w:rPr>
      </w:pPr>
      <w:r w:rsidRPr="005D1190">
        <w:rPr>
          <w:rFonts w:ascii="Arial" w:hAnsi="Arial" w:cs="Arial"/>
          <w:color w:val="000000" w:themeColor="text1"/>
        </w:rPr>
        <w:t>****</w:t>
      </w:r>
      <w:r w:rsidRPr="005D1190">
        <w:rPr>
          <w:rFonts w:ascii="Arial" w:hAnsi="Arial" w:cs="Arial"/>
          <w:i/>
          <w:iCs/>
          <w:color w:val="000000" w:themeColor="text1"/>
        </w:rPr>
        <w:t>p</w:t>
      </w:r>
      <w:r w:rsidRPr="005D1190">
        <w:rPr>
          <w:rFonts w:ascii="Arial" w:hAnsi="Arial" w:cs="Arial"/>
          <w:color w:val="000000" w:themeColor="text1"/>
        </w:rPr>
        <w:t> &lt; 0.0001</w:t>
      </w:r>
    </w:p>
    <w:p w14:paraId="68F0248E" w14:textId="0BBD2927" w:rsidR="008B07A6" w:rsidRDefault="008B07A6" w:rsidP="00DE4B71"/>
    <w:sectPr w:rsidR="008B07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B71"/>
    <w:rsid w:val="00066677"/>
    <w:rsid w:val="00153A17"/>
    <w:rsid w:val="001A37F3"/>
    <w:rsid w:val="003A4E89"/>
    <w:rsid w:val="00556784"/>
    <w:rsid w:val="008B07A6"/>
    <w:rsid w:val="008E5882"/>
    <w:rsid w:val="0097029A"/>
    <w:rsid w:val="00987B63"/>
    <w:rsid w:val="00990454"/>
    <w:rsid w:val="00A234E6"/>
    <w:rsid w:val="00B64608"/>
    <w:rsid w:val="00BF13F9"/>
    <w:rsid w:val="00CE738E"/>
    <w:rsid w:val="00D31E7D"/>
    <w:rsid w:val="00DE4B71"/>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17F3A"/>
  <w15:chartTrackingRefBased/>
  <w15:docId w15:val="{C21DBB7B-26F2-4FBC-893F-E077BDAAA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B71"/>
    <w:pPr>
      <w:spacing w:after="0" w:line="240" w:lineRule="auto"/>
    </w:pPr>
  </w:style>
  <w:style w:type="paragraph" w:styleId="Heading1">
    <w:name w:val="heading 1"/>
    <w:basedOn w:val="Normal"/>
    <w:next w:val="Normal"/>
    <w:link w:val="Heading1Char"/>
    <w:uiPriority w:val="9"/>
    <w:qFormat/>
    <w:rsid w:val="00DE4B7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4B7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4B71"/>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4B71"/>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4B71"/>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4B71"/>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B71"/>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B71"/>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B71"/>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B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4B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4B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4B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4B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4B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B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B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B71"/>
    <w:rPr>
      <w:rFonts w:eastAsiaTheme="majorEastAsia" w:cstheme="majorBidi"/>
      <w:color w:val="272727" w:themeColor="text1" w:themeTint="D8"/>
    </w:rPr>
  </w:style>
  <w:style w:type="paragraph" w:styleId="Title">
    <w:name w:val="Title"/>
    <w:basedOn w:val="Normal"/>
    <w:next w:val="Normal"/>
    <w:link w:val="TitleChar"/>
    <w:uiPriority w:val="10"/>
    <w:qFormat/>
    <w:rsid w:val="00DE4B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B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B71"/>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B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B71"/>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DE4B71"/>
    <w:rPr>
      <w:i/>
      <w:iCs/>
      <w:color w:val="404040" w:themeColor="text1" w:themeTint="BF"/>
    </w:rPr>
  </w:style>
  <w:style w:type="paragraph" w:styleId="ListParagraph">
    <w:name w:val="List Paragraph"/>
    <w:basedOn w:val="Normal"/>
    <w:uiPriority w:val="34"/>
    <w:qFormat/>
    <w:rsid w:val="00DE4B71"/>
    <w:pPr>
      <w:spacing w:after="160" w:line="278" w:lineRule="auto"/>
      <w:ind w:left="720"/>
      <w:contextualSpacing/>
    </w:pPr>
  </w:style>
  <w:style w:type="character" w:styleId="IntenseEmphasis">
    <w:name w:val="Intense Emphasis"/>
    <w:basedOn w:val="DefaultParagraphFont"/>
    <w:uiPriority w:val="21"/>
    <w:qFormat/>
    <w:rsid w:val="00DE4B71"/>
    <w:rPr>
      <w:i/>
      <w:iCs/>
      <w:color w:val="0F4761" w:themeColor="accent1" w:themeShade="BF"/>
    </w:rPr>
  </w:style>
  <w:style w:type="paragraph" w:styleId="IntenseQuote">
    <w:name w:val="Intense Quote"/>
    <w:basedOn w:val="Normal"/>
    <w:next w:val="Normal"/>
    <w:link w:val="IntenseQuoteChar"/>
    <w:uiPriority w:val="30"/>
    <w:qFormat/>
    <w:rsid w:val="00DE4B7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4B71"/>
    <w:rPr>
      <w:i/>
      <w:iCs/>
      <w:color w:val="0F4761" w:themeColor="accent1" w:themeShade="BF"/>
    </w:rPr>
  </w:style>
  <w:style w:type="character" w:styleId="IntenseReference">
    <w:name w:val="Intense Reference"/>
    <w:basedOn w:val="DefaultParagraphFont"/>
    <w:uiPriority w:val="32"/>
    <w:qFormat/>
    <w:rsid w:val="00DE4B71"/>
    <w:rPr>
      <w:b/>
      <w:bCs/>
      <w:smallCaps/>
      <w:color w:val="0F4761" w:themeColor="accent1" w:themeShade="BF"/>
      <w:spacing w:val="5"/>
    </w:rPr>
  </w:style>
  <w:style w:type="paragraph" w:styleId="NormalWeb">
    <w:name w:val="Normal (Web)"/>
    <w:basedOn w:val="Normal"/>
    <w:uiPriority w:val="99"/>
    <w:unhideWhenUsed/>
    <w:rsid w:val="00DE4B71"/>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10" Type="http://schemas.openxmlformats.org/officeDocument/2006/relationships/theme" Target="theme/theme1.xml"/><Relationship Id="rId4" Type="http://schemas.openxmlformats.org/officeDocument/2006/relationships/image" Target="media/image1.tif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847</Words>
  <Characters>4830</Characters>
  <Application>Microsoft Office Word</Application>
  <DocSecurity>0</DocSecurity>
  <Lines>40</Lines>
  <Paragraphs>11</Paragraphs>
  <ScaleCrop>false</ScaleCrop>
  <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2</cp:revision>
  <dcterms:created xsi:type="dcterms:W3CDTF">2026-11-02T10:55:00Z</dcterms:created>
  <dcterms:modified xsi:type="dcterms:W3CDTF">2026-11-02T10:58:00Z</dcterms:modified>
</cp:coreProperties>
</file>