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CARE checklist</w:t>
      </w:r>
    </w:p>
    <w:p>
      <w:r>
        <w:t>Manuscript: Fatal toxic epidermal necrolysis-like lupus after longitudinally extensive transverse myelitis, vasculitic neuropathy and myositis despite reassuring serology: a case report</w:t>
      </w:r>
    </w:p>
    <w:p>
      <w:r>
        <w:t>Locations refer to manuscript sections; page and line numbers can be added from the final submitted file.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</w:rPr>
              <w:t>Topic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Item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Checklist item (summary)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Where reported</w:t>
            </w:r>
          </w:p>
        </w:tc>
      </w:tr>
      <w:tr>
        <w:tc>
          <w:tcPr>
            <w:tcW w:type="dxa" w:w="2160"/>
          </w:tcPr>
          <w:p>
            <w:r>
              <w:t>Title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Words "case report" with the area of focus</w:t>
            </w:r>
          </w:p>
        </w:tc>
        <w:tc>
          <w:tcPr>
            <w:tcW w:type="dxa" w:w="2160"/>
          </w:tcPr>
          <w:p>
            <w:r>
              <w:t>Title page (title ends "a case report")</w:t>
            </w:r>
          </w:p>
        </w:tc>
      </w:tr>
      <w:tr>
        <w:tc>
          <w:tcPr>
            <w:tcW w:type="dxa" w:w="2160"/>
          </w:tcPr>
          <w:p>
            <w:r>
              <w:t>Keywords</w:t>
            </w:r>
          </w:p>
        </w:tc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2–5 key words identifying diagnoses or interventions</w:t>
            </w:r>
          </w:p>
        </w:tc>
        <w:tc>
          <w:tcPr>
            <w:tcW w:type="dxa" w:w="2160"/>
          </w:tcPr>
          <w:p>
            <w:r>
              <w:t>Keywords, below the Abstract</w:t>
            </w:r>
          </w:p>
        </w:tc>
      </w:tr>
      <w:tr>
        <w:tc>
          <w:tcPr>
            <w:tcW w:type="dxa" w:w="2160"/>
          </w:tcPr>
          <w:p>
            <w:r>
              <w:t>Abstract</w:t>
            </w:r>
          </w:p>
        </w:tc>
        <w:tc>
          <w:tcPr>
            <w:tcW w:type="dxa" w:w="2160"/>
          </w:tcPr>
          <w:p>
            <w:r>
              <w:t>3a</w:t>
            </w:r>
          </w:p>
        </w:tc>
        <w:tc>
          <w:tcPr>
            <w:tcW w:type="dxa" w:w="2160"/>
          </w:tcPr>
          <w:p>
            <w:r>
              <w:t>Introduction: what is unique and what it adds</w:t>
            </w:r>
          </w:p>
        </w:tc>
        <w:tc>
          <w:tcPr>
            <w:tcW w:type="dxa" w:w="2160"/>
          </w:tcPr>
          <w:p>
            <w:r>
              <w:t>Abstract – Background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3b</w:t>
            </w:r>
          </w:p>
        </w:tc>
        <w:tc>
          <w:tcPr>
            <w:tcW w:type="dxa" w:w="2160"/>
          </w:tcPr>
          <w:p>
            <w:r>
              <w:t>Main symptoms and important clinical findings</w:t>
            </w:r>
          </w:p>
        </w:tc>
        <w:tc>
          <w:tcPr>
            <w:tcW w:type="dxa" w:w="2160"/>
          </w:tcPr>
          <w:p>
            <w:r>
              <w:t>Abstract – Case presentation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3c</w:t>
            </w:r>
          </w:p>
        </w:tc>
        <w:tc>
          <w:tcPr>
            <w:tcW w:type="dxa" w:w="2160"/>
          </w:tcPr>
          <w:p>
            <w:r>
              <w:t>Main diagnoses, therapeutic interventions and outcomes</w:t>
            </w:r>
          </w:p>
        </w:tc>
        <w:tc>
          <w:tcPr>
            <w:tcW w:type="dxa" w:w="2160"/>
          </w:tcPr>
          <w:p>
            <w:r>
              <w:t>Abstract – Case presentation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3d</w:t>
            </w:r>
          </w:p>
        </w:tc>
        <w:tc>
          <w:tcPr>
            <w:tcW w:type="dxa" w:w="2160"/>
          </w:tcPr>
          <w:p>
            <w:r>
              <w:t>Conclusion: main take-away lessons</w:t>
            </w:r>
          </w:p>
        </w:tc>
        <w:tc>
          <w:tcPr>
            <w:tcW w:type="dxa" w:w="2160"/>
          </w:tcPr>
          <w:p>
            <w:r>
              <w:t>Abstract – Conclusions</w:t>
            </w:r>
          </w:p>
        </w:tc>
      </w:tr>
      <w:tr>
        <w:tc>
          <w:tcPr>
            <w:tcW w:type="dxa" w:w="2160"/>
          </w:tcPr>
          <w:p>
            <w:r>
              <w:t>Introduction</w:t>
            </w:r>
          </w:p>
        </w:tc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Brief background summary with references</w:t>
            </w:r>
          </w:p>
        </w:tc>
        <w:tc>
          <w:tcPr>
            <w:tcW w:type="dxa" w:w="2160"/>
          </w:tcPr>
          <w:p>
            <w:r>
              <w:t>Background</w:t>
            </w:r>
          </w:p>
        </w:tc>
      </w:tr>
      <w:tr>
        <w:tc>
          <w:tcPr>
            <w:tcW w:type="dxa" w:w="2160"/>
          </w:tcPr>
          <w:p>
            <w:r>
              <w:t>Patient information</w:t>
            </w:r>
          </w:p>
        </w:tc>
        <w:tc>
          <w:tcPr>
            <w:tcW w:type="dxa" w:w="2160"/>
          </w:tcPr>
          <w:p>
            <w:r>
              <w:t>5a</w:t>
            </w:r>
          </w:p>
        </w:tc>
        <w:tc>
          <w:tcPr>
            <w:tcW w:type="dxa" w:w="2160"/>
          </w:tcPr>
          <w:p>
            <w:r>
              <w:t>De-identified demographic information</w:t>
            </w:r>
          </w:p>
        </w:tc>
        <w:tc>
          <w:tcPr>
            <w:tcW w:type="dxa" w:w="2160"/>
          </w:tcPr>
          <w:p>
            <w:r>
              <w:t>Case presentation, paragraph 1 (age, sex, Bengali ethnicity)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5b</w:t>
            </w:r>
          </w:p>
        </w:tc>
        <w:tc>
          <w:tcPr>
            <w:tcW w:type="dxa" w:w="2160"/>
          </w:tcPr>
          <w:p>
            <w:r>
              <w:t>Main symptoms of the patient</w:t>
            </w:r>
          </w:p>
        </w:tc>
        <w:tc>
          <w:tcPr>
            <w:tcW w:type="dxa" w:w="2160"/>
          </w:tcPr>
          <w:p>
            <w:r>
              <w:t>Case presentation, paragraphs 1–2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5c</w:t>
            </w:r>
          </w:p>
        </w:tc>
        <w:tc>
          <w:tcPr>
            <w:tcW w:type="dxa" w:w="2160"/>
          </w:tcPr>
          <w:p>
            <w:r>
              <w:t>Medical, family and psychosocial history</w:t>
            </w:r>
          </w:p>
        </w:tc>
        <w:tc>
          <w:tcPr>
            <w:tcW w:type="dxa" w:w="2160"/>
          </w:tcPr>
          <w:p>
            <w:r>
              <w:t>Case presentation, paragraph 1 (medical history); Patient perspective (psychosocial context); family history not reported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5d</w:t>
            </w:r>
          </w:p>
        </w:tc>
        <w:tc>
          <w:tcPr>
            <w:tcW w:type="dxa" w:w="2160"/>
          </w:tcPr>
          <w:p>
            <w:r>
              <w:t>Relevant past interventions and outcomes</w:t>
            </w:r>
          </w:p>
        </w:tc>
        <w:tc>
          <w:tcPr>
            <w:tcW w:type="dxa" w:w="2160"/>
          </w:tcPr>
          <w:p>
            <w:r>
              <w:t>Case presentation, paragraph 1 (hydroxychloroquine, prednisolone, mycophenolate mofetil)</w:t>
            </w:r>
          </w:p>
        </w:tc>
      </w:tr>
      <w:tr>
        <w:tc>
          <w:tcPr>
            <w:tcW w:type="dxa" w:w="2160"/>
          </w:tcPr>
          <w:p>
            <w:r>
              <w:t>Clinical findings</w:t>
            </w:r>
          </w:p>
        </w:tc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Relevant physical examination findings</w:t>
            </w:r>
          </w:p>
        </w:tc>
        <w:tc>
          <w:tcPr>
            <w:tcW w:type="dxa" w:w="2160"/>
          </w:tcPr>
          <w:p>
            <w:r>
              <w:t>Case presentation, paragraphs 2 and 4</w:t>
            </w:r>
          </w:p>
        </w:tc>
      </w:tr>
      <w:tr>
        <w:tc>
          <w:tcPr>
            <w:tcW w:type="dxa" w:w="2160"/>
          </w:tcPr>
          <w:p>
            <w:r>
              <w:t>Timeline</w:t>
            </w:r>
          </w:p>
        </w:tc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Historical and current information organised as a timeline</w:t>
            </w:r>
          </w:p>
        </w:tc>
        <w:tc>
          <w:tcPr>
            <w:tcW w:type="dxa" w:w="2160"/>
          </w:tcPr>
          <w:p>
            <w:r>
              <w:t>Case presentation (months 0–8 in sequence); Tables 1 and 2</w:t>
            </w:r>
          </w:p>
        </w:tc>
      </w:tr>
      <w:tr>
        <w:tc>
          <w:tcPr>
            <w:tcW w:type="dxa" w:w="2160"/>
          </w:tcPr>
          <w:p>
            <w:r>
              <w:t>Diagnostic assessment</w:t>
            </w:r>
          </w:p>
        </w:tc>
        <w:tc>
          <w:tcPr>
            <w:tcW w:type="dxa" w:w="2160"/>
          </w:tcPr>
          <w:p>
            <w:r>
              <w:t>8a</w:t>
            </w:r>
          </w:p>
        </w:tc>
        <w:tc>
          <w:tcPr>
            <w:tcW w:type="dxa" w:w="2160"/>
          </w:tcPr>
          <w:p>
            <w:r>
              <w:t>Diagnostic testing</w:t>
            </w:r>
          </w:p>
        </w:tc>
        <w:tc>
          <w:tcPr>
            <w:tcW w:type="dxa" w:w="2160"/>
          </w:tcPr>
          <w:p>
            <w:r>
              <w:t>Investigations; Tables 1 and 2; Figure 1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8b</w:t>
            </w:r>
          </w:p>
        </w:tc>
        <w:tc>
          <w:tcPr>
            <w:tcW w:type="dxa" w:w="2160"/>
          </w:tcPr>
          <w:p>
            <w:r>
              <w:t>Diagnostic challenges</w:t>
            </w:r>
          </w:p>
        </w:tc>
        <w:tc>
          <w:tcPr>
            <w:tcW w:type="dxa" w:w="2160"/>
          </w:tcPr>
          <w:p>
            <w:r>
              <w:t>Differential diagnosis (skin biopsy not feasible; Mycoplasma not tested)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8c</w:t>
            </w:r>
          </w:p>
        </w:tc>
        <w:tc>
          <w:tcPr>
            <w:tcW w:type="dxa" w:w="2160"/>
          </w:tcPr>
          <w:p>
            <w:r>
              <w:t>Diagnosis, including other diagnoses considered</w:t>
            </w:r>
          </w:p>
        </w:tc>
        <w:tc>
          <w:tcPr>
            <w:tcW w:type="dxa" w:w="2160"/>
          </w:tcPr>
          <w:p>
            <w:r>
              <w:t>Differential diagnosis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8d</w:t>
            </w:r>
          </w:p>
        </w:tc>
        <w:tc>
          <w:tcPr>
            <w:tcW w:type="dxa" w:w="2160"/>
          </w:tcPr>
          <w:p>
            <w:r>
              <w:t>Prognostic characteristics where applicable</w:t>
            </w:r>
          </w:p>
        </w:tc>
        <w:tc>
          <w:tcPr>
            <w:tcW w:type="dxa" w:w="2160"/>
          </w:tcPr>
          <w:p>
            <w:r>
              <w:t>Investigations (SLEDAI-2K 22); Discussion and conclusions (reported mortality of TEN-like LE)</w:t>
            </w:r>
          </w:p>
        </w:tc>
      </w:tr>
      <w:tr>
        <w:tc>
          <w:tcPr>
            <w:tcW w:type="dxa" w:w="2160"/>
          </w:tcPr>
          <w:p>
            <w:r>
              <w:t>Therapeutic intervention</w:t>
            </w:r>
          </w:p>
        </w:tc>
        <w:tc>
          <w:tcPr>
            <w:tcW w:type="dxa" w:w="2160"/>
          </w:tcPr>
          <w:p>
            <w:r>
              <w:t>9a</w:t>
            </w:r>
          </w:p>
        </w:tc>
        <w:tc>
          <w:tcPr>
            <w:tcW w:type="dxa" w:w="2160"/>
          </w:tcPr>
          <w:p>
            <w:r>
              <w:t>Types of therapeutic intervention</w:t>
            </w:r>
          </w:p>
        </w:tc>
        <w:tc>
          <w:tcPr>
            <w:tcW w:type="dxa" w:w="2160"/>
          </w:tcPr>
          <w:p>
            <w:r>
              <w:t>Treatment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9b</w:t>
            </w:r>
          </w:p>
        </w:tc>
        <w:tc>
          <w:tcPr>
            <w:tcW w:type="dxa" w:w="2160"/>
          </w:tcPr>
          <w:p>
            <w:r>
              <w:t>Administration (dosage, strength, duration)</w:t>
            </w:r>
          </w:p>
        </w:tc>
        <w:tc>
          <w:tcPr>
            <w:tcW w:type="dxa" w:w="2160"/>
          </w:tcPr>
          <w:p>
            <w:r>
              <w:t>Treatment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9c</w:t>
            </w:r>
          </w:p>
        </w:tc>
        <w:tc>
          <w:tcPr>
            <w:tcW w:type="dxa" w:w="2160"/>
          </w:tcPr>
          <w:p>
            <w:r>
              <w:t>Changes in interventions with rationale</w:t>
            </w:r>
          </w:p>
        </w:tc>
        <w:tc>
          <w:tcPr>
            <w:tcW w:type="dxa" w:w="2160"/>
          </w:tcPr>
          <w:p>
            <w:r>
              <w:t>Treatment (mycophenolate withheld and restarted; escalation not possible at terminal admission)</w:t>
            </w:r>
          </w:p>
        </w:tc>
      </w:tr>
      <w:tr>
        <w:tc>
          <w:tcPr>
            <w:tcW w:type="dxa" w:w="2160"/>
          </w:tcPr>
          <w:p>
            <w:r>
              <w:t>Follow-up and outcomes</w:t>
            </w:r>
          </w:p>
        </w:tc>
        <w:tc>
          <w:tcPr>
            <w:tcW w:type="dxa" w:w="2160"/>
          </w:tcPr>
          <w:p>
            <w:r>
              <w:t>10a</w:t>
            </w:r>
          </w:p>
        </w:tc>
        <w:tc>
          <w:tcPr>
            <w:tcW w:type="dxa" w:w="2160"/>
          </w:tcPr>
          <w:p>
            <w:r>
              <w:t>Clinician- and patient-assessed outcomes</w:t>
            </w:r>
          </w:p>
        </w:tc>
        <w:tc>
          <w:tcPr>
            <w:tcW w:type="dxa" w:w="2160"/>
          </w:tcPr>
          <w:p>
            <w:r>
              <w:t>Outcome and follow-up; Patient perspective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10b</w:t>
            </w:r>
          </w:p>
        </w:tc>
        <w:tc>
          <w:tcPr>
            <w:tcW w:type="dxa" w:w="2160"/>
          </w:tcPr>
          <w:p>
            <w:r>
              <w:t>Important follow-up diagnostic and other test results</w:t>
            </w:r>
          </w:p>
        </w:tc>
        <w:tc>
          <w:tcPr>
            <w:tcW w:type="dxa" w:w="2160"/>
          </w:tcPr>
          <w:p>
            <w:r>
              <w:t>Outcome and follow-up; Tables 1 and 2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10c</w:t>
            </w:r>
          </w:p>
        </w:tc>
        <w:tc>
          <w:tcPr>
            <w:tcW w:type="dxa" w:w="2160"/>
          </w:tcPr>
          <w:p>
            <w:r>
              <w:t>Intervention adherence and tolerability</w:t>
            </w:r>
          </w:p>
        </w:tc>
        <w:tc>
          <w:tcPr>
            <w:tcW w:type="dxa" w:w="2160"/>
          </w:tcPr>
          <w:p>
            <w:r>
              <w:t>Differential diagnosis (previous tolerance of mycophenolate mofetil); adherence not formally assessed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10d</w:t>
            </w:r>
          </w:p>
        </w:tc>
        <w:tc>
          <w:tcPr>
            <w:tcW w:type="dxa" w:w="2160"/>
          </w:tcPr>
          <w:p>
            <w:r>
              <w:t>Adverse and unanticipated events</w:t>
            </w:r>
          </w:p>
        </w:tc>
        <w:tc>
          <w:tcPr>
            <w:tcW w:type="dxa" w:w="2160"/>
          </w:tcPr>
          <w:p>
            <w:r>
              <w:t>Case presentation (urinary infections, pressure injuries); Differential diagnosis (drug-causality assessment); Outcome and follow-up</w:t>
            </w:r>
          </w:p>
        </w:tc>
      </w:tr>
      <w:tr>
        <w:tc>
          <w:tcPr>
            <w:tcW w:type="dxa" w:w="2160"/>
          </w:tcPr>
          <w:p>
            <w:r>
              <w:t>Discussion</w:t>
            </w:r>
          </w:p>
        </w:tc>
        <w:tc>
          <w:tcPr>
            <w:tcW w:type="dxa" w:w="2160"/>
          </w:tcPr>
          <w:p>
            <w:r>
              <w:t>11a</w:t>
            </w:r>
          </w:p>
        </w:tc>
        <w:tc>
          <w:tcPr>
            <w:tcW w:type="dxa" w:w="2160"/>
          </w:tcPr>
          <w:p>
            <w:r>
              <w:t>Strengths and limitations of the approach</w:t>
            </w:r>
          </w:p>
        </w:tc>
        <w:tc>
          <w:tcPr>
            <w:tcW w:type="dxa" w:w="2160"/>
          </w:tcPr>
          <w:p>
            <w:r>
              <w:t>Discussion and conclusions, final discussion paragraph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11b</w:t>
            </w:r>
          </w:p>
        </w:tc>
        <w:tc>
          <w:tcPr>
            <w:tcW w:type="dxa" w:w="2160"/>
          </w:tcPr>
          <w:p>
            <w:r>
              <w:t>Discussion of the relevant medical literature</w:t>
            </w:r>
          </w:p>
        </w:tc>
        <w:tc>
          <w:tcPr>
            <w:tcW w:type="dxa" w:w="2160"/>
          </w:tcPr>
          <w:p>
            <w:r>
              <w:t>Discussion and conclusions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11c</w:t>
            </w:r>
          </w:p>
        </w:tc>
        <w:tc>
          <w:tcPr>
            <w:tcW w:type="dxa" w:w="2160"/>
          </w:tcPr>
          <w:p>
            <w:r>
              <w:t>Scientific rationale for conclusions</w:t>
            </w:r>
          </w:p>
        </w:tc>
        <w:tc>
          <w:tcPr>
            <w:tcW w:type="dxa" w:w="2160"/>
          </w:tcPr>
          <w:p>
            <w:r>
              <w:t>Differential diagnosis; Discussion and conclusions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11d</w:t>
            </w:r>
          </w:p>
        </w:tc>
        <w:tc>
          <w:tcPr>
            <w:tcW w:type="dxa" w:w="2160"/>
          </w:tcPr>
          <w:p>
            <w:r>
              <w:t>Primary take-away lessons</w:t>
            </w:r>
          </w:p>
        </w:tc>
        <w:tc>
          <w:tcPr>
            <w:tcW w:type="dxa" w:w="2160"/>
          </w:tcPr>
          <w:p>
            <w:r>
              <w:t>Conclusions</w:t>
            </w:r>
          </w:p>
        </w:tc>
      </w:tr>
      <w:tr>
        <w:tc>
          <w:tcPr>
            <w:tcW w:type="dxa" w:w="2160"/>
          </w:tcPr>
          <w:p>
            <w:r>
              <w:t>Patient perspective</w:t>
            </w:r>
          </w:p>
        </w:tc>
        <w:tc>
          <w:tcPr>
            <w:tcW w:type="dxa" w:w="2160"/>
          </w:tcPr>
          <w:p>
            <w:r>
              <w:t>12</w:t>
            </w:r>
          </w:p>
        </w:tc>
        <w:tc>
          <w:tcPr>
            <w:tcW w:type="dxa" w:w="2160"/>
          </w:tcPr>
          <w:p>
            <w:r>
              <w:t>The patient's perspective on the treatment received</w:t>
            </w:r>
          </w:p>
        </w:tc>
        <w:tc>
          <w:tcPr>
            <w:tcW w:type="dxa" w:w="2160"/>
          </w:tcPr>
          <w:p>
            <w:r>
              <w:t>Patient perspective (from the patient's parents)</w:t>
            </w:r>
          </w:p>
        </w:tc>
      </w:tr>
      <w:tr>
        <w:tc>
          <w:tcPr>
            <w:tcW w:type="dxa" w:w="2160"/>
          </w:tcPr>
          <w:p>
            <w:r>
              <w:t>Informed consent</w:t>
            </w:r>
          </w:p>
        </w:tc>
        <w:tc>
          <w:tcPr>
            <w:tcW w:type="dxa" w:w="2160"/>
          </w:tcPr>
          <w:p>
            <w:r>
              <w:t>13</w:t>
            </w:r>
          </w:p>
        </w:tc>
        <w:tc>
          <w:tcPr>
            <w:tcW w:type="dxa" w:w="2160"/>
          </w:tcPr>
          <w:p>
            <w:r>
              <w:t>Informed consent obtained</w:t>
            </w:r>
          </w:p>
        </w:tc>
        <w:tc>
          <w:tcPr>
            <w:tcW w:type="dxa" w:w="2160"/>
          </w:tcPr>
          <w:p>
            <w:r>
              <w:t>Declarations – Consent for publication (next of kin)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