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3C1CF" w14:textId="77777777" w:rsidR="00C442D4" w:rsidRDefault="00074227">
      <w:pPr>
        <w:jc w:val="center"/>
        <w:rPr>
          <w:b/>
          <w:bCs/>
          <w:sz w:val="32"/>
          <w:szCs w:val="32"/>
        </w:rPr>
      </w:pPr>
      <w:r>
        <w:rPr>
          <w:b/>
          <w:bCs/>
          <w:sz w:val="32"/>
          <w:szCs w:val="32"/>
        </w:rPr>
        <w:t>Supplementary Information</w:t>
      </w:r>
    </w:p>
    <w:p w14:paraId="0233C1D0" w14:textId="77777777" w:rsidR="00C442D4" w:rsidRDefault="00074227">
      <w:pPr>
        <w:jc w:val="center"/>
      </w:pPr>
      <w:r>
        <w:t>Improving Oral Health, Identification and Care in the Dental Setting of Patients Experiencing Domestic Abuse: A Scoping Review</w:t>
      </w:r>
    </w:p>
    <w:p w14:paraId="0233C1D1" w14:textId="77777777" w:rsidR="00C442D4" w:rsidRDefault="00C442D4"/>
    <w:p w14:paraId="0233C1D2" w14:textId="77777777" w:rsidR="00C442D4" w:rsidRDefault="00074227">
      <w:pPr>
        <w:pStyle w:val="Heading1"/>
        <w:rPr>
          <w:lang w:val="en-US"/>
        </w:rPr>
      </w:pPr>
      <w:r>
        <w:rPr>
          <w:lang w:val="en-US"/>
        </w:rPr>
        <w:t>Appendices</w:t>
      </w:r>
    </w:p>
    <w:p w14:paraId="0233C1D3" w14:textId="77777777" w:rsidR="00C442D4" w:rsidRDefault="00C442D4"/>
    <w:p w14:paraId="0233C1D4" w14:textId="77777777" w:rsidR="00C442D4" w:rsidRDefault="00074227">
      <w:pPr>
        <w:pStyle w:val="Heading2"/>
      </w:pPr>
      <w:r>
        <w:t>Appendix 1 </w:t>
      </w:r>
    </w:p>
    <w:p w14:paraId="0233C1D5" w14:textId="77777777" w:rsidR="00C442D4" w:rsidRDefault="00C442D4"/>
    <w:p w14:paraId="0233C1D6" w14:textId="77777777" w:rsidR="00C442D4" w:rsidRDefault="00074227">
      <w:r>
        <w:t>Table A1 - Detailed inclusion and exclusion criteria for study selection, aligned with the PCC framework and specified types of evidence.</w:t>
      </w:r>
    </w:p>
    <w:tbl>
      <w:tblPr>
        <w:tblW w:w="9056" w:type="dxa"/>
        <w:tblLayout w:type="fixed"/>
        <w:tblCellMar>
          <w:top w:w="120" w:type="dxa"/>
          <w:left w:w="180" w:type="dxa"/>
          <w:bottom w:w="120" w:type="dxa"/>
          <w:right w:w="180" w:type="dxa"/>
        </w:tblCellMar>
        <w:tblLook w:val="04A0" w:firstRow="1" w:lastRow="0" w:firstColumn="1" w:lastColumn="0" w:noHBand="0" w:noVBand="1"/>
      </w:tblPr>
      <w:tblGrid>
        <w:gridCol w:w="1600"/>
        <w:gridCol w:w="4002"/>
        <w:gridCol w:w="3454"/>
      </w:tblGrid>
      <w:tr w:rsidR="00C442D4" w14:paraId="0233C1DA" w14:textId="77777777">
        <w:trPr>
          <w:tblHeader/>
        </w:trPr>
        <w:tc>
          <w:tcPr>
            <w:tcW w:w="1600" w:type="dxa"/>
            <w:tcBorders>
              <w:top w:val="single" w:sz="6" w:space="0" w:color="C4C7C5"/>
              <w:left w:val="single" w:sz="6" w:space="0" w:color="C4C7C5"/>
              <w:bottom w:val="single" w:sz="6" w:space="0" w:color="C4C7C5"/>
              <w:right w:val="single" w:sz="6" w:space="0" w:color="C4C7C5"/>
            </w:tcBorders>
            <w:vAlign w:val="center"/>
          </w:tcPr>
          <w:p w14:paraId="0233C1D7" w14:textId="77777777" w:rsidR="00C442D4" w:rsidRDefault="00074227">
            <w:r>
              <w:t>Criteria</w:t>
            </w:r>
          </w:p>
        </w:tc>
        <w:tc>
          <w:tcPr>
            <w:tcW w:w="4002" w:type="dxa"/>
            <w:tcBorders>
              <w:top w:val="single" w:sz="6" w:space="0" w:color="C4C7C5"/>
              <w:left w:val="single" w:sz="6" w:space="0" w:color="C4C7C5"/>
              <w:bottom w:val="single" w:sz="6" w:space="0" w:color="C4C7C5"/>
              <w:right w:val="single" w:sz="6" w:space="0" w:color="C4C7C5"/>
            </w:tcBorders>
            <w:vAlign w:val="center"/>
          </w:tcPr>
          <w:p w14:paraId="0233C1D8" w14:textId="77777777" w:rsidR="00C442D4" w:rsidRDefault="00074227">
            <w:r>
              <w:t>Inclusion</w:t>
            </w:r>
          </w:p>
        </w:tc>
        <w:tc>
          <w:tcPr>
            <w:tcW w:w="3454" w:type="dxa"/>
            <w:tcBorders>
              <w:top w:val="single" w:sz="6" w:space="0" w:color="C4C7C5"/>
              <w:left w:val="single" w:sz="6" w:space="0" w:color="C4C7C5"/>
              <w:bottom w:val="single" w:sz="6" w:space="0" w:color="C4C7C5"/>
              <w:right w:val="single" w:sz="6" w:space="0" w:color="C4C7C5"/>
            </w:tcBorders>
            <w:vAlign w:val="center"/>
          </w:tcPr>
          <w:p w14:paraId="0233C1D9" w14:textId="77777777" w:rsidR="00C442D4" w:rsidRDefault="00074227">
            <w:r>
              <w:t>Exclusion</w:t>
            </w:r>
          </w:p>
        </w:tc>
      </w:tr>
      <w:tr w:rsidR="00C442D4" w14:paraId="0233C1E4" w14:textId="77777777">
        <w:tc>
          <w:tcPr>
            <w:tcW w:w="1600" w:type="dxa"/>
            <w:tcBorders>
              <w:top w:val="single" w:sz="6" w:space="0" w:color="C4C7C5"/>
              <w:left w:val="single" w:sz="6" w:space="0" w:color="C4C7C5"/>
              <w:bottom w:val="single" w:sz="6" w:space="0" w:color="C4C7C5"/>
              <w:right w:val="single" w:sz="6" w:space="0" w:color="C4C7C5"/>
            </w:tcBorders>
            <w:vAlign w:val="center"/>
          </w:tcPr>
          <w:p w14:paraId="0233C1DB" w14:textId="77777777" w:rsidR="00C442D4" w:rsidRDefault="00074227">
            <w:r>
              <w:t>Population</w:t>
            </w:r>
          </w:p>
        </w:tc>
        <w:tc>
          <w:tcPr>
            <w:tcW w:w="4002" w:type="dxa"/>
            <w:tcBorders>
              <w:top w:val="single" w:sz="6" w:space="0" w:color="C4C7C5"/>
              <w:left w:val="single" w:sz="6" w:space="0" w:color="C4C7C5"/>
              <w:bottom w:val="single" w:sz="6" w:space="0" w:color="C4C7C5"/>
              <w:right w:val="single" w:sz="6" w:space="0" w:color="C4C7C5"/>
            </w:tcBorders>
            <w:vAlign w:val="center"/>
          </w:tcPr>
          <w:p w14:paraId="0233C1DC" w14:textId="77777777" w:rsidR="00C442D4" w:rsidRDefault="00074227">
            <w:r>
              <w:t>• Adults (≥18 years) who have experienced domestic abuse (including terms such as domestic violence and intimate partner violence).</w:t>
            </w:r>
          </w:p>
          <w:p w14:paraId="0233C1DD" w14:textId="77777777" w:rsidR="00C442D4" w:rsidRDefault="00074227">
            <w:r>
              <w:t>• Clinical or non-clinical staff in dental settings.</w:t>
            </w:r>
          </w:p>
          <w:p w14:paraId="0233C1DE" w14:textId="77777777" w:rsidR="00C442D4" w:rsidRDefault="00074227">
            <w:r>
              <w:t>• Dental undergraduate or postgraduate students.</w:t>
            </w:r>
          </w:p>
        </w:tc>
        <w:tc>
          <w:tcPr>
            <w:tcW w:w="3454" w:type="dxa"/>
            <w:tcBorders>
              <w:top w:val="single" w:sz="6" w:space="0" w:color="C4C7C5"/>
              <w:left w:val="single" w:sz="6" w:space="0" w:color="C4C7C5"/>
              <w:bottom w:val="single" w:sz="6" w:space="0" w:color="C4C7C5"/>
              <w:right w:val="single" w:sz="6" w:space="0" w:color="C4C7C5"/>
            </w:tcBorders>
            <w:vAlign w:val="center"/>
          </w:tcPr>
          <w:p w14:paraId="0233C1DF" w14:textId="77777777" w:rsidR="00C442D4" w:rsidRDefault="00074227">
            <w:r>
              <w:t>• Studies focused exclusively on paediatric populations (&lt;18 years).</w:t>
            </w:r>
          </w:p>
          <w:p w14:paraId="0233C1E0" w14:textId="77777777" w:rsidR="00C442D4" w:rsidRDefault="00074227">
            <w:r>
              <w:t>• Studies solely concerned with adverse childhood experiences (ACEs).</w:t>
            </w:r>
          </w:p>
          <w:p w14:paraId="0233C1E1" w14:textId="77777777" w:rsidR="00C442D4" w:rsidRDefault="00074227">
            <w:r>
              <w:t>• Studies detailing other types of abuse or trauma with no specific mention of domestic abuse.</w:t>
            </w:r>
          </w:p>
          <w:p w14:paraId="0233C1E2" w14:textId="77777777" w:rsidR="00C442D4" w:rsidRDefault="00074227">
            <w:r>
              <w:t>• Studies involving students or staff from other healthcare professions, unless dental professionals also received the same training/intervention.</w:t>
            </w:r>
          </w:p>
          <w:p w14:paraId="0233C1E3" w14:textId="77777777" w:rsidR="00C442D4" w:rsidRDefault="00074227">
            <w:r>
              <w:t>• Forensic odontologists.</w:t>
            </w:r>
          </w:p>
        </w:tc>
      </w:tr>
      <w:tr w:rsidR="00C442D4" w14:paraId="0233C1EB" w14:textId="77777777">
        <w:tc>
          <w:tcPr>
            <w:tcW w:w="1600" w:type="dxa"/>
            <w:tcBorders>
              <w:top w:val="single" w:sz="6" w:space="0" w:color="C4C7C5"/>
              <w:left w:val="single" w:sz="6" w:space="0" w:color="C4C7C5"/>
              <w:bottom w:val="single" w:sz="6" w:space="0" w:color="C4C7C5"/>
              <w:right w:val="single" w:sz="6" w:space="0" w:color="C4C7C5"/>
            </w:tcBorders>
            <w:vAlign w:val="center"/>
          </w:tcPr>
          <w:p w14:paraId="0233C1E5" w14:textId="77777777" w:rsidR="00C442D4" w:rsidRDefault="00074227">
            <w:r>
              <w:t>Concept</w:t>
            </w:r>
          </w:p>
        </w:tc>
        <w:tc>
          <w:tcPr>
            <w:tcW w:w="4002" w:type="dxa"/>
            <w:tcBorders>
              <w:top w:val="single" w:sz="6" w:space="0" w:color="C4C7C5"/>
              <w:left w:val="single" w:sz="6" w:space="0" w:color="C4C7C5"/>
              <w:bottom w:val="single" w:sz="6" w:space="0" w:color="C4C7C5"/>
              <w:right w:val="single" w:sz="6" w:space="0" w:color="C4C7C5"/>
            </w:tcBorders>
            <w:vAlign w:val="center"/>
          </w:tcPr>
          <w:p w14:paraId="0233C1E6" w14:textId="77777777" w:rsidR="00C442D4" w:rsidRDefault="00074227">
            <w:r>
              <w:t>• Interventions designed to improve the dental care experience and oral health of patients who have experienced domestic violence.</w:t>
            </w:r>
          </w:p>
          <w:p w14:paraId="0233C1E7" w14:textId="77777777" w:rsidR="00C442D4" w:rsidRDefault="00074227">
            <w:r>
              <w:t>• Educational interventions focused on domestic abuse.</w:t>
            </w:r>
          </w:p>
        </w:tc>
        <w:tc>
          <w:tcPr>
            <w:tcW w:w="3454" w:type="dxa"/>
            <w:tcBorders>
              <w:top w:val="single" w:sz="6" w:space="0" w:color="C4C7C5"/>
              <w:left w:val="single" w:sz="6" w:space="0" w:color="C4C7C5"/>
              <w:bottom w:val="single" w:sz="6" w:space="0" w:color="C4C7C5"/>
              <w:right w:val="single" w:sz="6" w:space="0" w:color="C4C7C5"/>
            </w:tcBorders>
            <w:vAlign w:val="center"/>
          </w:tcPr>
          <w:p w14:paraId="0233C1E8" w14:textId="77777777" w:rsidR="00C442D4" w:rsidRDefault="00074227">
            <w:r>
              <w:t>• Studies solely evaluating dentists' attitudes towards care without assessing methods to change them.</w:t>
            </w:r>
          </w:p>
          <w:p w14:paraId="0233C1E9" w14:textId="77777777" w:rsidR="00C442D4" w:rsidRDefault="00074227">
            <w:r>
              <w:t>• Studies exclusively assessing current knowledge without a corresponding intervention for improvement.</w:t>
            </w:r>
          </w:p>
          <w:p w14:paraId="0233C1EA" w14:textId="77777777" w:rsidR="00C442D4" w:rsidRDefault="00074227">
            <w:r>
              <w:t>• Studies solely reporting on dental traumatic injuries or listing clinical signs of abuse.</w:t>
            </w:r>
          </w:p>
        </w:tc>
      </w:tr>
      <w:tr w:rsidR="00C442D4" w14:paraId="0233C1F0" w14:textId="77777777">
        <w:tc>
          <w:tcPr>
            <w:tcW w:w="1600" w:type="dxa"/>
            <w:tcBorders>
              <w:top w:val="single" w:sz="6" w:space="0" w:color="C4C7C5"/>
              <w:left w:val="single" w:sz="6" w:space="0" w:color="C4C7C5"/>
              <w:bottom w:val="single" w:sz="6" w:space="0" w:color="C4C7C5"/>
              <w:right w:val="single" w:sz="6" w:space="0" w:color="C4C7C5"/>
            </w:tcBorders>
            <w:vAlign w:val="center"/>
          </w:tcPr>
          <w:p w14:paraId="0233C1EC" w14:textId="77777777" w:rsidR="00C442D4" w:rsidRDefault="00074227">
            <w:r>
              <w:t>Context</w:t>
            </w:r>
          </w:p>
        </w:tc>
        <w:tc>
          <w:tcPr>
            <w:tcW w:w="4002" w:type="dxa"/>
            <w:tcBorders>
              <w:top w:val="single" w:sz="6" w:space="0" w:color="C4C7C5"/>
              <w:left w:val="single" w:sz="6" w:space="0" w:color="C4C7C5"/>
              <w:bottom w:val="single" w:sz="6" w:space="0" w:color="C4C7C5"/>
              <w:right w:val="single" w:sz="6" w:space="0" w:color="C4C7C5"/>
            </w:tcBorders>
            <w:vAlign w:val="center"/>
          </w:tcPr>
          <w:p w14:paraId="0233C1ED" w14:textId="77777777" w:rsidR="00C442D4" w:rsidRDefault="00074227">
            <w:r>
              <w:t>• Dental settings.</w:t>
            </w:r>
          </w:p>
          <w:p w14:paraId="0233C1EE" w14:textId="77777777" w:rsidR="00C442D4" w:rsidRDefault="00074227">
            <w:r>
              <w:t>• Provision of dental treatment.</w:t>
            </w:r>
          </w:p>
        </w:tc>
        <w:tc>
          <w:tcPr>
            <w:tcW w:w="3454" w:type="dxa"/>
            <w:tcBorders>
              <w:top w:val="single" w:sz="6" w:space="0" w:color="C4C7C5"/>
              <w:left w:val="single" w:sz="6" w:space="0" w:color="C4C7C5"/>
              <w:bottom w:val="single" w:sz="6" w:space="0" w:color="C4C7C5"/>
              <w:right w:val="single" w:sz="6" w:space="0" w:color="C4C7C5"/>
            </w:tcBorders>
            <w:vAlign w:val="center"/>
          </w:tcPr>
          <w:p w14:paraId="0233C1EF" w14:textId="77777777" w:rsidR="00C442D4" w:rsidRDefault="00074227">
            <w:r>
              <w:t>• Care delivered in non-dental healthcare settings or general support services.</w:t>
            </w:r>
          </w:p>
        </w:tc>
      </w:tr>
      <w:tr w:rsidR="00C442D4" w14:paraId="0233C1FB" w14:textId="77777777">
        <w:tc>
          <w:tcPr>
            <w:tcW w:w="1600" w:type="dxa"/>
            <w:tcBorders>
              <w:top w:val="single" w:sz="6" w:space="0" w:color="C4C7C5"/>
              <w:left w:val="single" w:sz="6" w:space="0" w:color="C4C7C5"/>
              <w:bottom w:val="single" w:sz="6" w:space="0" w:color="C4C7C5"/>
              <w:right w:val="single" w:sz="6" w:space="0" w:color="C4C7C5"/>
            </w:tcBorders>
            <w:vAlign w:val="center"/>
          </w:tcPr>
          <w:p w14:paraId="0233C1F1" w14:textId="77777777" w:rsidR="00C442D4" w:rsidRDefault="00074227">
            <w:r>
              <w:t xml:space="preserve">Types of </w:t>
            </w:r>
            <w:r>
              <w:lastRenderedPageBreak/>
              <w:t>Evidence</w:t>
            </w:r>
          </w:p>
        </w:tc>
        <w:tc>
          <w:tcPr>
            <w:tcW w:w="4002" w:type="dxa"/>
            <w:tcBorders>
              <w:top w:val="single" w:sz="6" w:space="0" w:color="C4C7C5"/>
              <w:left w:val="single" w:sz="6" w:space="0" w:color="C4C7C5"/>
              <w:bottom w:val="single" w:sz="6" w:space="0" w:color="C4C7C5"/>
              <w:right w:val="single" w:sz="6" w:space="0" w:color="C4C7C5"/>
            </w:tcBorders>
            <w:vAlign w:val="center"/>
          </w:tcPr>
          <w:p w14:paraId="0233C1F2" w14:textId="77777777" w:rsidR="00C442D4" w:rsidRDefault="00074227">
            <w:r>
              <w:lastRenderedPageBreak/>
              <w:t>• Written in English.</w:t>
            </w:r>
          </w:p>
          <w:p w14:paraId="0233C1F3" w14:textId="77777777" w:rsidR="00C442D4" w:rsidRDefault="00074227">
            <w:r>
              <w:lastRenderedPageBreak/>
              <w:t>• Published at any point in time.</w:t>
            </w:r>
          </w:p>
          <w:p w14:paraId="0233C1F4" w14:textId="77777777" w:rsidR="00C442D4" w:rsidRDefault="00074227">
            <w:r>
              <w:t>• Primary research: randomised controlled trials (RCTs), observational studies (e.g., cohort, case-control, cross-sectional), quasi-experimental studies (e.g., pre-post-test), and quantitative, qualitative, or mixed-methods studies.</w:t>
            </w:r>
          </w:p>
          <w:p w14:paraId="0233C1F5" w14:textId="77777777" w:rsidR="00C442D4" w:rsidRDefault="00074227">
            <w:r>
              <w:t>• Grey literature: government reports, dissertations/theses, and conference papers.</w:t>
            </w:r>
          </w:p>
        </w:tc>
        <w:tc>
          <w:tcPr>
            <w:tcW w:w="3454" w:type="dxa"/>
            <w:tcBorders>
              <w:top w:val="single" w:sz="6" w:space="0" w:color="C4C7C5"/>
              <w:left w:val="single" w:sz="6" w:space="0" w:color="C4C7C5"/>
              <w:bottom w:val="single" w:sz="6" w:space="0" w:color="C4C7C5"/>
              <w:right w:val="single" w:sz="6" w:space="0" w:color="C4C7C5"/>
            </w:tcBorders>
            <w:vAlign w:val="center"/>
          </w:tcPr>
          <w:p w14:paraId="0233C1F6" w14:textId="77777777" w:rsidR="00C442D4" w:rsidRDefault="00074227">
            <w:r>
              <w:lastRenderedPageBreak/>
              <w:t xml:space="preserve">• Literature published in </w:t>
            </w:r>
            <w:r>
              <w:lastRenderedPageBreak/>
              <w:t>languages other than English.</w:t>
            </w:r>
          </w:p>
          <w:p w14:paraId="0233C1F7" w14:textId="77777777" w:rsidR="00C442D4" w:rsidRDefault="00074227">
            <w:r>
              <w:t>• Sources where the full text is unavailable.</w:t>
            </w:r>
          </w:p>
          <w:p w14:paraId="0233C1F8" w14:textId="77777777" w:rsidR="00C442D4" w:rsidRDefault="00074227">
            <w:r>
              <w:t>• Secondary research: systematic reviews, meta-analyses, and other literature reviews.</w:t>
            </w:r>
          </w:p>
          <w:p w14:paraId="0233C1F9" w14:textId="77777777" w:rsidR="00C442D4" w:rsidRDefault="00074227">
            <w:r>
              <w:t>• Standards, practice guidelines, and policy documents.</w:t>
            </w:r>
          </w:p>
          <w:p w14:paraId="0233C1FA" w14:textId="77777777" w:rsidR="00C442D4" w:rsidRDefault="00074227">
            <w:r>
              <w:t>• Non-academic media: blogs, opinion articles, social media posts, videos, newspaper articles, editorials, commentaries, websites, and podcasts.</w:t>
            </w:r>
          </w:p>
        </w:tc>
      </w:tr>
    </w:tbl>
    <w:p w14:paraId="0233C1FC" w14:textId="77777777" w:rsidR="00C442D4" w:rsidRDefault="00C442D4">
      <w:pPr>
        <w:rPr>
          <w:lang w:val="en-US"/>
        </w:rPr>
      </w:pPr>
    </w:p>
    <w:p w14:paraId="0233C1FD" w14:textId="77777777" w:rsidR="00C442D4" w:rsidRDefault="00C442D4">
      <w:pPr>
        <w:rPr>
          <w:lang w:val="en-US"/>
        </w:rPr>
      </w:pPr>
    </w:p>
    <w:p w14:paraId="0233C1FE" w14:textId="77777777" w:rsidR="00C442D4" w:rsidRDefault="00074227">
      <w:r>
        <w:br w:type="page"/>
      </w:r>
    </w:p>
    <w:p w14:paraId="0233C1FF" w14:textId="77777777" w:rsidR="00C442D4" w:rsidRDefault="00074227">
      <w:pPr>
        <w:pStyle w:val="Heading2"/>
      </w:pPr>
      <w:r>
        <w:lastRenderedPageBreak/>
        <w:t>Appendix 2</w:t>
      </w:r>
    </w:p>
    <w:p w14:paraId="0233C200" w14:textId="77777777" w:rsidR="00C442D4" w:rsidRDefault="00C442D4"/>
    <w:p w14:paraId="0233C201" w14:textId="77777777" w:rsidR="00C442D4" w:rsidRDefault="00074227">
      <w:r>
        <w:t>Table A2 - Search terms and Boolean operators used for the literature search strategy.</w:t>
      </w:r>
    </w:p>
    <w:tbl>
      <w:tblPr>
        <w:tblW w:w="8328" w:type="dxa"/>
        <w:tblLayout w:type="fixed"/>
        <w:tblCellMar>
          <w:top w:w="120" w:type="dxa"/>
          <w:left w:w="180" w:type="dxa"/>
          <w:bottom w:w="120" w:type="dxa"/>
          <w:right w:w="180" w:type="dxa"/>
        </w:tblCellMar>
        <w:tblLook w:val="04A0" w:firstRow="1" w:lastRow="0" w:firstColumn="1" w:lastColumn="0" w:noHBand="0" w:noVBand="1"/>
      </w:tblPr>
      <w:tblGrid>
        <w:gridCol w:w="3487"/>
        <w:gridCol w:w="3295"/>
        <w:gridCol w:w="1546"/>
      </w:tblGrid>
      <w:tr w:rsidR="00C442D4" w14:paraId="0233C205" w14:textId="77777777">
        <w:trPr>
          <w:tblHeader/>
        </w:trPr>
        <w:tc>
          <w:tcPr>
            <w:tcW w:w="3487" w:type="dxa"/>
            <w:tcBorders>
              <w:top w:val="single" w:sz="6" w:space="0" w:color="C4C7C5"/>
              <w:left w:val="single" w:sz="6" w:space="0" w:color="C4C7C5"/>
              <w:bottom w:val="single" w:sz="6" w:space="0" w:color="C4C7C5"/>
              <w:right w:val="single" w:sz="6" w:space="0" w:color="C4C7C5"/>
            </w:tcBorders>
            <w:vAlign w:val="center"/>
          </w:tcPr>
          <w:p w14:paraId="0233C202" w14:textId="77777777" w:rsidR="00C442D4" w:rsidRDefault="00074227">
            <w:r>
              <w:t>(1) Domestic Abuse</w:t>
            </w:r>
          </w:p>
        </w:tc>
        <w:tc>
          <w:tcPr>
            <w:tcW w:w="3295" w:type="dxa"/>
            <w:tcBorders>
              <w:top w:val="single" w:sz="6" w:space="0" w:color="C4C7C5"/>
              <w:left w:val="single" w:sz="6" w:space="0" w:color="C4C7C5"/>
              <w:bottom w:val="single" w:sz="6" w:space="0" w:color="C4C7C5"/>
              <w:right w:val="single" w:sz="6" w:space="0" w:color="C4C7C5"/>
            </w:tcBorders>
            <w:vAlign w:val="center"/>
          </w:tcPr>
          <w:p w14:paraId="0233C203" w14:textId="77777777" w:rsidR="00C442D4" w:rsidRDefault="00074227">
            <w:r>
              <w:t>(2) Oral Health / Dental care</w:t>
            </w:r>
          </w:p>
        </w:tc>
        <w:tc>
          <w:tcPr>
            <w:tcW w:w="1546" w:type="dxa"/>
            <w:tcBorders>
              <w:top w:val="single" w:sz="6" w:space="0" w:color="C4C7C5"/>
              <w:left w:val="single" w:sz="6" w:space="0" w:color="C4C7C5"/>
              <w:bottom w:val="single" w:sz="6" w:space="0" w:color="C4C7C5"/>
              <w:right w:val="single" w:sz="6" w:space="0" w:color="C4C7C5"/>
            </w:tcBorders>
            <w:vAlign w:val="center"/>
          </w:tcPr>
          <w:p w14:paraId="0233C204" w14:textId="77777777" w:rsidR="00C442D4" w:rsidRDefault="00074227">
            <w:r>
              <w:t>(3)</w:t>
            </w:r>
          </w:p>
        </w:tc>
      </w:tr>
      <w:tr w:rsidR="00C442D4" w14:paraId="0233C209" w14:textId="77777777">
        <w:tc>
          <w:tcPr>
            <w:tcW w:w="3487" w:type="dxa"/>
            <w:tcBorders>
              <w:top w:val="single" w:sz="6" w:space="0" w:color="C4C7C5"/>
              <w:left w:val="single" w:sz="6" w:space="0" w:color="C4C7C5"/>
              <w:bottom w:val="single" w:sz="6" w:space="0" w:color="C4C7C5"/>
              <w:right w:val="single" w:sz="6" w:space="0" w:color="C4C7C5"/>
            </w:tcBorders>
            <w:vAlign w:val="center"/>
          </w:tcPr>
          <w:p w14:paraId="0233C206" w14:textId="77777777" w:rsidR="00C442D4" w:rsidRDefault="00074227">
            <w:r>
              <w:t>"Domestic violence"</w:t>
            </w:r>
          </w:p>
        </w:tc>
        <w:tc>
          <w:tcPr>
            <w:tcW w:w="3295" w:type="dxa"/>
            <w:tcBorders>
              <w:top w:val="single" w:sz="6" w:space="0" w:color="C4C7C5"/>
              <w:left w:val="single" w:sz="6" w:space="0" w:color="C4C7C5"/>
              <w:bottom w:val="single" w:sz="6" w:space="0" w:color="C4C7C5"/>
              <w:right w:val="single" w:sz="6" w:space="0" w:color="C4C7C5"/>
            </w:tcBorders>
            <w:vAlign w:val="center"/>
          </w:tcPr>
          <w:p w14:paraId="0233C207" w14:textId="77777777" w:rsidR="00C442D4" w:rsidRDefault="00074227">
            <w:r>
              <w:t>Dent*</w:t>
            </w:r>
          </w:p>
        </w:tc>
        <w:tc>
          <w:tcPr>
            <w:tcW w:w="1546" w:type="dxa"/>
            <w:tcBorders>
              <w:top w:val="single" w:sz="6" w:space="0" w:color="C4C7C5"/>
              <w:left w:val="single" w:sz="6" w:space="0" w:color="C4C7C5"/>
              <w:bottom w:val="single" w:sz="6" w:space="0" w:color="C4C7C5"/>
              <w:right w:val="single" w:sz="6" w:space="0" w:color="C4C7C5"/>
            </w:tcBorders>
            <w:vAlign w:val="center"/>
          </w:tcPr>
          <w:p w14:paraId="0233C208" w14:textId="77777777" w:rsidR="00C442D4" w:rsidRDefault="00074227">
            <w:r>
              <w:t>(1) AND (2)</w:t>
            </w:r>
          </w:p>
        </w:tc>
      </w:tr>
      <w:tr w:rsidR="00C442D4" w14:paraId="0233C20D" w14:textId="77777777">
        <w:tc>
          <w:tcPr>
            <w:tcW w:w="3487" w:type="dxa"/>
            <w:tcBorders>
              <w:top w:val="single" w:sz="6" w:space="0" w:color="C4C7C5"/>
              <w:left w:val="single" w:sz="6" w:space="0" w:color="C4C7C5"/>
              <w:bottom w:val="single" w:sz="6" w:space="0" w:color="C4C7C5"/>
              <w:right w:val="single" w:sz="6" w:space="0" w:color="C4C7C5"/>
            </w:tcBorders>
            <w:vAlign w:val="center"/>
          </w:tcPr>
          <w:p w14:paraId="0233C20A" w14:textId="77777777" w:rsidR="00C442D4" w:rsidRDefault="00074227">
            <w:r>
              <w:t>Intimate partner violence</w:t>
            </w:r>
          </w:p>
        </w:tc>
        <w:tc>
          <w:tcPr>
            <w:tcW w:w="3295" w:type="dxa"/>
            <w:tcBorders>
              <w:top w:val="single" w:sz="6" w:space="0" w:color="C4C7C5"/>
              <w:left w:val="single" w:sz="6" w:space="0" w:color="C4C7C5"/>
              <w:bottom w:val="single" w:sz="6" w:space="0" w:color="C4C7C5"/>
              <w:right w:val="single" w:sz="6" w:space="0" w:color="C4C7C5"/>
            </w:tcBorders>
            <w:vAlign w:val="center"/>
          </w:tcPr>
          <w:p w14:paraId="0233C20B" w14:textId="77777777" w:rsidR="00C442D4" w:rsidRDefault="00074227">
            <w:r>
              <w:t>"Oral health"</w:t>
            </w:r>
          </w:p>
        </w:tc>
        <w:tc>
          <w:tcPr>
            <w:tcW w:w="1546" w:type="dxa"/>
            <w:tcBorders>
              <w:top w:val="single" w:sz="6" w:space="0" w:color="C4C7C5"/>
              <w:left w:val="single" w:sz="6" w:space="0" w:color="C4C7C5"/>
              <w:bottom w:val="single" w:sz="6" w:space="0" w:color="C4C7C5"/>
              <w:right w:val="single" w:sz="6" w:space="0" w:color="C4C7C5"/>
            </w:tcBorders>
            <w:vAlign w:val="center"/>
          </w:tcPr>
          <w:p w14:paraId="0233C20C" w14:textId="77777777" w:rsidR="00C442D4" w:rsidRDefault="00C442D4"/>
        </w:tc>
      </w:tr>
      <w:tr w:rsidR="00C442D4" w14:paraId="0233C211" w14:textId="77777777">
        <w:tc>
          <w:tcPr>
            <w:tcW w:w="3487" w:type="dxa"/>
            <w:tcBorders>
              <w:top w:val="single" w:sz="6" w:space="0" w:color="C4C7C5"/>
              <w:left w:val="single" w:sz="6" w:space="0" w:color="C4C7C5"/>
              <w:bottom w:val="single" w:sz="6" w:space="0" w:color="C4C7C5"/>
              <w:right w:val="single" w:sz="6" w:space="0" w:color="C4C7C5"/>
            </w:tcBorders>
            <w:vAlign w:val="center"/>
          </w:tcPr>
          <w:p w14:paraId="0233C20E" w14:textId="77777777" w:rsidR="00C442D4" w:rsidRDefault="00074227">
            <w:r>
              <w:t>Spouse abuse</w:t>
            </w:r>
          </w:p>
        </w:tc>
        <w:tc>
          <w:tcPr>
            <w:tcW w:w="3295" w:type="dxa"/>
            <w:tcBorders>
              <w:top w:val="single" w:sz="6" w:space="0" w:color="C4C7C5"/>
              <w:left w:val="single" w:sz="6" w:space="0" w:color="C4C7C5"/>
              <w:bottom w:val="single" w:sz="6" w:space="0" w:color="C4C7C5"/>
              <w:right w:val="single" w:sz="6" w:space="0" w:color="C4C7C5"/>
            </w:tcBorders>
            <w:vAlign w:val="center"/>
          </w:tcPr>
          <w:p w14:paraId="0233C20F" w14:textId="77777777" w:rsidR="00C442D4" w:rsidRDefault="00074227">
            <w:r>
              <w:t>"Dental hygienists"</w:t>
            </w:r>
          </w:p>
        </w:tc>
        <w:tc>
          <w:tcPr>
            <w:tcW w:w="1546" w:type="dxa"/>
            <w:tcBorders>
              <w:top w:val="single" w:sz="6" w:space="0" w:color="C4C7C5"/>
              <w:left w:val="single" w:sz="6" w:space="0" w:color="C4C7C5"/>
              <w:bottom w:val="single" w:sz="6" w:space="0" w:color="C4C7C5"/>
              <w:right w:val="single" w:sz="6" w:space="0" w:color="C4C7C5"/>
            </w:tcBorders>
            <w:vAlign w:val="center"/>
          </w:tcPr>
          <w:p w14:paraId="0233C210" w14:textId="77777777" w:rsidR="00C442D4" w:rsidRDefault="00C442D4"/>
        </w:tc>
      </w:tr>
      <w:tr w:rsidR="00C442D4" w14:paraId="0233C215" w14:textId="77777777">
        <w:tc>
          <w:tcPr>
            <w:tcW w:w="3487" w:type="dxa"/>
            <w:tcBorders>
              <w:top w:val="single" w:sz="6" w:space="0" w:color="C4C7C5"/>
              <w:left w:val="single" w:sz="6" w:space="0" w:color="C4C7C5"/>
              <w:bottom w:val="single" w:sz="6" w:space="0" w:color="C4C7C5"/>
              <w:right w:val="single" w:sz="6" w:space="0" w:color="C4C7C5"/>
            </w:tcBorders>
            <w:vAlign w:val="center"/>
          </w:tcPr>
          <w:p w14:paraId="0233C212" w14:textId="77777777" w:rsidR="00C442D4" w:rsidRDefault="00074227">
            <w:r>
              <w:t>Intimate partner abuse</w:t>
            </w:r>
          </w:p>
        </w:tc>
        <w:tc>
          <w:tcPr>
            <w:tcW w:w="3295" w:type="dxa"/>
            <w:tcBorders>
              <w:top w:val="single" w:sz="6" w:space="0" w:color="C4C7C5"/>
              <w:left w:val="single" w:sz="6" w:space="0" w:color="C4C7C5"/>
              <w:bottom w:val="single" w:sz="6" w:space="0" w:color="C4C7C5"/>
              <w:right w:val="single" w:sz="6" w:space="0" w:color="C4C7C5"/>
            </w:tcBorders>
            <w:vAlign w:val="center"/>
          </w:tcPr>
          <w:p w14:paraId="0233C213" w14:textId="77777777" w:rsidR="00C442D4" w:rsidRDefault="00074227">
            <w:r>
              <w:t>"Dental professionals"</w:t>
            </w:r>
          </w:p>
        </w:tc>
        <w:tc>
          <w:tcPr>
            <w:tcW w:w="1546" w:type="dxa"/>
            <w:tcBorders>
              <w:top w:val="single" w:sz="6" w:space="0" w:color="C4C7C5"/>
              <w:left w:val="single" w:sz="6" w:space="0" w:color="C4C7C5"/>
              <w:bottom w:val="single" w:sz="6" w:space="0" w:color="C4C7C5"/>
              <w:right w:val="single" w:sz="6" w:space="0" w:color="C4C7C5"/>
            </w:tcBorders>
            <w:vAlign w:val="center"/>
          </w:tcPr>
          <w:p w14:paraId="0233C214" w14:textId="77777777" w:rsidR="00C442D4" w:rsidRDefault="00C442D4"/>
        </w:tc>
      </w:tr>
      <w:tr w:rsidR="00C442D4" w14:paraId="0233C219" w14:textId="77777777">
        <w:tc>
          <w:tcPr>
            <w:tcW w:w="3487" w:type="dxa"/>
            <w:tcBorders>
              <w:top w:val="single" w:sz="6" w:space="0" w:color="C4C7C5"/>
              <w:left w:val="single" w:sz="6" w:space="0" w:color="C4C7C5"/>
              <w:bottom w:val="single" w:sz="6" w:space="0" w:color="C4C7C5"/>
              <w:right w:val="single" w:sz="6" w:space="0" w:color="C4C7C5"/>
            </w:tcBorders>
            <w:vAlign w:val="center"/>
          </w:tcPr>
          <w:p w14:paraId="0233C216" w14:textId="77777777" w:rsidR="00C442D4" w:rsidRDefault="00074227">
            <w:r>
              <w:t>Domestic abuse</w:t>
            </w:r>
          </w:p>
        </w:tc>
        <w:tc>
          <w:tcPr>
            <w:tcW w:w="3295" w:type="dxa"/>
            <w:tcBorders>
              <w:top w:val="single" w:sz="6" w:space="0" w:color="C4C7C5"/>
              <w:left w:val="single" w:sz="6" w:space="0" w:color="C4C7C5"/>
              <w:bottom w:val="single" w:sz="6" w:space="0" w:color="C4C7C5"/>
              <w:right w:val="single" w:sz="6" w:space="0" w:color="C4C7C5"/>
            </w:tcBorders>
            <w:vAlign w:val="center"/>
          </w:tcPr>
          <w:p w14:paraId="0233C217" w14:textId="77777777" w:rsidR="00C442D4" w:rsidRDefault="00074227">
            <w:r>
              <w:t>"Dental students"</w:t>
            </w:r>
          </w:p>
        </w:tc>
        <w:tc>
          <w:tcPr>
            <w:tcW w:w="1546" w:type="dxa"/>
            <w:tcBorders>
              <w:top w:val="single" w:sz="6" w:space="0" w:color="C4C7C5"/>
              <w:left w:val="single" w:sz="6" w:space="0" w:color="C4C7C5"/>
              <w:bottom w:val="single" w:sz="6" w:space="0" w:color="C4C7C5"/>
              <w:right w:val="single" w:sz="6" w:space="0" w:color="C4C7C5"/>
            </w:tcBorders>
            <w:vAlign w:val="center"/>
          </w:tcPr>
          <w:p w14:paraId="0233C218" w14:textId="77777777" w:rsidR="00C442D4" w:rsidRDefault="00C442D4"/>
        </w:tc>
      </w:tr>
      <w:tr w:rsidR="00C442D4" w14:paraId="0233C21D" w14:textId="77777777">
        <w:tc>
          <w:tcPr>
            <w:tcW w:w="3487" w:type="dxa"/>
            <w:tcBorders>
              <w:top w:val="single" w:sz="6" w:space="0" w:color="C4C7C5"/>
              <w:left w:val="single" w:sz="6" w:space="0" w:color="C4C7C5"/>
              <w:bottom w:val="single" w:sz="6" w:space="0" w:color="C4C7C5"/>
              <w:right w:val="single" w:sz="6" w:space="0" w:color="C4C7C5"/>
            </w:tcBorders>
            <w:vAlign w:val="center"/>
          </w:tcPr>
          <w:p w14:paraId="0233C21A" w14:textId="77777777" w:rsidR="00C442D4" w:rsidRDefault="00074227">
            <w:r>
              <w:t>DVA</w:t>
            </w:r>
          </w:p>
        </w:tc>
        <w:tc>
          <w:tcPr>
            <w:tcW w:w="3295" w:type="dxa"/>
            <w:tcBorders>
              <w:top w:val="single" w:sz="6" w:space="0" w:color="C4C7C5"/>
              <w:left w:val="single" w:sz="6" w:space="0" w:color="C4C7C5"/>
              <w:bottom w:val="single" w:sz="6" w:space="0" w:color="C4C7C5"/>
              <w:right w:val="single" w:sz="6" w:space="0" w:color="C4C7C5"/>
            </w:tcBorders>
            <w:vAlign w:val="center"/>
          </w:tcPr>
          <w:p w14:paraId="0233C21B" w14:textId="77777777" w:rsidR="00C442D4" w:rsidRDefault="00074227">
            <w:r>
              <w:t>"Oral care"</w:t>
            </w:r>
          </w:p>
        </w:tc>
        <w:tc>
          <w:tcPr>
            <w:tcW w:w="1546" w:type="dxa"/>
            <w:tcBorders>
              <w:top w:val="single" w:sz="6" w:space="0" w:color="C4C7C5"/>
              <w:left w:val="single" w:sz="6" w:space="0" w:color="C4C7C5"/>
              <w:bottom w:val="single" w:sz="6" w:space="0" w:color="C4C7C5"/>
              <w:right w:val="single" w:sz="6" w:space="0" w:color="C4C7C5"/>
            </w:tcBorders>
            <w:vAlign w:val="center"/>
          </w:tcPr>
          <w:p w14:paraId="0233C21C" w14:textId="77777777" w:rsidR="00C442D4" w:rsidRDefault="00C442D4"/>
        </w:tc>
      </w:tr>
      <w:tr w:rsidR="00C442D4" w14:paraId="0233C221" w14:textId="77777777">
        <w:tc>
          <w:tcPr>
            <w:tcW w:w="3487" w:type="dxa"/>
            <w:tcBorders>
              <w:top w:val="single" w:sz="6" w:space="0" w:color="C4C7C5"/>
              <w:left w:val="single" w:sz="6" w:space="0" w:color="C4C7C5"/>
              <w:bottom w:val="single" w:sz="6" w:space="0" w:color="C4C7C5"/>
              <w:right w:val="single" w:sz="6" w:space="0" w:color="C4C7C5"/>
            </w:tcBorders>
            <w:vAlign w:val="center"/>
          </w:tcPr>
          <w:p w14:paraId="0233C21E" w14:textId="77777777" w:rsidR="00C442D4" w:rsidRDefault="00074227">
            <w:r>
              <w:t>Relationship abuse</w:t>
            </w:r>
          </w:p>
        </w:tc>
        <w:tc>
          <w:tcPr>
            <w:tcW w:w="3295" w:type="dxa"/>
            <w:tcBorders>
              <w:top w:val="single" w:sz="6" w:space="0" w:color="C4C7C5"/>
              <w:left w:val="single" w:sz="6" w:space="0" w:color="C4C7C5"/>
              <w:bottom w:val="single" w:sz="6" w:space="0" w:color="C4C7C5"/>
              <w:right w:val="single" w:sz="6" w:space="0" w:color="C4C7C5"/>
            </w:tcBorders>
            <w:vAlign w:val="center"/>
          </w:tcPr>
          <w:p w14:paraId="0233C21F" w14:textId="77777777" w:rsidR="00C442D4" w:rsidRDefault="00074227">
            <w:r>
              <w:t>"Dental care"</w:t>
            </w:r>
          </w:p>
        </w:tc>
        <w:tc>
          <w:tcPr>
            <w:tcW w:w="1546" w:type="dxa"/>
            <w:tcBorders>
              <w:top w:val="single" w:sz="6" w:space="0" w:color="C4C7C5"/>
              <w:left w:val="single" w:sz="6" w:space="0" w:color="C4C7C5"/>
              <w:bottom w:val="single" w:sz="6" w:space="0" w:color="C4C7C5"/>
              <w:right w:val="single" w:sz="6" w:space="0" w:color="C4C7C5"/>
            </w:tcBorders>
            <w:vAlign w:val="center"/>
          </w:tcPr>
          <w:p w14:paraId="0233C220" w14:textId="77777777" w:rsidR="00C442D4" w:rsidRDefault="00C442D4"/>
        </w:tc>
      </w:tr>
      <w:tr w:rsidR="00C442D4" w14:paraId="0233C225" w14:textId="77777777">
        <w:tc>
          <w:tcPr>
            <w:tcW w:w="3487" w:type="dxa"/>
            <w:tcBorders>
              <w:top w:val="single" w:sz="6" w:space="0" w:color="C4C7C5"/>
              <w:left w:val="single" w:sz="6" w:space="0" w:color="C4C7C5"/>
              <w:bottom w:val="single" w:sz="6" w:space="0" w:color="C4C7C5"/>
              <w:right w:val="single" w:sz="6" w:space="0" w:color="C4C7C5"/>
            </w:tcBorders>
            <w:vAlign w:val="center"/>
          </w:tcPr>
          <w:p w14:paraId="0233C222" w14:textId="77777777" w:rsidR="00C442D4" w:rsidRDefault="00074227">
            <w:r>
              <w:t>Domestic violence and abuse</w:t>
            </w:r>
          </w:p>
        </w:tc>
        <w:tc>
          <w:tcPr>
            <w:tcW w:w="3295" w:type="dxa"/>
            <w:tcBorders>
              <w:top w:val="single" w:sz="6" w:space="0" w:color="C4C7C5"/>
              <w:left w:val="single" w:sz="6" w:space="0" w:color="C4C7C5"/>
              <w:bottom w:val="single" w:sz="6" w:space="0" w:color="C4C7C5"/>
              <w:right w:val="single" w:sz="6" w:space="0" w:color="C4C7C5"/>
            </w:tcBorders>
            <w:vAlign w:val="center"/>
          </w:tcPr>
          <w:p w14:paraId="0233C223" w14:textId="77777777" w:rsidR="00C442D4" w:rsidRDefault="00074227">
            <w:r>
              <w:t>"Dental health services"</w:t>
            </w:r>
          </w:p>
        </w:tc>
        <w:tc>
          <w:tcPr>
            <w:tcW w:w="1546" w:type="dxa"/>
            <w:tcBorders>
              <w:top w:val="single" w:sz="6" w:space="0" w:color="C4C7C5"/>
              <w:left w:val="single" w:sz="6" w:space="0" w:color="C4C7C5"/>
              <w:bottom w:val="single" w:sz="6" w:space="0" w:color="C4C7C5"/>
              <w:right w:val="single" w:sz="6" w:space="0" w:color="C4C7C5"/>
            </w:tcBorders>
            <w:vAlign w:val="center"/>
          </w:tcPr>
          <w:p w14:paraId="0233C224" w14:textId="77777777" w:rsidR="00C442D4" w:rsidRDefault="00C442D4"/>
        </w:tc>
      </w:tr>
      <w:tr w:rsidR="00C442D4" w14:paraId="0233C229" w14:textId="77777777">
        <w:tc>
          <w:tcPr>
            <w:tcW w:w="3487" w:type="dxa"/>
            <w:tcBorders>
              <w:top w:val="single" w:sz="6" w:space="0" w:color="C4C7C5"/>
              <w:left w:val="single" w:sz="6" w:space="0" w:color="C4C7C5"/>
              <w:bottom w:val="single" w:sz="6" w:space="0" w:color="C4C7C5"/>
              <w:right w:val="single" w:sz="6" w:space="0" w:color="C4C7C5"/>
            </w:tcBorders>
            <w:vAlign w:val="center"/>
          </w:tcPr>
          <w:p w14:paraId="0233C226" w14:textId="77777777" w:rsidR="00C442D4" w:rsidRDefault="00C442D4"/>
        </w:tc>
        <w:tc>
          <w:tcPr>
            <w:tcW w:w="3295" w:type="dxa"/>
            <w:tcBorders>
              <w:top w:val="single" w:sz="6" w:space="0" w:color="C4C7C5"/>
              <w:left w:val="single" w:sz="6" w:space="0" w:color="C4C7C5"/>
              <w:bottom w:val="single" w:sz="6" w:space="0" w:color="C4C7C5"/>
              <w:right w:val="single" w:sz="6" w:space="0" w:color="C4C7C5"/>
            </w:tcBorders>
            <w:vAlign w:val="center"/>
          </w:tcPr>
          <w:p w14:paraId="0233C227" w14:textId="77777777" w:rsidR="00C442D4" w:rsidRDefault="00074227">
            <w:r>
              <w:t>"Dental health"</w:t>
            </w:r>
          </w:p>
        </w:tc>
        <w:tc>
          <w:tcPr>
            <w:tcW w:w="1546" w:type="dxa"/>
            <w:tcBorders>
              <w:top w:val="single" w:sz="6" w:space="0" w:color="C4C7C5"/>
              <w:left w:val="single" w:sz="6" w:space="0" w:color="C4C7C5"/>
              <w:bottom w:val="single" w:sz="6" w:space="0" w:color="C4C7C5"/>
              <w:right w:val="single" w:sz="6" w:space="0" w:color="C4C7C5"/>
            </w:tcBorders>
            <w:vAlign w:val="center"/>
          </w:tcPr>
          <w:p w14:paraId="0233C228" w14:textId="77777777" w:rsidR="00C442D4" w:rsidRDefault="00C442D4"/>
        </w:tc>
      </w:tr>
      <w:tr w:rsidR="00C442D4" w14:paraId="0233C22D" w14:textId="77777777">
        <w:tc>
          <w:tcPr>
            <w:tcW w:w="3487" w:type="dxa"/>
            <w:tcBorders>
              <w:top w:val="single" w:sz="6" w:space="0" w:color="C4C7C5"/>
              <w:left w:val="single" w:sz="6" w:space="0" w:color="C4C7C5"/>
              <w:bottom w:val="single" w:sz="6" w:space="0" w:color="C4C7C5"/>
              <w:right w:val="single" w:sz="6" w:space="0" w:color="C4C7C5"/>
            </w:tcBorders>
            <w:vAlign w:val="center"/>
          </w:tcPr>
          <w:p w14:paraId="0233C22A" w14:textId="77777777" w:rsidR="00C442D4" w:rsidRDefault="00C442D4"/>
        </w:tc>
        <w:tc>
          <w:tcPr>
            <w:tcW w:w="3295" w:type="dxa"/>
            <w:tcBorders>
              <w:top w:val="single" w:sz="6" w:space="0" w:color="C4C7C5"/>
              <w:left w:val="single" w:sz="6" w:space="0" w:color="C4C7C5"/>
              <w:bottom w:val="single" w:sz="6" w:space="0" w:color="C4C7C5"/>
              <w:right w:val="single" w:sz="6" w:space="0" w:color="C4C7C5"/>
            </w:tcBorders>
            <w:vAlign w:val="center"/>
          </w:tcPr>
          <w:p w14:paraId="0233C22B" w14:textId="77777777" w:rsidR="00C442D4" w:rsidRDefault="00074227">
            <w:r>
              <w:t>"Dental setting"</w:t>
            </w:r>
          </w:p>
        </w:tc>
        <w:tc>
          <w:tcPr>
            <w:tcW w:w="1546" w:type="dxa"/>
            <w:tcBorders>
              <w:top w:val="single" w:sz="6" w:space="0" w:color="C4C7C5"/>
              <w:left w:val="single" w:sz="6" w:space="0" w:color="C4C7C5"/>
              <w:bottom w:val="single" w:sz="6" w:space="0" w:color="C4C7C5"/>
              <w:right w:val="single" w:sz="6" w:space="0" w:color="C4C7C5"/>
            </w:tcBorders>
            <w:vAlign w:val="center"/>
          </w:tcPr>
          <w:p w14:paraId="0233C22C" w14:textId="77777777" w:rsidR="00C442D4" w:rsidRDefault="00C442D4"/>
        </w:tc>
      </w:tr>
      <w:tr w:rsidR="00C442D4" w14:paraId="0233C231" w14:textId="77777777">
        <w:tc>
          <w:tcPr>
            <w:tcW w:w="3487" w:type="dxa"/>
            <w:tcBorders>
              <w:top w:val="single" w:sz="6" w:space="0" w:color="C4C7C5"/>
              <w:left w:val="single" w:sz="6" w:space="0" w:color="C4C7C5"/>
              <w:bottom w:val="single" w:sz="6" w:space="0" w:color="C4C7C5"/>
              <w:right w:val="single" w:sz="6" w:space="0" w:color="C4C7C5"/>
            </w:tcBorders>
            <w:vAlign w:val="center"/>
          </w:tcPr>
          <w:p w14:paraId="0233C22E" w14:textId="77777777" w:rsidR="00C442D4" w:rsidRDefault="00C442D4"/>
        </w:tc>
        <w:tc>
          <w:tcPr>
            <w:tcW w:w="3295" w:type="dxa"/>
            <w:tcBorders>
              <w:top w:val="single" w:sz="6" w:space="0" w:color="C4C7C5"/>
              <w:left w:val="single" w:sz="6" w:space="0" w:color="C4C7C5"/>
              <w:bottom w:val="single" w:sz="6" w:space="0" w:color="C4C7C5"/>
              <w:right w:val="single" w:sz="6" w:space="0" w:color="C4C7C5"/>
            </w:tcBorders>
            <w:vAlign w:val="center"/>
          </w:tcPr>
          <w:p w14:paraId="0233C22F" w14:textId="77777777" w:rsidR="00C442D4" w:rsidRDefault="00074227">
            <w:r>
              <w:t>"Oral healthcare"</w:t>
            </w:r>
          </w:p>
        </w:tc>
        <w:tc>
          <w:tcPr>
            <w:tcW w:w="1546" w:type="dxa"/>
            <w:tcBorders>
              <w:top w:val="single" w:sz="6" w:space="0" w:color="C4C7C5"/>
              <w:left w:val="single" w:sz="6" w:space="0" w:color="C4C7C5"/>
              <w:bottom w:val="single" w:sz="6" w:space="0" w:color="C4C7C5"/>
              <w:right w:val="single" w:sz="6" w:space="0" w:color="C4C7C5"/>
            </w:tcBorders>
            <w:vAlign w:val="center"/>
          </w:tcPr>
          <w:p w14:paraId="0233C230" w14:textId="77777777" w:rsidR="00C442D4" w:rsidRDefault="00C442D4"/>
        </w:tc>
      </w:tr>
      <w:tr w:rsidR="00C442D4" w14:paraId="0233C235" w14:textId="77777777">
        <w:tc>
          <w:tcPr>
            <w:tcW w:w="3487" w:type="dxa"/>
            <w:tcBorders>
              <w:top w:val="single" w:sz="6" w:space="0" w:color="C4C7C5"/>
              <w:left w:val="single" w:sz="6" w:space="0" w:color="C4C7C5"/>
              <w:bottom w:val="single" w:sz="6" w:space="0" w:color="C4C7C5"/>
              <w:right w:val="single" w:sz="6" w:space="0" w:color="C4C7C5"/>
            </w:tcBorders>
            <w:vAlign w:val="center"/>
          </w:tcPr>
          <w:p w14:paraId="0233C232" w14:textId="77777777" w:rsidR="00C442D4" w:rsidRDefault="00C442D4"/>
        </w:tc>
        <w:tc>
          <w:tcPr>
            <w:tcW w:w="3295" w:type="dxa"/>
            <w:tcBorders>
              <w:top w:val="single" w:sz="6" w:space="0" w:color="C4C7C5"/>
              <w:left w:val="single" w:sz="6" w:space="0" w:color="C4C7C5"/>
              <w:bottom w:val="single" w:sz="6" w:space="0" w:color="C4C7C5"/>
              <w:right w:val="single" w:sz="6" w:space="0" w:color="C4C7C5"/>
            </w:tcBorders>
            <w:vAlign w:val="center"/>
          </w:tcPr>
          <w:p w14:paraId="0233C233" w14:textId="77777777" w:rsidR="00C442D4" w:rsidRDefault="00074227">
            <w:r>
              <w:t>"Dental practice"</w:t>
            </w:r>
          </w:p>
        </w:tc>
        <w:tc>
          <w:tcPr>
            <w:tcW w:w="1546" w:type="dxa"/>
            <w:tcBorders>
              <w:top w:val="single" w:sz="6" w:space="0" w:color="C4C7C5"/>
              <w:left w:val="single" w:sz="6" w:space="0" w:color="C4C7C5"/>
              <w:bottom w:val="single" w:sz="6" w:space="0" w:color="C4C7C5"/>
              <w:right w:val="single" w:sz="6" w:space="0" w:color="C4C7C5"/>
            </w:tcBorders>
            <w:vAlign w:val="center"/>
          </w:tcPr>
          <w:p w14:paraId="0233C234" w14:textId="77777777" w:rsidR="00C442D4" w:rsidRDefault="00C442D4"/>
        </w:tc>
      </w:tr>
    </w:tbl>
    <w:p w14:paraId="0233C236" w14:textId="77777777" w:rsidR="00C442D4" w:rsidRDefault="00C442D4"/>
    <w:p w14:paraId="0233C237" w14:textId="77777777" w:rsidR="00C442D4" w:rsidRDefault="00C442D4"/>
    <w:p w14:paraId="0233C238" w14:textId="77777777" w:rsidR="00C442D4" w:rsidRDefault="00074227">
      <w:r>
        <w:br w:type="page"/>
      </w:r>
    </w:p>
    <w:p w14:paraId="0233C239" w14:textId="77777777" w:rsidR="00C442D4" w:rsidRDefault="00074227">
      <w:pPr>
        <w:pStyle w:val="Heading2"/>
      </w:pPr>
      <w:r>
        <w:lastRenderedPageBreak/>
        <w:t>Appendix 3 </w:t>
      </w:r>
    </w:p>
    <w:p w14:paraId="0233C23A" w14:textId="77777777" w:rsidR="00C442D4" w:rsidRDefault="00C442D4"/>
    <w:p w14:paraId="0233C23B" w14:textId="77777777" w:rsidR="00C442D4" w:rsidRDefault="00074227">
      <w:r>
        <w:t>Table A3 - Detailed search strategy and results for Ovid MEDLINE(R) ALL.</w:t>
      </w:r>
    </w:p>
    <w:tbl>
      <w:tblPr>
        <w:tblW w:w="9056" w:type="dxa"/>
        <w:tblLayout w:type="fixed"/>
        <w:tblCellMar>
          <w:top w:w="120" w:type="dxa"/>
          <w:left w:w="180" w:type="dxa"/>
          <w:bottom w:w="120" w:type="dxa"/>
          <w:right w:w="180" w:type="dxa"/>
        </w:tblCellMar>
        <w:tblLook w:val="04A0" w:firstRow="1" w:lastRow="0" w:firstColumn="1" w:lastColumn="0" w:noHBand="0" w:noVBand="1"/>
      </w:tblPr>
      <w:tblGrid>
        <w:gridCol w:w="691"/>
        <w:gridCol w:w="5827"/>
        <w:gridCol w:w="2538"/>
      </w:tblGrid>
      <w:tr w:rsidR="00C442D4" w14:paraId="0233C23F" w14:textId="77777777">
        <w:trPr>
          <w:tblHeader/>
        </w:trPr>
        <w:tc>
          <w:tcPr>
            <w:tcW w:w="691" w:type="dxa"/>
            <w:tcBorders>
              <w:top w:val="single" w:sz="6" w:space="0" w:color="C4C7C5"/>
              <w:left w:val="single" w:sz="6" w:space="0" w:color="C4C7C5"/>
              <w:bottom w:val="single" w:sz="6" w:space="0" w:color="C4C7C5"/>
              <w:right w:val="single" w:sz="6" w:space="0" w:color="C4C7C5"/>
            </w:tcBorders>
            <w:vAlign w:val="center"/>
          </w:tcPr>
          <w:p w14:paraId="0233C23C" w14:textId="77777777" w:rsidR="00C442D4" w:rsidRDefault="00074227">
            <w:r>
              <w:t>#</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3D" w14:textId="77777777" w:rsidR="00C442D4" w:rsidRDefault="00074227">
            <w:r>
              <w:t>Query</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3E" w14:textId="77777777" w:rsidR="00C442D4" w:rsidRDefault="00074227">
            <w:r>
              <w:t>Results from 26 Nov 2025</w:t>
            </w:r>
          </w:p>
        </w:tc>
      </w:tr>
      <w:tr w:rsidR="00C442D4" w14:paraId="0233C243"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40" w14:textId="77777777" w:rsidR="00C442D4" w:rsidRDefault="00074227">
            <w:r>
              <w:t>1</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41" w14:textId="77777777" w:rsidR="00C442D4" w:rsidRDefault="00074227">
            <w:r>
              <w:t>Domestic Violence/ or Intimate Partner Violence/ or Spouse Abuse/</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42" w14:textId="77777777" w:rsidR="00C442D4" w:rsidRDefault="00074227">
            <w:pPr>
              <w:jc w:val="right"/>
            </w:pPr>
            <w:r>
              <w:t>22,141</w:t>
            </w:r>
          </w:p>
        </w:tc>
      </w:tr>
      <w:tr w:rsidR="00C442D4" w14:paraId="0233C247"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44" w14:textId="77777777" w:rsidR="00C442D4" w:rsidRDefault="00074227">
            <w:r>
              <w:t>2</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45" w14:textId="77777777" w:rsidR="00C442D4" w:rsidRDefault="00074227">
            <w:r>
              <w:t>"domestic abuse".</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46" w14:textId="77777777" w:rsidR="00C442D4" w:rsidRDefault="00074227">
            <w:pPr>
              <w:jc w:val="right"/>
            </w:pPr>
            <w:r>
              <w:t>692</w:t>
            </w:r>
          </w:p>
        </w:tc>
      </w:tr>
      <w:tr w:rsidR="00C442D4" w14:paraId="0233C24B"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48" w14:textId="77777777" w:rsidR="00C442D4" w:rsidRDefault="00074227">
            <w:r>
              <w:t>3</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49" w14:textId="77777777" w:rsidR="00C442D4" w:rsidRDefault="00074227">
            <w:r>
              <w:t>"domestic violence".</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4A" w14:textId="77777777" w:rsidR="00C442D4" w:rsidRDefault="00074227">
            <w:pPr>
              <w:jc w:val="right"/>
            </w:pPr>
            <w:r>
              <w:t>8,649</w:t>
            </w:r>
          </w:p>
        </w:tc>
      </w:tr>
      <w:tr w:rsidR="00C442D4" w14:paraId="0233C24F"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4C" w14:textId="77777777" w:rsidR="00C442D4" w:rsidRDefault="00074227">
            <w:r>
              <w:t>4</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4D" w14:textId="77777777" w:rsidR="00C442D4" w:rsidRDefault="00074227">
            <w:r>
              <w:t>"Intimate partner violence".</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4E" w14:textId="77777777" w:rsidR="00C442D4" w:rsidRDefault="00074227">
            <w:pPr>
              <w:jc w:val="right"/>
            </w:pPr>
            <w:r>
              <w:t>12,990</w:t>
            </w:r>
          </w:p>
        </w:tc>
      </w:tr>
      <w:tr w:rsidR="00C442D4" w14:paraId="0233C253"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50" w14:textId="77777777" w:rsidR="00C442D4" w:rsidRDefault="00074227">
            <w:r>
              <w:t>5</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51" w14:textId="77777777" w:rsidR="00C442D4" w:rsidRDefault="00074227">
            <w:r>
              <w:t>"spouse abuse".</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52" w14:textId="77777777" w:rsidR="00C442D4" w:rsidRDefault="00074227">
            <w:pPr>
              <w:jc w:val="right"/>
            </w:pPr>
            <w:r>
              <w:t>207</w:t>
            </w:r>
          </w:p>
        </w:tc>
      </w:tr>
      <w:tr w:rsidR="00C442D4" w14:paraId="0233C257"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54" w14:textId="77777777" w:rsidR="00C442D4" w:rsidRDefault="00074227">
            <w:r>
              <w:t>6</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55" w14:textId="77777777" w:rsidR="00C442D4" w:rsidRDefault="00074227">
            <w:r>
              <w:t>"Intimate partner abuse".</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56" w14:textId="77777777" w:rsidR="00C442D4" w:rsidRDefault="00074227">
            <w:pPr>
              <w:jc w:val="right"/>
            </w:pPr>
            <w:r>
              <w:t>268</w:t>
            </w:r>
          </w:p>
        </w:tc>
      </w:tr>
      <w:tr w:rsidR="00C442D4" w14:paraId="0233C25B"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58" w14:textId="77777777" w:rsidR="00C442D4" w:rsidRDefault="00074227">
            <w:r>
              <w:t>7</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59" w14:textId="77777777" w:rsidR="00C442D4" w:rsidRDefault="00074227">
            <w:r>
              <w:t>DVA.tw.</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5A" w14:textId="77777777" w:rsidR="00C442D4" w:rsidRDefault="00074227">
            <w:pPr>
              <w:jc w:val="right"/>
            </w:pPr>
            <w:r>
              <w:t>1,255</w:t>
            </w:r>
          </w:p>
        </w:tc>
      </w:tr>
      <w:tr w:rsidR="00C442D4" w14:paraId="0233C25F"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5C" w14:textId="77777777" w:rsidR="00C442D4" w:rsidRDefault="00074227">
            <w:r>
              <w:t>8</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5D" w14:textId="77777777" w:rsidR="00C442D4" w:rsidRDefault="00074227">
            <w:r>
              <w:t>"Relationship abuse".</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5E" w14:textId="77777777" w:rsidR="00C442D4" w:rsidRDefault="00074227">
            <w:pPr>
              <w:jc w:val="right"/>
            </w:pPr>
            <w:r>
              <w:t>100</w:t>
            </w:r>
          </w:p>
        </w:tc>
      </w:tr>
      <w:tr w:rsidR="00C442D4" w14:paraId="0233C263"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60" w14:textId="77777777" w:rsidR="00C442D4" w:rsidRDefault="00074227">
            <w:r>
              <w:t>9</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61" w14:textId="77777777" w:rsidR="00C442D4" w:rsidRDefault="00074227">
            <w:r>
              <w:t>"Domestic violence and abuse".</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62" w14:textId="77777777" w:rsidR="00C442D4" w:rsidRDefault="00074227">
            <w:pPr>
              <w:jc w:val="right"/>
            </w:pPr>
            <w:r>
              <w:t>335</w:t>
            </w:r>
          </w:p>
        </w:tc>
      </w:tr>
      <w:tr w:rsidR="00C442D4" w14:paraId="0233C267"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64" w14:textId="77777777" w:rsidR="00C442D4" w:rsidRDefault="00074227">
            <w:r>
              <w:t>10</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65" w14:textId="77777777" w:rsidR="00C442D4" w:rsidRDefault="00074227">
            <w:r>
              <w:t>1 or 2 or 3 or 4 or 5 or 6 or 7 or 8 or 9</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66" w14:textId="77777777" w:rsidR="00C442D4" w:rsidRDefault="00074227">
            <w:pPr>
              <w:jc w:val="right"/>
            </w:pPr>
            <w:r>
              <w:t>30,119</w:t>
            </w:r>
          </w:p>
        </w:tc>
      </w:tr>
      <w:tr w:rsidR="00C442D4" w14:paraId="0233C26B"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68" w14:textId="77777777" w:rsidR="00C442D4" w:rsidRDefault="00074227">
            <w:r>
              <w:t>11</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69" w14:textId="77777777" w:rsidR="00C442D4" w:rsidRDefault="00074227">
            <w:r>
              <w:t>Oral Health/</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6A" w14:textId="77777777" w:rsidR="00C442D4" w:rsidRDefault="00074227">
            <w:pPr>
              <w:jc w:val="right"/>
            </w:pPr>
            <w:r>
              <w:t>23,464</w:t>
            </w:r>
          </w:p>
        </w:tc>
      </w:tr>
      <w:tr w:rsidR="00C442D4" w14:paraId="0233C26F"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6C" w14:textId="77777777" w:rsidR="00C442D4" w:rsidRDefault="00074227">
            <w:r>
              <w:t>12</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6D" w14:textId="77777777" w:rsidR="00C442D4" w:rsidRDefault="00074227">
            <w:r>
              <w:t>Dental Care/</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6E" w14:textId="77777777" w:rsidR="00C442D4" w:rsidRDefault="00074227">
            <w:pPr>
              <w:jc w:val="right"/>
            </w:pPr>
            <w:r>
              <w:t>23,955</w:t>
            </w:r>
          </w:p>
        </w:tc>
      </w:tr>
      <w:tr w:rsidR="00C442D4" w14:paraId="0233C273"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70" w14:textId="77777777" w:rsidR="00C442D4" w:rsidRDefault="00074227">
            <w:r>
              <w:t>13</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71" w14:textId="77777777" w:rsidR="00C442D4" w:rsidRDefault="00074227">
            <w:r>
              <w:t>Dentists/</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72" w14:textId="77777777" w:rsidR="00C442D4" w:rsidRDefault="00074227">
            <w:pPr>
              <w:jc w:val="right"/>
            </w:pPr>
            <w:r>
              <w:t>20,512</w:t>
            </w:r>
          </w:p>
        </w:tc>
      </w:tr>
      <w:tr w:rsidR="00C442D4" w14:paraId="0233C277"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74" w14:textId="77777777" w:rsidR="00C442D4" w:rsidRDefault="00074227">
            <w:r>
              <w:t>14</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75" w14:textId="77777777" w:rsidR="00C442D4" w:rsidRDefault="00074227">
            <w:r>
              <w:t>Dental Health Services/</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76" w14:textId="77777777" w:rsidR="00C442D4" w:rsidRDefault="00074227">
            <w:pPr>
              <w:jc w:val="right"/>
            </w:pPr>
            <w:r>
              <w:t>4,282</w:t>
            </w:r>
          </w:p>
        </w:tc>
      </w:tr>
      <w:tr w:rsidR="00C442D4" w14:paraId="0233C27B"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78" w14:textId="77777777" w:rsidR="00C442D4" w:rsidRDefault="00074227">
            <w:r>
              <w:t>15</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79" w14:textId="77777777" w:rsidR="00C442D4" w:rsidRDefault="00074227">
            <w:r>
              <w:t>Dentistry/</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7A" w14:textId="77777777" w:rsidR="00C442D4" w:rsidRDefault="00074227">
            <w:pPr>
              <w:jc w:val="right"/>
            </w:pPr>
            <w:r>
              <w:t>36,817</w:t>
            </w:r>
          </w:p>
        </w:tc>
      </w:tr>
      <w:tr w:rsidR="00C442D4" w14:paraId="0233C27F"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7C" w14:textId="77777777" w:rsidR="00C442D4" w:rsidRDefault="00074227">
            <w:r>
              <w:t>16</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7D" w14:textId="77777777" w:rsidR="00C442D4" w:rsidRDefault="00074227">
            <w:r>
              <w:t>Dent*.</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7E" w14:textId="77777777" w:rsidR="00C442D4" w:rsidRDefault="00074227">
            <w:pPr>
              <w:jc w:val="right"/>
            </w:pPr>
            <w:r>
              <w:t>454,083</w:t>
            </w:r>
          </w:p>
        </w:tc>
      </w:tr>
      <w:tr w:rsidR="00C442D4" w14:paraId="0233C283"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80" w14:textId="77777777" w:rsidR="00C442D4" w:rsidRDefault="00074227">
            <w:r>
              <w:t>17</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81" w14:textId="77777777" w:rsidR="00C442D4" w:rsidRDefault="00074227">
            <w:r>
              <w:t>"Oral Health".</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82" w14:textId="77777777" w:rsidR="00C442D4" w:rsidRDefault="00074227">
            <w:pPr>
              <w:jc w:val="right"/>
            </w:pPr>
            <w:r>
              <w:t>41,572</w:t>
            </w:r>
          </w:p>
        </w:tc>
      </w:tr>
      <w:tr w:rsidR="00C442D4" w14:paraId="0233C287"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84" w14:textId="77777777" w:rsidR="00C442D4" w:rsidRDefault="00074227">
            <w:r>
              <w:t>18</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85" w14:textId="77777777" w:rsidR="00C442D4" w:rsidRDefault="00074227">
            <w:r>
              <w:t>"Dental hygienists".</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86" w14:textId="77777777" w:rsidR="00C442D4" w:rsidRDefault="00074227">
            <w:pPr>
              <w:jc w:val="right"/>
            </w:pPr>
            <w:r>
              <w:t>2,520</w:t>
            </w:r>
          </w:p>
        </w:tc>
      </w:tr>
      <w:tr w:rsidR="00C442D4" w14:paraId="0233C28B"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88" w14:textId="77777777" w:rsidR="00C442D4" w:rsidRDefault="00074227">
            <w:r>
              <w:t>19</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89" w14:textId="77777777" w:rsidR="00C442D4" w:rsidRDefault="00074227">
            <w:r>
              <w:t>"Dental professionals".</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8A" w14:textId="77777777" w:rsidR="00C442D4" w:rsidRDefault="00074227">
            <w:pPr>
              <w:jc w:val="right"/>
            </w:pPr>
            <w:r>
              <w:t>3,719</w:t>
            </w:r>
          </w:p>
        </w:tc>
      </w:tr>
      <w:tr w:rsidR="00C442D4" w14:paraId="0233C28F"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8C" w14:textId="77777777" w:rsidR="00C442D4" w:rsidRDefault="00074227">
            <w:r>
              <w:t>20</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8D" w14:textId="77777777" w:rsidR="00C442D4" w:rsidRDefault="00074227">
            <w:r>
              <w:t>"Dental students".</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8E" w14:textId="77777777" w:rsidR="00C442D4" w:rsidRDefault="00074227">
            <w:pPr>
              <w:jc w:val="right"/>
            </w:pPr>
            <w:r>
              <w:t>8,753</w:t>
            </w:r>
          </w:p>
        </w:tc>
      </w:tr>
      <w:tr w:rsidR="00C442D4" w14:paraId="0233C293"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90" w14:textId="77777777" w:rsidR="00C442D4" w:rsidRDefault="00074227">
            <w:r>
              <w:t>21</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91" w14:textId="77777777" w:rsidR="00C442D4" w:rsidRDefault="00074227">
            <w:r>
              <w:t>"Oral care".</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92" w14:textId="77777777" w:rsidR="00C442D4" w:rsidRDefault="00074227">
            <w:pPr>
              <w:jc w:val="right"/>
            </w:pPr>
            <w:r>
              <w:t>4,457</w:t>
            </w:r>
          </w:p>
        </w:tc>
      </w:tr>
      <w:tr w:rsidR="00C442D4" w14:paraId="0233C297"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94" w14:textId="77777777" w:rsidR="00C442D4" w:rsidRDefault="00074227">
            <w:r>
              <w:t>22</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95" w14:textId="77777777" w:rsidR="00C442D4" w:rsidRDefault="00074227">
            <w:r>
              <w:t>"Dental care".</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96" w14:textId="77777777" w:rsidR="00C442D4" w:rsidRDefault="00074227">
            <w:pPr>
              <w:jc w:val="right"/>
            </w:pPr>
            <w:r>
              <w:t>16,562</w:t>
            </w:r>
          </w:p>
        </w:tc>
      </w:tr>
      <w:tr w:rsidR="00C442D4" w14:paraId="0233C29B"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98" w14:textId="77777777" w:rsidR="00C442D4" w:rsidRDefault="00074227">
            <w:r>
              <w:lastRenderedPageBreak/>
              <w:t>23</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99" w14:textId="77777777" w:rsidR="00C442D4" w:rsidRDefault="00074227">
            <w:r>
              <w:t>"Dental Health services".</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9A" w14:textId="77777777" w:rsidR="00C442D4" w:rsidRDefault="00074227">
            <w:pPr>
              <w:jc w:val="right"/>
            </w:pPr>
            <w:r>
              <w:t>413</w:t>
            </w:r>
          </w:p>
        </w:tc>
      </w:tr>
      <w:tr w:rsidR="00C442D4" w14:paraId="0233C29F"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9C" w14:textId="77777777" w:rsidR="00C442D4" w:rsidRDefault="00074227">
            <w:r>
              <w:t>24</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9D" w14:textId="77777777" w:rsidR="00C442D4" w:rsidRDefault="00074227">
            <w:r>
              <w:t>"Dental health".</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9E" w14:textId="77777777" w:rsidR="00C442D4" w:rsidRDefault="00074227">
            <w:pPr>
              <w:jc w:val="right"/>
            </w:pPr>
            <w:r>
              <w:t>10,196</w:t>
            </w:r>
          </w:p>
        </w:tc>
      </w:tr>
      <w:tr w:rsidR="00C442D4" w14:paraId="0233C2A3" w14:textId="77777777">
        <w:tc>
          <w:tcPr>
            <w:tcW w:w="691" w:type="dxa"/>
            <w:tcBorders>
              <w:top w:val="single" w:sz="6" w:space="0" w:color="C4C7C5"/>
              <w:left w:val="single" w:sz="6" w:space="0" w:color="C4C7C5"/>
              <w:bottom w:val="single" w:sz="6" w:space="0" w:color="C4C7C5"/>
              <w:right w:val="single" w:sz="6" w:space="0" w:color="C4C7C5"/>
            </w:tcBorders>
            <w:vAlign w:val="center"/>
          </w:tcPr>
          <w:p w14:paraId="0233C2A0" w14:textId="77777777" w:rsidR="00C442D4" w:rsidRDefault="00074227">
            <w:r>
              <w:t>25</w:t>
            </w:r>
          </w:p>
        </w:tc>
        <w:tc>
          <w:tcPr>
            <w:tcW w:w="5827" w:type="dxa"/>
            <w:tcBorders>
              <w:top w:val="single" w:sz="6" w:space="0" w:color="C4C7C5"/>
              <w:left w:val="single" w:sz="6" w:space="0" w:color="C4C7C5"/>
              <w:bottom w:val="single" w:sz="6" w:space="0" w:color="C4C7C5"/>
              <w:right w:val="single" w:sz="6" w:space="0" w:color="C4C7C5"/>
            </w:tcBorders>
            <w:vAlign w:val="center"/>
          </w:tcPr>
          <w:p w14:paraId="0233C2A1" w14:textId="77777777" w:rsidR="00C442D4" w:rsidRDefault="00074227">
            <w:r>
              <w:t>"dental setting".</w:t>
            </w:r>
            <w:proofErr w:type="spellStart"/>
            <w:r>
              <w:t>tw</w:t>
            </w:r>
            <w:proofErr w:type="spellEnd"/>
            <w:r>
              <w:t>.</w:t>
            </w:r>
          </w:p>
        </w:tc>
        <w:tc>
          <w:tcPr>
            <w:tcW w:w="2538" w:type="dxa"/>
            <w:tcBorders>
              <w:top w:val="single" w:sz="6" w:space="0" w:color="C4C7C5"/>
              <w:left w:val="single" w:sz="6" w:space="0" w:color="C4C7C5"/>
              <w:bottom w:val="single" w:sz="6" w:space="0" w:color="C4C7C5"/>
              <w:right w:val="single" w:sz="6" w:space="0" w:color="C4C7C5"/>
            </w:tcBorders>
            <w:vAlign w:val="center"/>
          </w:tcPr>
          <w:p w14:paraId="0233C2A2" w14:textId="77777777" w:rsidR="00C442D4" w:rsidRDefault="00074227">
            <w:pPr>
              <w:jc w:val="right"/>
            </w:pPr>
            <w:r>
              <w:t>805</w:t>
            </w:r>
          </w:p>
        </w:tc>
      </w:tr>
    </w:tbl>
    <w:p w14:paraId="0233C2A4" w14:textId="77777777" w:rsidR="00C442D4" w:rsidRDefault="00C442D4"/>
    <w:p w14:paraId="0233C2A5" w14:textId="77777777" w:rsidR="00C442D4" w:rsidRDefault="00C442D4"/>
    <w:p w14:paraId="0233C2A6" w14:textId="77777777" w:rsidR="00C442D4" w:rsidRDefault="00C442D4"/>
    <w:p w14:paraId="0233C2A7" w14:textId="77777777" w:rsidR="00C442D4" w:rsidRDefault="00C442D4"/>
    <w:p w14:paraId="0233C2A8" w14:textId="77777777" w:rsidR="00C442D4" w:rsidRDefault="00C442D4"/>
    <w:p w14:paraId="0233C2A9" w14:textId="77777777" w:rsidR="00C442D4" w:rsidRDefault="00C442D4"/>
    <w:p w14:paraId="0233C2AA" w14:textId="77777777" w:rsidR="00C442D4" w:rsidRDefault="00C442D4"/>
    <w:p w14:paraId="0233C2AB" w14:textId="77777777" w:rsidR="00C442D4" w:rsidRDefault="00C442D4"/>
    <w:p w14:paraId="0233C2AC" w14:textId="77777777" w:rsidR="00C442D4" w:rsidRDefault="00C442D4"/>
    <w:p w14:paraId="0233C2AD" w14:textId="77777777" w:rsidR="00C442D4" w:rsidRDefault="00C442D4"/>
    <w:p w14:paraId="0233C2AE" w14:textId="77777777" w:rsidR="00C442D4" w:rsidRDefault="00C442D4"/>
    <w:p w14:paraId="0233C2AF" w14:textId="77777777" w:rsidR="00C442D4" w:rsidRDefault="00C442D4"/>
    <w:p w14:paraId="0233C2B0" w14:textId="77777777" w:rsidR="00C442D4" w:rsidRDefault="00C442D4"/>
    <w:p w14:paraId="0233C2B1" w14:textId="77777777" w:rsidR="00C442D4" w:rsidRDefault="00C442D4"/>
    <w:p w14:paraId="0233C2B2" w14:textId="77777777" w:rsidR="00C442D4" w:rsidRDefault="00C442D4"/>
    <w:p w14:paraId="0233C2B3" w14:textId="77777777" w:rsidR="00C442D4" w:rsidRDefault="00C442D4"/>
    <w:p w14:paraId="0233C2B4" w14:textId="77777777" w:rsidR="00C442D4" w:rsidRDefault="00C442D4"/>
    <w:p>
      <w:pPr>
        <w:sectPr w:rsidR="00C442D4">
          <w:footerReference w:type="default" r:id="rId11"/>
          <w:footerReference w:type="first" r:id="rId12"/>
          <w:pgSz w:w="11906" w:h="16838"/>
          <w:pgMar w:top="1134" w:right="1134" w:bottom="1134" w:left="1701" w:header="0" w:footer="709" w:gutter="0"/>
          <w:cols w:space="720"/>
          <w:formProt w:val="0"/>
          <w:docGrid w:linePitch="360"/>
        </w:sectPr>
      </w:pPr>
    </w:p>
    <w:p>
      <w:pPr>
        <w:pStyle w:val="Heading1"/>
      </w:pPr>
      <w:r>
        <w:t>Appendix 4</w:t>
      </w:r>
    </w:p>
    <w:p/>
    <w:p>
      <w:r>
        <w:t xml:space="preserve">Full extraction of intervention components and outcomes for included studies.</w:t>
      </w:r>
    </w:p>
    <w:p/>
    <w:p>
      <w:r>
        <w:t xml:space="preserve">Table 2 - Components and outcomes of interventions designed to improve the identification, support, and referral of domestic abuse in dental settings (full study-level extraction).</w:t>
      </w:r>
    </w:p>
    <w:p/>
    <w:tbl>
      <w:tblPr>
        <w:tblW w:w="12895" w:type="dxa"/>
        <w:tblLayout w:type="fixed"/>
        <w:tblLook w:val="04A0" w:firstRow="1" w:lastRow="0" w:firstColumn="1" w:lastColumn="0" w:noHBand="0" w:noVBand="1"/>
      </w:tblPr>
      <w:tblGrid>
        <w:gridCol w:w="1686"/>
        <w:gridCol w:w="1969"/>
        <w:gridCol w:w="2190"/>
        <w:gridCol w:w="3039"/>
        <w:gridCol w:w="4011"/>
      </w:tblGrid>
      <w:tr w:rsidR="00B273CD" w14:paraId="1D45A823" w14:textId="77777777" w:rsidTr="00A04B55">
        <w:trPr>
          <w:trHeight w:val="300"/>
        </w:trPr>
        <w:tc>
          <w:tcPr>
            <w:tcW w:w="1686" w:type="dxa"/>
            <w:tcBorders>
              <w:top w:val="single" w:sz="4" w:space="0" w:color="D9D9D9"/>
              <w:left w:val="single" w:sz="4" w:space="0" w:color="D9D9D9"/>
              <w:bottom w:val="single" w:sz="4" w:space="0" w:color="D9D9D9"/>
              <w:right w:val="single" w:sz="4" w:space="0" w:color="D9D9D9"/>
            </w:tcBorders>
            <w:shd w:val="clear" w:color="auto" w:fill="D1D1D1" w:themeFill="background2" w:themeFillShade="E6"/>
            <w:vAlign w:val="center"/>
          </w:tcPr>
          <w:p w14:paraId="1D45A81E" w14:textId="77777777" w:rsidR="00B273CD" w:rsidRDefault="00590B3D">
            <w:pPr>
              <w:rPr>
                <w:lang w:eastAsia="en-GB"/>
              </w:rPr>
            </w:pPr>
            <w:r>
              <w:rPr>
                <w:lang w:eastAsia="en-GB"/>
              </w:rPr>
              <w:t>Author, year, location</w:t>
            </w:r>
          </w:p>
        </w:tc>
        <w:tc>
          <w:tcPr>
            <w:tcW w:w="1969" w:type="dxa"/>
            <w:tcBorders>
              <w:top w:val="single" w:sz="4" w:space="0" w:color="D9D9D9"/>
              <w:bottom w:val="single" w:sz="4" w:space="0" w:color="D9D9D9"/>
              <w:right w:val="single" w:sz="4" w:space="0" w:color="D9D9D9"/>
            </w:tcBorders>
            <w:shd w:val="clear" w:color="auto" w:fill="D1D1D1" w:themeFill="background2" w:themeFillShade="E6"/>
            <w:vAlign w:val="center"/>
          </w:tcPr>
          <w:p w14:paraId="1D45A81F" w14:textId="77777777" w:rsidR="00B273CD" w:rsidRDefault="00590B3D">
            <w:pPr>
              <w:rPr>
                <w:lang w:eastAsia="en-GB"/>
              </w:rPr>
            </w:pPr>
            <w:r>
              <w:rPr>
                <w:lang w:eastAsia="en-GB"/>
              </w:rPr>
              <w:t>Intervention</w:t>
            </w:r>
          </w:p>
        </w:tc>
        <w:tc>
          <w:tcPr>
            <w:tcW w:w="2190" w:type="dxa"/>
            <w:tcBorders>
              <w:top w:val="single" w:sz="4" w:space="0" w:color="D9D9D9"/>
              <w:bottom w:val="single" w:sz="4" w:space="0" w:color="D9D9D9"/>
              <w:right w:val="single" w:sz="4" w:space="0" w:color="D9D9D9"/>
            </w:tcBorders>
            <w:shd w:val="clear" w:color="auto" w:fill="D1D1D1" w:themeFill="background2" w:themeFillShade="E6"/>
            <w:vAlign w:val="center"/>
          </w:tcPr>
          <w:p w14:paraId="1D45A820" w14:textId="77777777" w:rsidR="00B273CD" w:rsidRDefault="00590B3D">
            <w:pPr>
              <w:rPr>
                <w:lang w:eastAsia="en-GB"/>
              </w:rPr>
            </w:pPr>
            <w:r>
              <w:rPr>
                <w:lang w:eastAsia="en-GB"/>
              </w:rPr>
              <w:t>Educational content</w:t>
            </w:r>
          </w:p>
        </w:tc>
        <w:tc>
          <w:tcPr>
            <w:tcW w:w="3039" w:type="dxa"/>
            <w:tcBorders>
              <w:top w:val="single" w:sz="4" w:space="0" w:color="D9D9D9"/>
              <w:bottom w:val="single" w:sz="4" w:space="0" w:color="D9D9D9"/>
              <w:right w:val="single" w:sz="4" w:space="0" w:color="D9D9D9"/>
            </w:tcBorders>
            <w:shd w:val="clear" w:color="auto" w:fill="D1D1D1" w:themeFill="background2" w:themeFillShade="E6"/>
            <w:vAlign w:val="center"/>
          </w:tcPr>
          <w:p w14:paraId="1D45A821" w14:textId="77777777" w:rsidR="00B273CD" w:rsidRDefault="00590B3D">
            <w:pPr>
              <w:rPr>
                <w:lang w:eastAsia="en-GB"/>
              </w:rPr>
            </w:pPr>
            <w:r>
              <w:rPr>
                <w:lang w:eastAsia="en-GB"/>
              </w:rPr>
              <w:t>Provision of care</w:t>
            </w:r>
          </w:p>
        </w:tc>
        <w:tc>
          <w:tcPr>
            <w:tcW w:w="4011" w:type="dxa"/>
            <w:tcBorders>
              <w:top w:val="single" w:sz="4" w:space="0" w:color="D9D9D9"/>
              <w:bottom w:val="single" w:sz="4" w:space="0" w:color="D9D9D9"/>
              <w:right w:val="single" w:sz="4" w:space="0" w:color="D9D9D9"/>
            </w:tcBorders>
            <w:shd w:val="clear" w:color="auto" w:fill="D1D1D1" w:themeFill="background2" w:themeFillShade="E6"/>
            <w:vAlign w:val="center"/>
          </w:tcPr>
          <w:p w14:paraId="1D45A822" w14:textId="77777777" w:rsidR="00B273CD" w:rsidRDefault="00590B3D">
            <w:pPr>
              <w:rPr>
                <w:lang w:eastAsia="en-GB"/>
              </w:rPr>
            </w:pPr>
            <w:r>
              <w:rPr>
                <w:lang w:eastAsia="en-GB"/>
              </w:rPr>
              <w:t>Outcome measures</w:t>
            </w:r>
          </w:p>
        </w:tc>
      </w:tr>
      <w:tr w:rsidR="00B273CD" w14:paraId="1D45A829" w14:textId="77777777">
        <w:trPr>
          <w:trHeight w:val="5100"/>
        </w:trPr>
        <w:tc>
          <w:tcPr>
            <w:tcW w:w="1686" w:type="dxa"/>
            <w:tcBorders>
              <w:left w:val="single" w:sz="4" w:space="0" w:color="D9D9D9"/>
              <w:bottom w:val="single" w:sz="4" w:space="0" w:color="D9D9D9"/>
              <w:right w:val="single" w:sz="4" w:space="0" w:color="D9D9D9"/>
            </w:tcBorders>
          </w:tcPr>
          <w:p w14:paraId="1D45A824" w14:textId="77777777" w:rsidR="00B273CD" w:rsidRDefault="00590B3D">
            <w:pPr>
              <w:rPr>
                <w:lang w:eastAsia="en-GB"/>
              </w:rPr>
            </w:pPr>
            <w:r>
              <w:rPr>
                <w:lang w:eastAsia="en-GB"/>
              </w:rPr>
              <w:t>Abel S et al., 2013, USA</w:t>
            </w:r>
          </w:p>
        </w:tc>
        <w:tc>
          <w:tcPr>
            <w:tcW w:w="1969" w:type="dxa"/>
            <w:tcBorders>
              <w:bottom w:val="single" w:sz="4" w:space="0" w:color="D9D9D9"/>
              <w:right w:val="single" w:sz="4" w:space="0" w:color="D9D9D9"/>
            </w:tcBorders>
          </w:tcPr>
          <w:p w14:paraId="1D45A825" w14:textId="77777777" w:rsidR="00B273CD" w:rsidRDefault="00590B3D">
            <w:pPr>
              <w:rPr>
                <w:lang w:eastAsia="en-GB"/>
              </w:rPr>
            </w:pPr>
            <w:r>
              <w:rPr>
                <w:lang w:eastAsia="en-GB"/>
              </w:rPr>
              <w:t>One day educational programme including didactic presentations and interactive tutorial Dental care provided to women at domestic violence shelters</w:t>
            </w:r>
          </w:p>
        </w:tc>
        <w:tc>
          <w:tcPr>
            <w:tcW w:w="2190" w:type="dxa"/>
            <w:tcBorders>
              <w:bottom w:val="single" w:sz="4" w:space="0" w:color="D9D9D9"/>
              <w:right w:val="single" w:sz="4" w:space="0" w:color="D9D9D9"/>
            </w:tcBorders>
          </w:tcPr>
          <w:p w14:paraId="1D45A826" w14:textId="77777777" w:rsidR="00B273CD" w:rsidRDefault="00590B3D">
            <w:pPr>
              <w:rPr>
                <w:lang w:eastAsia="en-GB"/>
              </w:rPr>
            </w:pPr>
            <w:r>
              <w:rPr>
                <w:lang w:eastAsia="en-GB"/>
              </w:rPr>
              <w:t>• Ask, Validate, document, refer (AVDR).</w:t>
            </w:r>
            <w:r>
              <w:rPr>
                <w:lang w:eastAsia="en-GB"/>
              </w:rPr>
              <w:br/>
              <w:t>• Tour of shelters and cross-training with shelter staff for running of program.</w:t>
            </w:r>
          </w:p>
        </w:tc>
        <w:tc>
          <w:tcPr>
            <w:tcW w:w="3039" w:type="dxa"/>
            <w:tcBorders>
              <w:bottom w:val="single" w:sz="4" w:space="0" w:color="D9D9D9"/>
              <w:right w:val="single" w:sz="4" w:space="0" w:color="D9D9D9"/>
            </w:tcBorders>
          </w:tcPr>
          <w:p w14:paraId="1D45A827" w14:textId="77777777" w:rsidR="00B273CD" w:rsidRDefault="00590B3D">
            <w:pPr>
              <w:rPr>
                <w:lang w:eastAsia="en-GB"/>
              </w:rPr>
            </w:pPr>
            <w:r>
              <w:rPr>
                <w:lang w:eastAsia="en-GB"/>
              </w:rPr>
              <w:t>Use of portable dental equipment to provide dental care at the shelters (seen as a familiar, safe environment for the women). Dental residents supported by qualified dental staff and dental assistants.</w:t>
            </w:r>
          </w:p>
        </w:tc>
        <w:tc>
          <w:tcPr>
            <w:tcW w:w="4011" w:type="dxa"/>
            <w:tcBorders>
              <w:bottom w:val="single" w:sz="4" w:space="0" w:color="D9D9D9"/>
              <w:right w:val="single" w:sz="4" w:space="0" w:color="D9D9D9"/>
            </w:tcBorders>
          </w:tcPr>
          <w:p w14:paraId="1D45A828" w14:textId="77777777" w:rsidR="00B273CD" w:rsidRDefault="00590B3D">
            <w:pPr>
              <w:rPr>
                <w:lang w:eastAsia="en-GB"/>
              </w:rPr>
            </w:pPr>
            <w:r>
              <w:rPr>
                <w:lang w:eastAsia="en-GB"/>
              </w:rPr>
              <w:t>Oral Health Related Quality of Life (OHRQoL)</w:t>
            </w:r>
            <w:r>
              <w:rPr>
                <w:lang w:eastAsia="en-GB"/>
              </w:rPr>
              <w:br/>
              <w:t>• 36 out of 37 women had improved OHRQoL</w:t>
            </w:r>
            <w:r>
              <w:rPr>
                <w:lang w:eastAsia="en-GB"/>
              </w:rPr>
              <w:br/>
              <w:t>• Significant change in OHRQoL in relation to pain, function, embarrassment and the impact of oral health on quality of life.</w:t>
            </w:r>
            <w:r>
              <w:rPr>
                <w:lang w:eastAsia="en-GB"/>
              </w:rPr>
              <w:br/>
              <w:t>Patient satisfaction</w:t>
            </w:r>
            <w:r>
              <w:rPr>
                <w:lang w:eastAsia="en-GB"/>
              </w:rPr>
              <w:br/>
              <w:t>85% of participants rated the dentists performance as great which was the highest option.  97% reported the dentist listened, 94% felt dentists took as much time as they needed and 92% felt the dentist allowed them to ask all questions they had. Some suggested seeing the same dentist each time would improve the program.</w:t>
            </w:r>
            <w:r>
              <w:rPr>
                <w:lang w:eastAsia="en-GB"/>
              </w:rPr>
              <w:br/>
              <w:t>Attitude towards dentists</w:t>
            </w:r>
            <w:r>
              <w:rPr>
                <w:lang w:eastAsia="en-GB"/>
              </w:rPr>
              <w:br/>
              <w:t xml:space="preserve">65% of participants feelings about dentists changed which in the case of 46% was feeling less anxious, 27% felt less likely to avoid attending the dentist and were less fearful of being touched, 35% believe a dentist </w:t>
            </w:r>
            <w:r>
              <w:rPr>
                <w:lang w:eastAsia="en-GB"/>
              </w:rPr>
              <w:lastRenderedPageBreak/>
              <w:t>can help them but 3% do not. 35% reported no change 35%.</w:t>
            </w:r>
          </w:p>
        </w:tc>
      </w:tr>
      <w:tr w:rsidR="00B273CD" w14:paraId="1D45A82F" w14:textId="77777777">
        <w:trPr>
          <w:trHeight w:val="6300"/>
        </w:trPr>
        <w:tc>
          <w:tcPr>
            <w:tcW w:w="1686" w:type="dxa"/>
            <w:tcBorders>
              <w:left w:val="single" w:sz="4" w:space="0" w:color="D9D9D9"/>
              <w:bottom w:val="single" w:sz="4" w:space="0" w:color="D9D9D9"/>
              <w:right w:val="single" w:sz="4" w:space="0" w:color="D9D9D9"/>
            </w:tcBorders>
          </w:tcPr>
          <w:p w14:paraId="1D45A82A" w14:textId="77777777" w:rsidR="00B273CD" w:rsidRDefault="00590B3D">
            <w:pPr>
              <w:rPr>
                <w:lang w:eastAsia="en-GB"/>
              </w:rPr>
            </w:pPr>
            <w:r>
              <w:rPr>
                <w:lang w:eastAsia="en-GB"/>
              </w:rPr>
              <w:lastRenderedPageBreak/>
              <w:t>Aved B.M et al., 2007, USA</w:t>
            </w:r>
          </w:p>
        </w:tc>
        <w:tc>
          <w:tcPr>
            <w:tcW w:w="1969" w:type="dxa"/>
            <w:tcBorders>
              <w:bottom w:val="single" w:sz="4" w:space="0" w:color="D9D9D9"/>
              <w:right w:val="single" w:sz="4" w:space="0" w:color="D9D9D9"/>
            </w:tcBorders>
          </w:tcPr>
          <w:p w14:paraId="1D45A82B" w14:textId="77777777" w:rsidR="00B273CD" w:rsidRDefault="00590B3D">
            <w:pPr>
              <w:rPr>
                <w:lang w:eastAsia="en-GB"/>
              </w:rPr>
            </w:pPr>
            <w:r>
              <w:rPr>
                <w:lang w:eastAsia="en-GB"/>
              </w:rPr>
              <w:t>Four hour in-person seminar or online training course. Train the trainer courses delivered previously to help facilitate further course delivery. Continuing educational units given for taking part.</w:t>
            </w:r>
          </w:p>
        </w:tc>
        <w:tc>
          <w:tcPr>
            <w:tcW w:w="2190" w:type="dxa"/>
            <w:tcBorders>
              <w:bottom w:val="single" w:sz="4" w:space="0" w:color="D9D9D9"/>
              <w:right w:val="single" w:sz="4" w:space="0" w:color="D9D9D9"/>
            </w:tcBorders>
          </w:tcPr>
          <w:p w14:paraId="1D45A82C" w14:textId="77777777" w:rsidR="00B273CD" w:rsidRDefault="00590B3D">
            <w:pPr>
              <w:rPr>
                <w:lang w:eastAsia="en-GB"/>
              </w:rPr>
            </w:pPr>
            <w:r>
              <w:rPr>
                <w:lang w:eastAsia="en-GB"/>
              </w:rPr>
              <w:t>Child abuse, elder abuse, Intimate partner violence. Limited details on what was taught but from pre-post tests can infer: reporting, recognising signs and symptoms, legal responsibilities.</w:t>
            </w:r>
          </w:p>
        </w:tc>
        <w:tc>
          <w:tcPr>
            <w:tcW w:w="3039" w:type="dxa"/>
            <w:tcBorders>
              <w:bottom w:val="single" w:sz="4" w:space="0" w:color="D9D9D9"/>
              <w:right w:val="single" w:sz="4" w:space="0" w:color="D9D9D9"/>
            </w:tcBorders>
          </w:tcPr>
          <w:p w14:paraId="1D45A82D" w14:textId="77777777" w:rsidR="00B273CD" w:rsidRDefault="00590B3D">
            <w:pPr>
              <w:rPr>
                <w:lang w:eastAsia="en-GB"/>
              </w:rPr>
            </w:pPr>
            <w:r>
              <w:rPr>
                <w:lang w:eastAsia="en-GB"/>
              </w:rPr>
              <w:t> </w:t>
            </w:r>
          </w:p>
        </w:tc>
        <w:tc>
          <w:tcPr>
            <w:tcW w:w="4011" w:type="dxa"/>
            <w:tcBorders>
              <w:bottom w:val="single" w:sz="4" w:space="0" w:color="D9D9D9"/>
              <w:right w:val="single" w:sz="4" w:space="0" w:color="D9D9D9"/>
            </w:tcBorders>
          </w:tcPr>
          <w:p w14:paraId="1D45A82E" w14:textId="77777777" w:rsidR="00B273CD" w:rsidRDefault="00590B3D">
            <w:pPr>
              <w:rPr>
                <w:lang w:eastAsia="en-GB"/>
              </w:rPr>
            </w:pPr>
            <w:r>
              <w:rPr>
                <w:lang w:eastAsia="en-GB"/>
              </w:rPr>
              <w:t>Knowledge</w:t>
            </w:r>
            <w:r>
              <w:rPr>
                <w:lang w:eastAsia="en-GB"/>
              </w:rPr>
              <w:br/>
              <w:t>• Statistically significant increase in perceived knowledge. However, those who did not report their profession had significantly less perceived knowledge.</w:t>
            </w:r>
            <w:r>
              <w:rPr>
                <w:lang w:eastAsia="en-GB"/>
              </w:rPr>
              <w:br/>
              <w:t>• 81% got all 8 actual knowledge questions asked correct.</w:t>
            </w:r>
            <w:r>
              <w:rPr>
                <w:lang w:eastAsia="en-GB"/>
              </w:rPr>
              <w:br/>
              <w:t>Comfort</w:t>
            </w:r>
            <w:r>
              <w:rPr>
                <w:lang w:eastAsia="en-GB"/>
              </w:rPr>
              <w:br/>
              <w:t>• Not a statistically significant change in comfort but, participants were most comfortable with recognising signs and symptoms but less with asking patients about abuse.</w:t>
            </w:r>
            <w:r>
              <w:rPr>
                <w:lang w:eastAsia="en-GB"/>
              </w:rPr>
              <w:br/>
              <w:t>Attitude</w:t>
            </w:r>
            <w:r>
              <w:rPr>
                <w:lang w:eastAsia="en-GB"/>
              </w:rPr>
              <w:br/>
              <w:t>• 3.01 on four point scale of strongly disagree to strongly agree (4) for agreement that being a mandated reporter was an appropriate intervention for the dental profession (SD =1.15). Those who did not report their profession tended to agree less.</w:t>
            </w:r>
            <w:r>
              <w:rPr>
                <w:lang w:eastAsia="en-GB"/>
              </w:rPr>
              <w:br/>
              <w:t>• 2/3 felt abuse training should be a continuing education requirement.</w:t>
            </w:r>
            <w:r>
              <w:rPr>
                <w:lang w:eastAsia="en-GB"/>
              </w:rPr>
              <w:br/>
              <w:t>Intent to change practice</w:t>
            </w:r>
            <w:r>
              <w:rPr>
                <w:lang w:eastAsia="en-GB"/>
              </w:rPr>
              <w:br/>
              <w:t>• Mean 3.10 for 'I learned information and skills I will implement in my practice'.</w:t>
            </w:r>
            <w:r>
              <w:rPr>
                <w:lang w:eastAsia="en-GB"/>
              </w:rPr>
              <w:br/>
            </w:r>
            <w:r>
              <w:rPr>
                <w:lang w:eastAsia="en-GB"/>
              </w:rPr>
              <w:lastRenderedPageBreak/>
              <w:t>Suggestions for Improvement</w:t>
            </w:r>
            <w:r>
              <w:rPr>
                <w:lang w:eastAsia="en-GB"/>
              </w:rPr>
              <w:br/>
              <w:t>• Role play, more pictures, scripts to practice.</w:t>
            </w:r>
          </w:p>
        </w:tc>
      </w:tr>
      <w:tr w:rsidR="00B273CD" w14:paraId="1D45A835" w14:textId="77777777">
        <w:trPr>
          <w:trHeight w:val="1800"/>
        </w:trPr>
        <w:tc>
          <w:tcPr>
            <w:tcW w:w="1686" w:type="dxa"/>
            <w:tcBorders>
              <w:left w:val="single" w:sz="4" w:space="0" w:color="D9D9D9"/>
              <w:bottom w:val="single" w:sz="4" w:space="0" w:color="D9D9D9"/>
              <w:right w:val="single" w:sz="4" w:space="0" w:color="D9D9D9"/>
            </w:tcBorders>
          </w:tcPr>
          <w:p w14:paraId="1D45A830" w14:textId="77777777" w:rsidR="00B273CD" w:rsidRDefault="00590B3D">
            <w:pPr>
              <w:rPr>
                <w:lang w:eastAsia="en-GB"/>
              </w:rPr>
            </w:pPr>
            <w:r>
              <w:rPr>
                <w:lang w:eastAsia="en-GB"/>
              </w:rPr>
              <w:lastRenderedPageBreak/>
              <w:t>Banava S et al., 2026, USA</w:t>
            </w:r>
          </w:p>
        </w:tc>
        <w:tc>
          <w:tcPr>
            <w:tcW w:w="1969" w:type="dxa"/>
            <w:tcBorders>
              <w:bottom w:val="single" w:sz="4" w:space="0" w:color="D9D9D9"/>
              <w:right w:val="single" w:sz="4" w:space="0" w:color="D9D9D9"/>
            </w:tcBorders>
          </w:tcPr>
          <w:p w14:paraId="1D45A831" w14:textId="77777777" w:rsidR="00B273CD" w:rsidRDefault="00590B3D">
            <w:pPr>
              <w:rPr>
                <w:lang w:eastAsia="en-GB"/>
              </w:rPr>
            </w:pPr>
            <w:r>
              <w:rPr>
                <w:lang w:eastAsia="en-GB"/>
              </w:rPr>
              <w:t xml:space="preserve">Workshop including four 20 minute presentations, three interactive case-based scenarios, Q&amp;A sessions, </w:t>
            </w:r>
            <w:r>
              <w:rPr>
                <w:lang w:eastAsia="en-GB"/>
              </w:rPr>
              <w:lastRenderedPageBreak/>
              <w:t>discussions.</w:t>
            </w:r>
          </w:p>
        </w:tc>
        <w:tc>
          <w:tcPr>
            <w:tcW w:w="2190" w:type="dxa"/>
            <w:tcBorders>
              <w:bottom w:val="single" w:sz="4" w:space="0" w:color="D9D9D9"/>
              <w:right w:val="single" w:sz="4" w:space="0" w:color="D9D9D9"/>
            </w:tcBorders>
          </w:tcPr>
          <w:p w14:paraId="1D45A832" w14:textId="77777777" w:rsidR="00B273CD" w:rsidRDefault="00590B3D">
            <w:pPr>
              <w:rPr>
                <w:lang w:eastAsia="en-GB"/>
              </w:rPr>
            </w:pPr>
            <w:r>
              <w:rPr>
                <w:lang w:eastAsia="en-GB"/>
              </w:rPr>
              <w:lastRenderedPageBreak/>
              <w:t xml:space="preserve">IPV definitions, prevalence, clinical indicators, management strategies, resources available, trauma-informed </w:t>
            </w:r>
            <w:r>
              <w:rPr>
                <w:lang w:eastAsia="en-GB"/>
              </w:rPr>
              <w:lastRenderedPageBreak/>
              <w:t>communication,  legal and regulatory considerations, safety planning, referral protocols.</w:t>
            </w:r>
          </w:p>
        </w:tc>
        <w:tc>
          <w:tcPr>
            <w:tcW w:w="3039" w:type="dxa"/>
            <w:tcBorders>
              <w:bottom w:val="single" w:sz="4" w:space="0" w:color="D9D9D9"/>
              <w:right w:val="single" w:sz="4" w:space="0" w:color="D9D9D9"/>
            </w:tcBorders>
          </w:tcPr>
          <w:p w14:paraId="1D45A833" w14:textId="77777777" w:rsidR="00B273CD" w:rsidRDefault="00590B3D">
            <w:pPr>
              <w:rPr>
                <w:lang w:eastAsia="en-GB"/>
              </w:rPr>
            </w:pPr>
            <w:r>
              <w:rPr>
                <w:lang w:eastAsia="en-GB"/>
              </w:rPr>
              <w:lastRenderedPageBreak/>
              <w:t> </w:t>
            </w:r>
          </w:p>
        </w:tc>
        <w:tc>
          <w:tcPr>
            <w:tcW w:w="4011" w:type="dxa"/>
            <w:tcBorders>
              <w:bottom w:val="single" w:sz="4" w:space="0" w:color="D9D9D9"/>
              <w:right w:val="single" w:sz="4" w:space="0" w:color="D9D9D9"/>
            </w:tcBorders>
          </w:tcPr>
          <w:p w14:paraId="1D45A834" w14:textId="77777777" w:rsidR="00B273CD" w:rsidRDefault="00590B3D">
            <w:pPr>
              <w:rPr>
                <w:lang w:eastAsia="en-GB"/>
              </w:rPr>
            </w:pPr>
            <w:r>
              <w:rPr>
                <w:lang w:eastAsia="en-GB"/>
              </w:rPr>
              <w:t>Confidence</w:t>
            </w:r>
            <w:r>
              <w:rPr>
                <w:lang w:eastAsia="en-GB"/>
              </w:rPr>
              <w:br/>
              <w:t>• Statistically significant increase in confidence managing IPV disclosure and identifying signs.</w:t>
            </w:r>
            <w:r>
              <w:rPr>
                <w:lang w:eastAsia="en-GB"/>
              </w:rPr>
              <w:br/>
              <w:t>Intent to change practice</w:t>
            </w:r>
            <w:r>
              <w:rPr>
                <w:lang w:eastAsia="en-GB"/>
              </w:rPr>
              <w:br/>
              <w:t>• 82% very likely to incorporate IPV screening or discussions into practice.</w:t>
            </w:r>
          </w:p>
        </w:tc>
      </w:tr>
      <w:tr w:rsidR="00B273CD" w14:paraId="1D45A83B" w14:textId="77777777">
        <w:trPr>
          <w:trHeight w:val="4800"/>
        </w:trPr>
        <w:tc>
          <w:tcPr>
            <w:tcW w:w="1686" w:type="dxa"/>
            <w:tcBorders>
              <w:left w:val="single" w:sz="4" w:space="0" w:color="D9D9D9"/>
              <w:bottom w:val="single" w:sz="4" w:space="0" w:color="D9D9D9"/>
              <w:right w:val="single" w:sz="4" w:space="0" w:color="D9D9D9"/>
            </w:tcBorders>
          </w:tcPr>
          <w:p w14:paraId="1D45A836" w14:textId="77777777" w:rsidR="00B273CD" w:rsidRDefault="00590B3D">
            <w:pPr>
              <w:rPr>
                <w:lang w:eastAsia="en-GB"/>
              </w:rPr>
            </w:pPr>
            <w:r>
              <w:rPr>
                <w:lang w:eastAsia="en-GB"/>
              </w:rPr>
              <w:t>Berthin M et al., 2025, France</w:t>
            </w:r>
          </w:p>
        </w:tc>
        <w:tc>
          <w:tcPr>
            <w:tcW w:w="1969" w:type="dxa"/>
            <w:tcBorders>
              <w:bottom w:val="single" w:sz="4" w:space="0" w:color="D9D9D9"/>
              <w:right w:val="single" w:sz="4" w:space="0" w:color="D9D9D9"/>
            </w:tcBorders>
          </w:tcPr>
          <w:p w14:paraId="1D45A837" w14:textId="77777777" w:rsidR="00B273CD" w:rsidRDefault="00590B3D">
            <w:pPr>
              <w:rPr>
                <w:lang w:eastAsia="en-GB"/>
              </w:rPr>
            </w:pPr>
            <w:r>
              <w:rPr>
                <w:lang w:eastAsia="en-GB"/>
              </w:rPr>
              <w:t>13-item online questionnaire. 9 multiple choice closed questions and four open questions.</w:t>
            </w:r>
          </w:p>
        </w:tc>
        <w:tc>
          <w:tcPr>
            <w:tcW w:w="2190" w:type="dxa"/>
            <w:tcBorders>
              <w:bottom w:val="single" w:sz="4" w:space="0" w:color="D9D9D9"/>
              <w:right w:val="single" w:sz="4" w:space="0" w:color="D9D9D9"/>
            </w:tcBorders>
          </w:tcPr>
          <w:p w14:paraId="1D45A838" w14:textId="77777777" w:rsidR="00B273CD" w:rsidRDefault="00590B3D">
            <w:pPr>
              <w:rPr>
                <w:lang w:eastAsia="en-GB"/>
              </w:rPr>
            </w:pPr>
            <w:r>
              <w:rPr>
                <w:lang w:eastAsia="en-GB"/>
              </w:rPr>
              <w:t>Questions ask if schools have DV education and what this covers, the methods of delivery and the barriers to implementing and strengthening education on DV, Suggestions to develop DV education.</w:t>
            </w:r>
          </w:p>
        </w:tc>
        <w:tc>
          <w:tcPr>
            <w:tcW w:w="3039" w:type="dxa"/>
            <w:tcBorders>
              <w:bottom w:val="single" w:sz="4" w:space="0" w:color="D9D9D9"/>
              <w:right w:val="single" w:sz="4" w:space="0" w:color="D9D9D9"/>
            </w:tcBorders>
          </w:tcPr>
          <w:p w14:paraId="1D45A839" w14:textId="77777777" w:rsidR="00B273CD" w:rsidRDefault="00590B3D">
            <w:pPr>
              <w:rPr>
                <w:lang w:eastAsia="en-GB"/>
              </w:rPr>
            </w:pPr>
            <w:r>
              <w:rPr>
                <w:lang w:eastAsia="en-GB"/>
              </w:rPr>
              <w:t> </w:t>
            </w:r>
          </w:p>
        </w:tc>
        <w:tc>
          <w:tcPr>
            <w:tcW w:w="4011" w:type="dxa"/>
            <w:tcBorders>
              <w:bottom w:val="single" w:sz="4" w:space="0" w:color="D9D9D9"/>
              <w:right w:val="single" w:sz="4" w:space="0" w:color="D9D9D9"/>
            </w:tcBorders>
          </w:tcPr>
          <w:p w14:paraId="1D45A83A" w14:textId="77777777" w:rsidR="00B273CD" w:rsidRDefault="00590B3D">
            <w:pPr>
              <w:rPr>
                <w:lang w:eastAsia="en-GB"/>
              </w:rPr>
            </w:pPr>
            <w:r>
              <w:rPr>
                <w:lang w:eastAsia="en-GB"/>
              </w:rPr>
              <w:t>Current education</w:t>
            </w:r>
            <w:r>
              <w:rPr>
                <w:lang w:eastAsia="en-GB"/>
              </w:rPr>
              <w:br/>
              <w:t>• 6 out of the 11 schools that responded from 15 dental schools in France taught domestic violence, mainly focusing on child abuse with 4 of these addressing intimate partner violence.</w:t>
            </w:r>
            <w:r>
              <w:rPr>
                <w:lang w:eastAsia="en-GB"/>
              </w:rPr>
              <w:br/>
              <w:t>Barriers to teaching IPV</w:t>
            </w:r>
            <w:r>
              <w:rPr>
                <w:lang w:eastAsia="en-GB"/>
              </w:rPr>
              <w:br/>
              <w:t>• Lack of teaching staff and external speakers competent to teach DV.</w:t>
            </w:r>
            <w:r>
              <w:rPr>
                <w:lang w:eastAsia="en-GB"/>
              </w:rPr>
              <w:br/>
              <w:t>• Time.</w:t>
            </w:r>
            <w:r>
              <w:rPr>
                <w:lang w:eastAsia="en-GB"/>
              </w:rPr>
              <w:br/>
              <w:t>• Four reported no barriers.</w:t>
            </w:r>
            <w:r>
              <w:rPr>
                <w:lang w:eastAsia="en-GB"/>
              </w:rPr>
              <w:br/>
              <w:t>How could Improve IPV teaching</w:t>
            </w:r>
            <w:r>
              <w:rPr>
                <w:lang w:eastAsia="en-GB"/>
              </w:rPr>
              <w:br/>
              <w:t>• Directed teaching, workshops, role-play, online, serious games, external expert intervention.</w:t>
            </w:r>
            <w:r>
              <w:rPr>
                <w:lang w:eastAsia="en-GB"/>
              </w:rPr>
              <w:br/>
              <w:t>• Most common suggestion was directed teaching and workshops, followed by role play.</w:t>
            </w:r>
            <w:r>
              <w:rPr>
                <w:lang w:eastAsia="en-GB"/>
              </w:rPr>
              <w:br/>
              <w:t>• To improve IPV education in clinical placements the most common response was training delivered by external experts.</w:t>
            </w:r>
          </w:p>
        </w:tc>
      </w:tr>
      <w:tr w:rsidR="00B273CD" w14:paraId="1D45A841" w14:textId="77777777">
        <w:trPr>
          <w:trHeight w:val="4800"/>
        </w:trPr>
        <w:tc>
          <w:tcPr>
            <w:tcW w:w="1686" w:type="dxa"/>
            <w:tcBorders>
              <w:left w:val="single" w:sz="4" w:space="0" w:color="D9D9D9"/>
              <w:bottom w:val="single" w:sz="4" w:space="0" w:color="D9D9D9"/>
              <w:right w:val="single" w:sz="4" w:space="0" w:color="D9D9D9"/>
            </w:tcBorders>
          </w:tcPr>
          <w:p w14:paraId="1D45A83C" w14:textId="77777777" w:rsidR="00B273CD" w:rsidRDefault="00590B3D">
            <w:pPr>
              <w:rPr>
                <w:lang w:eastAsia="en-GB"/>
              </w:rPr>
            </w:pPr>
            <w:r>
              <w:rPr>
                <w:lang w:eastAsia="en-GB"/>
              </w:rPr>
              <w:lastRenderedPageBreak/>
              <w:t>Brown T et al., 2021, USA</w:t>
            </w:r>
          </w:p>
        </w:tc>
        <w:tc>
          <w:tcPr>
            <w:tcW w:w="1969" w:type="dxa"/>
            <w:tcBorders>
              <w:bottom w:val="single" w:sz="4" w:space="0" w:color="D9D9D9"/>
              <w:right w:val="single" w:sz="4" w:space="0" w:color="D9D9D9"/>
            </w:tcBorders>
          </w:tcPr>
          <w:p w14:paraId="1D45A83D" w14:textId="77777777" w:rsidR="00B273CD" w:rsidRDefault="00590B3D">
            <w:pPr>
              <w:rPr>
                <w:lang w:eastAsia="en-GB"/>
              </w:rPr>
            </w:pPr>
            <w:r>
              <w:rPr>
                <w:lang w:eastAsia="en-GB"/>
              </w:rPr>
              <w:t>3.5 hour sessions including live patient interview demonstrations, small group discussions, case-based role plays, available peer-support, preparatory work, emphasis on reflection.</w:t>
            </w:r>
          </w:p>
        </w:tc>
        <w:tc>
          <w:tcPr>
            <w:tcW w:w="2190" w:type="dxa"/>
            <w:tcBorders>
              <w:bottom w:val="single" w:sz="4" w:space="0" w:color="D9D9D9"/>
              <w:right w:val="single" w:sz="4" w:space="0" w:color="D9D9D9"/>
            </w:tcBorders>
          </w:tcPr>
          <w:p w14:paraId="1D45A83E" w14:textId="77777777" w:rsidR="00B273CD" w:rsidRDefault="00590B3D">
            <w:pPr>
              <w:rPr>
                <w:lang w:eastAsia="en-GB"/>
              </w:rPr>
            </w:pPr>
            <w:r>
              <w:rPr>
                <w:lang w:eastAsia="en-GB"/>
              </w:rPr>
              <w:t>• SAMHSA 6 principles of TIC, aTIC approach to the history,screening and response to disclosure.</w:t>
            </w:r>
            <w:r>
              <w:rPr>
                <w:lang w:eastAsia="en-GB"/>
              </w:rPr>
              <w:br/>
              <w:t>• Definitions of trauma and its health effects.</w:t>
            </w:r>
            <w:r>
              <w:rPr>
                <w:lang w:eastAsia="en-GB"/>
              </w:rPr>
              <w:br/>
              <w:t>• Advice on dealing with the distressing content.</w:t>
            </w:r>
          </w:p>
        </w:tc>
        <w:tc>
          <w:tcPr>
            <w:tcW w:w="3039" w:type="dxa"/>
            <w:tcBorders>
              <w:bottom w:val="single" w:sz="4" w:space="0" w:color="D9D9D9"/>
              <w:right w:val="single" w:sz="4" w:space="0" w:color="D9D9D9"/>
            </w:tcBorders>
          </w:tcPr>
          <w:p w14:paraId="1D45A83F" w14:textId="77777777" w:rsidR="00B273CD" w:rsidRDefault="00590B3D">
            <w:pPr>
              <w:rPr>
                <w:lang w:eastAsia="en-GB"/>
              </w:rPr>
            </w:pPr>
            <w:r>
              <w:rPr>
                <w:lang w:eastAsia="en-GB"/>
              </w:rPr>
              <w:t>Open-ended questions for screening suggested and students reported using standard language for trauma screening after.</w:t>
            </w:r>
          </w:p>
        </w:tc>
        <w:tc>
          <w:tcPr>
            <w:tcW w:w="4011" w:type="dxa"/>
            <w:tcBorders>
              <w:bottom w:val="single" w:sz="4" w:space="0" w:color="D9D9D9"/>
              <w:right w:val="single" w:sz="4" w:space="0" w:color="D9D9D9"/>
            </w:tcBorders>
          </w:tcPr>
          <w:p w14:paraId="1D45A840" w14:textId="77777777" w:rsidR="00B273CD" w:rsidRDefault="00590B3D">
            <w:pPr>
              <w:rPr>
                <w:lang w:eastAsia="en-GB"/>
              </w:rPr>
            </w:pPr>
            <w:r>
              <w:rPr>
                <w:lang w:eastAsia="en-GB"/>
              </w:rPr>
              <w:t>Comfort</w:t>
            </w:r>
            <w:r>
              <w:rPr>
                <w:lang w:eastAsia="en-GB"/>
              </w:rPr>
              <w:br/>
              <w:t>• Statistically significant increase in comfort screening and responding to disclosures, which continued to increase after 5 months but this change was not significant.</w:t>
            </w:r>
            <w:r>
              <w:rPr>
                <w:lang w:eastAsia="en-GB"/>
              </w:rPr>
              <w:br/>
              <w:t>Actual practice change</w:t>
            </w:r>
            <w:r>
              <w:rPr>
                <w:lang w:eastAsia="en-GB"/>
              </w:rPr>
              <w:br/>
              <w:t>• Of the 50% who completed the 5-month follow up survey, 73% reported changes in clinical practice. For example, use of standard language for trauma-screening by 30%.</w:t>
            </w:r>
            <w:r>
              <w:rPr>
                <w:lang w:eastAsia="en-GB"/>
              </w:rPr>
              <w:br/>
              <w:t>If had a disclosure</w:t>
            </w:r>
            <w:r>
              <w:rPr>
                <w:lang w:eastAsia="en-GB"/>
              </w:rPr>
              <w:br/>
              <w:t>• The number of students who received at least one disclosure of trauma nearly doubled to 64% at 5 months post intervention from 34% in the first 5 months of medical school before.</w:t>
            </w:r>
            <w:r>
              <w:rPr>
                <w:lang w:eastAsia="en-GB"/>
              </w:rPr>
              <w:br/>
              <w:t>Session feedback</w:t>
            </w:r>
            <w:r>
              <w:rPr>
                <w:lang w:eastAsia="en-GB"/>
              </w:rPr>
              <w:br/>
              <w:t>• 87% said session was very effective or extremely effective. Most effective part was live interview demonstration, followed by the role play.</w:t>
            </w:r>
          </w:p>
        </w:tc>
      </w:tr>
      <w:tr w:rsidR="00B273CD" w14:paraId="1D45A847" w14:textId="77777777">
        <w:trPr>
          <w:trHeight w:val="5700"/>
        </w:trPr>
        <w:tc>
          <w:tcPr>
            <w:tcW w:w="1686" w:type="dxa"/>
            <w:tcBorders>
              <w:left w:val="single" w:sz="4" w:space="0" w:color="D9D9D9"/>
              <w:bottom w:val="single" w:sz="4" w:space="0" w:color="D9D9D9"/>
              <w:right w:val="single" w:sz="4" w:space="0" w:color="D9D9D9"/>
            </w:tcBorders>
          </w:tcPr>
          <w:p w14:paraId="1D45A842" w14:textId="77777777" w:rsidR="00B273CD" w:rsidRDefault="00590B3D">
            <w:pPr>
              <w:rPr>
                <w:lang w:eastAsia="en-GB"/>
              </w:rPr>
            </w:pPr>
            <w:r>
              <w:rPr>
                <w:lang w:eastAsia="en-GB"/>
              </w:rPr>
              <w:lastRenderedPageBreak/>
              <w:t>Carrington A, et al., 2023, Australia</w:t>
            </w:r>
          </w:p>
        </w:tc>
        <w:tc>
          <w:tcPr>
            <w:tcW w:w="1969" w:type="dxa"/>
            <w:tcBorders>
              <w:bottom w:val="single" w:sz="4" w:space="0" w:color="D9D9D9"/>
              <w:right w:val="single" w:sz="4" w:space="0" w:color="D9D9D9"/>
            </w:tcBorders>
          </w:tcPr>
          <w:p w14:paraId="1D45A843" w14:textId="77777777" w:rsidR="00B273CD" w:rsidRDefault="00590B3D">
            <w:pPr>
              <w:rPr>
                <w:lang w:eastAsia="en-GB"/>
              </w:rPr>
            </w:pPr>
            <w:r>
              <w:rPr>
                <w:lang w:eastAsia="en-GB"/>
              </w:rPr>
              <w:t>Lectures and workshop activities including case studies, role play and small group exercises. The programme went through cycles of evaluation and improvement using Participatory Action research cycles annually over several years.This paper covers years 2016 and 2019.</w:t>
            </w:r>
          </w:p>
        </w:tc>
        <w:tc>
          <w:tcPr>
            <w:tcW w:w="2190" w:type="dxa"/>
            <w:tcBorders>
              <w:bottom w:val="single" w:sz="4" w:space="0" w:color="D9D9D9"/>
              <w:right w:val="single" w:sz="4" w:space="0" w:color="D9D9D9"/>
            </w:tcBorders>
          </w:tcPr>
          <w:p w14:paraId="1D45A844" w14:textId="77777777" w:rsidR="00B273CD" w:rsidRDefault="00590B3D">
            <w:pPr>
              <w:rPr>
                <w:lang w:eastAsia="en-GB"/>
              </w:rPr>
            </w:pPr>
            <w:r>
              <w:rPr>
                <w:lang w:eastAsia="en-GB"/>
              </w:rPr>
              <w:t>• Curriculum integrates four features: interprofessional collaboration, feminist gendered analysis of DV, scaffolded content and skills based activities.</w:t>
            </w:r>
            <w:r>
              <w:rPr>
                <w:lang w:eastAsia="en-GB"/>
              </w:rPr>
              <w:br/>
              <w:t>• Social work theory, culture and diversity and trauma informed care.</w:t>
            </w:r>
            <w:r>
              <w:rPr>
                <w:lang w:eastAsia="en-GB"/>
              </w:rPr>
              <w:br/>
              <w:t>• How to have conversations, confidentiality, risk assessment and referral.</w:t>
            </w:r>
            <w:r>
              <w:rPr>
                <w:lang w:eastAsia="en-GB"/>
              </w:rPr>
              <w:br/>
              <w:t>• Emphasis on reflection.</w:t>
            </w:r>
          </w:p>
        </w:tc>
        <w:tc>
          <w:tcPr>
            <w:tcW w:w="3039" w:type="dxa"/>
            <w:tcBorders>
              <w:bottom w:val="single" w:sz="4" w:space="0" w:color="D9D9D9"/>
              <w:right w:val="single" w:sz="4" w:space="0" w:color="D9D9D9"/>
            </w:tcBorders>
          </w:tcPr>
          <w:p w14:paraId="1D45A845" w14:textId="77777777" w:rsidR="00B273CD" w:rsidRDefault="00590B3D">
            <w:pPr>
              <w:rPr>
                <w:lang w:eastAsia="en-GB"/>
              </w:rPr>
            </w:pPr>
            <w:r>
              <w:rPr>
                <w:lang w:eastAsia="en-GB"/>
              </w:rPr>
              <w:t> </w:t>
            </w:r>
          </w:p>
        </w:tc>
        <w:tc>
          <w:tcPr>
            <w:tcW w:w="4011" w:type="dxa"/>
            <w:tcBorders>
              <w:bottom w:val="single" w:sz="4" w:space="0" w:color="D9D9D9"/>
              <w:right w:val="single" w:sz="4" w:space="0" w:color="D9D9D9"/>
            </w:tcBorders>
          </w:tcPr>
          <w:p w14:paraId="1D45A846" w14:textId="77777777" w:rsidR="00B273CD" w:rsidRDefault="00590B3D">
            <w:pPr>
              <w:rPr>
                <w:lang w:eastAsia="en-GB"/>
              </w:rPr>
            </w:pPr>
            <w:r>
              <w:rPr>
                <w:lang w:eastAsia="en-GB"/>
              </w:rPr>
              <w:t>Attitude</w:t>
            </w:r>
            <w:r>
              <w:rPr>
                <w:lang w:eastAsia="en-GB"/>
              </w:rPr>
              <w:br/>
              <w:t>• Increased attitude it is relevant dentists have an understanding of domestic violence.</w:t>
            </w:r>
            <w:r>
              <w:rPr>
                <w:lang w:eastAsia="en-GB"/>
              </w:rPr>
              <w:br/>
              <w:t>• Increased attitude it is very important as their role as a dentist.</w:t>
            </w:r>
            <w:r>
              <w:rPr>
                <w:lang w:eastAsia="en-GB"/>
              </w:rPr>
              <w:br/>
              <w:t>Preparedness</w:t>
            </w:r>
            <w:r>
              <w:rPr>
                <w:lang w:eastAsia="en-GB"/>
              </w:rPr>
              <w:br/>
              <w:t>• Increased number of students who prepared to very prepared to recognise, respond, refer to nearly 100% for all year groups. Greater change for third years (about 25% to 97%) but still a change for fourth and fifth years.</w:t>
            </w:r>
            <w:r>
              <w:rPr>
                <w:lang w:eastAsia="en-GB"/>
              </w:rPr>
              <w:br/>
              <w:t>Feedback</w:t>
            </w:r>
            <w:r>
              <w:rPr>
                <w:lang w:eastAsia="en-GB"/>
              </w:rPr>
              <w:br/>
              <w:t>• Students found the session engaging and useful.</w:t>
            </w:r>
            <w:r>
              <w:rPr>
                <w:lang w:eastAsia="en-GB"/>
              </w:rPr>
              <w:br/>
              <w:t>• In the 2016 cycle, students believed starting training earlier in their degree would be beneficial and they wanted an increased practical element.</w:t>
            </w:r>
            <w:r>
              <w:rPr>
                <w:lang w:eastAsia="en-GB"/>
              </w:rPr>
              <w:br/>
              <w:t>• In the 2019 cycle, students suggested more role play to practice opening conversations and dentistry specific scenarios.</w:t>
            </w:r>
            <w:r>
              <w:rPr>
                <w:lang w:eastAsia="en-GB"/>
              </w:rPr>
              <w:br/>
              <w:t>Number of patients presenting with indicators of DV</w:t>
            </w:r>
            <w:r>
              <w:rPr>
                <w:lang w:eastAsia="en-GB"/>
              </w:rPr>
              <w:br/>
              <w:t xml:space="preserve">• More than half of students during their fifth year placements had seen </w:t>
            </w:r>
            <w:r>
              <w:rPr>
                <w:lang w:eastAsia="en-GB"/>
              </w:rPr>
              <w:lastRenderedPageBreak/>
              <w:t>a patient presenting with indicators of DV.</w:t>
            </w:r>
          </w:p>
        </w:tc>
      </w:tr>
      <w:tr w:rsidR="00B273CD" w14:paraId="1D45A84D" w14:textId="77777777">
        <w:trPr>
          <w:trHeight w:val="8190"/>
        </w:trPr>
        <w:tc>
          <w:tcPr>
            <w:tcW w:w="1686" w:type="dxa"/>
            <w:tcBorders>
              <w:left w:val="single" w:sz="4" w:space="0" w:color="D9D9D9"/>
              <w:bottom w:val="single" w:sz="4" w:space="0" w:color="D9D9D9"/>
              <w:right w:val="single" w:sz="4" w:space="0" w:color="D9D9D9"/>
            </w:tcBorders>
          </w:tcPr>
          <w:p w14:paraId="1D45A848" w14:textId="77777777" w:rsidR="00B273CD" w:rsidRDefault="00590B3D">
            <w:pPr>
              <w:rPr>
                <w:lang w:eastAsia="en-GB"/>
              </w:rPr>
            </w:pPr>
            <w:r>
              <w:rPr>
                <w:lang w:eastAsia="en-GB"/>
              </w:rPr>
              <w:lastRenderedPageBreak/>
              <w:t>Chadambuka C et al., 2026, Canada</w:t>
            </w:r>
          </w:p>
        </w:tc>
        <w:tc>
          <w:tcPr>
            <w:tcW w:w="1969" w:type="dxa"/>
            <w:tcBorders>
              <w:bottom w:val="single" w:sz="4" w:space="0" w:color="D9D9D9"/>
              <w:right w:val="single" w:sz="4" w:space="0" w:color="D9D9D9"/>
            </w:tcBorders>
          </w:tcPr>
          <w:p w14:paraId="1D45A849" w14:textId="77777777" w:rsidR="00B273CD" w:rsidRDefault="00590B3D">
            <w:pPr>
              <w:rPr>
                <w:lang w:eastAsia="en-GB"/>
              </w:rPr>
            </w:pPr>
            <w:r>
              <w:rPr>
                <w:lang w:eastAsia="en-GB"/>
              </w:rPr>
              <w:t>Interviews with racialised women who have experienced intimate partner violence and focus groups with service providers at shelters and dentists.</w:t>
            </w:r>
          </w:p>
        </w:tc>
        <w:tc>
          <w:tcPr>
            <w:tcW w:w="2190" w:type="dxa"/>
            <w:tcBorders>
              <w:bottom w:val="single" w:sz="4" w:space="0" w:color="D9D9D9"/>
              <w:right w:val="single" w:sz="4" w:space="0" w:color="D9D9D9"/>
            </w:tcBorders>
          </w:tcPr>
          <w:p w14:paraId="1D45A84A" w14:textId="77777777" w:rsidR="00B273CD" w:rsidRDefault="00590B3D">
            <w:pPr>
              <w:rPr>
                <w:lang w:eastAsia="en-GB"/>
              </w:rPr>
            </w:pPr>
            <w:r>
              <w:rPr>
                <w:lang w:eastAsia="en-GB"/>
              </w:rPr>
              <w:t> </w:t>
            </w:r>
          </w:p>
        </w:tc>
        <w:tc>
          <w:tcPr>
            <w:tcW w:w="3039" w:type="dxa"/>
            <w:tcBorders>
              <w:bottom w:val="single" w:sz="4" w:space="0" w:color="D9D9D9"/>
              <w:right w:val="single" w:sz="4" w:space="0" w:color="D9D9D9"/>
            </w:tcBorders>
          </w:tcPr>
          <w:p w14:paraId="1D45A84B" w14:textId="77777777" w:rsidR="00B273CD" w:rsidRDefault="00590B3D">
            <w:pPr>
              <w:rPr>
                <w:lang w:eastAsia="en-GB"/>
              </w:rPr>
            </w:pPr>
            <w:r>
              <w:rPr>
                <w:lang w:eastAsia="en-GB"/>
              </w:rPr>
              <w:t>Partnered with Restoring smiles programme which aims to meet dental needs of women who have experienced IPV and can’t afford care to be able to conduct this research.</w:t>
            </w:r>
          </w:p>
        </w:tc>
        <w:tc>
          <w:tcPr>
            <w:tcW w:w="4011" w:type="dxa"/>
            <w:tcBorders>
              <w:bottom w:val="single" w:sz="4" w:space="0" w:color="D9D9D9"/>
              <w:right w:val="single" w:sz="4" w:space="0" w:color="D9D9D9"/>
            </w:tcBorders>
          </w:tcPr>
          <w:p w14:paraId="1D45A84C" w14:textId="77777777" w:rsidR="00B273CD" w:rsidRDefault="00590B3D">
            <w:pPr>
              <w:rPr>
                <w:lang w:eastAsia="en-GB"/>
              </w:rPr>
            </w:pPr>
            <w:r>
              <w:rPr>
                <w:lang w:eastAsia="en-GB"/>
              </w:rPr>
              <w:t>Barriers to access dental care</w:t>
            </w:r>
            <w:r>
              <w:rPr>
                <w:lang w:eastAsia="en-GB"/>
              </w:rPr>
              <w:br/>
              <w:t>• Affordability and limited health insurance coverage discourages dentists from treating these women as complex and delayed reimbursement process and pro-bono schemes not financially sustainable for dentists.</w:t>
            </w:r>
            <w:r>
              <w:rPr>
                <w:lang w:eastAsia="en-GB"/>
              </w:rPr>
              <w:br/>
              <w:t>• long wait lists</w:t>
            </w:r>
            <w:r>
              <w:rPr>
                <w:lang w:eastAsia="en-GB"/>
              </w:rPr>
              <w:br/>
              <w:t>• Gender roles, children's well-being takes priority and other life costs</w:t>
            </w:r>
            <w:r>
              <w:rPr>
                <w:lang w:eastAsia="en-GB"/>
              </w:rPr>
              <w:br/>
              <w:t>• unaccommodating services, dental environment distressing, negative experiences and how treated by the whole dental team including administrative staff.</w:t>
            </w:r>
            <w:r>
              <w:rPr>
                <w:lang w:eastAsia="en-GB"/>
              </w:rPr>
              <w:br/>
              <w:t>• language barriers.</w:t>
            </w:r>
            <w:r>
              <w:rPr>
                <w:lang w:eastAsia="en-GB"/>
              </w:rPr>
              <w:br/>
              <w:t>• Abusive partners actively restricting their access and after leaving the psychological impact causes fear of re-traumatisation and initiating treatment as well as fear of encountering abuser.</w:t>
            </w:r>
            <w:r>
              <w:rPr>
                <w:lang w:eastAsia="en-GB"/>
              </w:rPr>
              <w:br/>
              <w:t>• Power imbalance between racialised women and dental practitioners causing a dismissal of pain and being spoken down to. Dentists reported limited awareness of how race influences access.</w:t>
            </w:r>
            <w:r>
              <w:rPr>
                <w:lang w:eastAsia="en-GB"/>
              </w:rPr>
              <w:br/>
              <w:t>Facilitators to access dental care</w:t>
            </w:r>
            <w:r>
              <w:rPr>
                <w:lang w:eastAsia="en-GB"/>
              </w:rPr>
              <w:br/>
            </w:r>
            <w:r>
              <w:rPr>
                <w:lang w:eastAsia="en-GB"/>
              </w:rPr>
              <w:lastRenderedPageBreak/>
              <w:t>• Connections provided by shelter and accessing the RS program.</w:t>
            </w:r>
            <w:r>
              <w:rPr>
                <w:lang w:eastAsia="en-GB"/>
              </w:rPr>
              <w:br/>
              <w:t>• Outreach and informational resources to increase awareness.</w:t>
            </w:r>
            <w:r>
              <w:rPr>
                <w:lang w:eastAsia="en-GB"/>
              </w:rPr>
              <w:br/>
              <w:t>• Culturally appropriate and competent care and trauma-informed practices.</w:t>
            </w:r>
            <w:r>
              <w:rPr>
                <w:lang w:eastAsia="en-GB"/>
              </w:rPr>
              <w:br/>
              <w:t>• Dentists that accept government coverage and addressing financial constraints.</w:t>
            </w:r>
            <w:r>
              <w:rPr>
                <w:lang w:eastAsia="en-GB"/>
              </w:rPr>
              <w:br/>
              <w:t>• Slowing down the pace of treatment and flexible schedules.</w:t>
            </w:r>
            <w:r>
              <w:rPr>
                <w:lang w:eastAsia="en-GB"/>
              </w:rPr>
              <w:br/>
              <w:t>• Case managers accompanying women to appointments however, this takes an emotional toll on the shelter staff.</w:t>
            </w:r>
            <w:r>
              <w:rPr>
                <w:lang w:eastAsia="en-GB"/>
              </w:rPr>
              <w:br/>
              <w:t>• Translation services.</w:t>
            </w:r>
            <w:r>
              <w:rPr>
                <w:lang w:eastAsia="en-GB"/>
              </w:rPr>
              <w:br/>
              <w:t>• Multi-disciplinary models of care.</w:t>
            </w:r>
            <w:r>
              <w:rPr>
                <w:lang w:eastAsia="en-GB"/>
              </w:rPr>
              <w:br/>
              <w:t>Demographic information (of women who have experience domestic violence)</w:t>
            </w:r>
            <w:r>
              <w:rPr>
                <w:lang w:eastAsia="en-GB"/>
              </w:rPr>
              <w:br/>
              <w:t>• 64% age over 30.</w:t>
            </w:r>
            <w:r>
              <w:rPr>
                <w:lang w:eastAsia="en-GB"/>
              </w:rPr>
              <w:br/>
              <w:t>• 71% Black, Mixed or Caribbean. 14% Latina. 7% South Asian. 7% West Asian.</w:t>
            </w:r>
          </w:p>
        </w:tc>
      </w:tr>
      <w:tr w:rsidR="00B273CD" w14:paraId="1D45A853" w14:textId="77777777">
        <w:trPr>
          <w:trHeight w:val="8190"/>
        </w:trPr>
        <w:tc>
          <w:tcPr>
            <w:tcW w:w="1686" w:type="dxa"/>
            <w:tcBorders>
              <w:left w:val="single" w:sz="4" w:space="0" w:color="D9D9D9"/>
              <w:bottom w:val="single" w:sz="4" w:space="0" w:color="D9D9D9"/>
              <w:right w:val="single" w:sz="4" w:space="0" w:color="D9D9D9"/>
            </w:tcBorders>
          </w:tcPr>
          <w:p w14:paraId="1D45A84E" w14:textId="77777777" w:rsidR="00B273CD" w:rsidRDefault="00590B3D">
            <w:pPr>
              <w:rPr>
                <w:lang w:eastAsia="en-GB"/>
              </w:rPr>
            </w:pPr>
            <w:r>
              <w:rPr>
                <w:lang w:eastAsia="en-GB"/>
              </w:rPr>
              <w:lastRenderedPageBreak/>
              <w:t>Coulthard P et al. 2022. UK</w:t>
            </w:r>
          </w:p>
        </w:tc>
        <w:tc>
          <w:tcPr>
            <w:tcW w:w="1969" w:type="dxa"/>
            <w:tcBorders>
              <w:bottom w:val="single" w:sz="4" w:space="0" w:color="D9D9D9"/>
              <w:right w:val="single" w:sz="4" w:space="0" w:color="D9D9D9"/>
            </w:tcBorders>
          </w:tcPr>
          <w:p w14:paraId="1D45A84F" w14:textId="77777777" w:rsidR="00B273CD" w:rsidRDefault="00590B3D">
            <w:pPr>
              <w:rPr>
                <w:lang w:eastAsia="en-GB"/>
              </w:rPr>
            </w:pPr>
            <w:r>
              <w:rPr>
                <w:lang w:eastAsia="en-GB"/>
              </w:rPr>
              <w:t xml:space="preserve">Implementation of IRIS programme in dental practices. Over 24 months with a 3 month non-cost extension training was delivered at 3 practices via a dual approach with an advocate educator and dentist. Delivered as two-hour long training sessions followed by another hour 6 weeks later. Training was delivered at lunchtimes. Any new staff received later training. The 3 control practices were asked to follow their </w:t>
            </w:r>
            <w:r>
              <w:rPr>
                <w:lang w:eastAsia="en-GB"/>
              </w:rPr>
              <w:lastRenderedPageBreak/>
              <w:t>usual safeguarding practices.</w:t>
            </w:r>
          </w:p>
        </w:tc>
        <w:tc>
          <w:tcPr>
            <w:tcW w:w="2190" w:type="dxa"/>
            <w:tcBorders>
              <w:bottom w:val="single" w:sz="4" w:space="0" w:color="D9D9D9"/>
              <w:right w:val="single" w:sz="4" w:space="0" w:color="D9D9D9"/>
            </w:tcBorders>
          </w:tcPr>
          <w:p w14:paraId="1D45A850" w14:textId="77777777" w:rsidR="00B273CD" w:rsidRDefault="00590B3D">
            <w:pPr>
              <w:rPr>
                <w:lang w:eastAsia="en-GB"/>
              </w:rPr>
            </w:pPr>
            <w:r>
              <w:rPr>
                <w:lang w:eastAsia="en-GB"/>
              </w:rPr>
              <w:lastRenderedPageBreak/>
              <w:t>• Skills to ask about DVA, responding and recording DVA, how to contact and refer to the DRiDVA advocate educator.</w:t>
            </w:r>
            <w:r>
              <w:rPr>
                <w:lang w:eastAsia="en-GB"/>
              </w:rPr>
              <w:br/>
              <w:t>• Safeguarding responsibilities.</w:t>
            </w:r>
            <w:r>
              <w:rPr>
                <w:lang w:eastAsia="en-GB"/>
              </w:rPr>
              <w:br/>
              <w:t>• The relevant differences of GDPs to GMPs.</w:t>
            </w:r>
          </w:p>
        </w:tc>
        <w:tc>
          <w:tcPr>
            <w:tcW w:w="3039" w:type="dxa"/>
            <w:tcBorders>
              <w:bottom w:val="single" w:sz="4" w:space="0" w:color="D9D9D9"/>
              <w:right w:val="single" w:sz="4" w:space="0" w:color="D9D9D9"/>
            </w:tcBorders>
          </w:tcPr>
          <w:p w14:paraId="1D45A851" w14:textId="77777777" w:rsidR="00B273CD" w:rsidRDefault="00590B3D">
            <w:pPr>
              <w:rPr>
                <w:lang w:eastAsia="en-GB"/>
              </w:rPr>
            </w:pPr>
            <w:r>
              <w:rPr>
                <w:lang w:eastAsia="en-GB"/>
              </w:rPr>
              <w:t>Use of the referral pathway to the named DVA advocate but they were not able to implement the software in dental practices so paper copies were used.</w:t>
            </w:r>
          </w:p>
        </w:tc>
        <w:tc>
          <w:tcPr>
            <w:tcW w:w="4011" w:type="dxa"/>
            <w:tcBorders>
              <w:bottom w:val="single" w:sz="4" w:space="0" w:color="D9D9D9"/>
              <w:right w:val="single" w:sz="4" w:space="0" w:color="D9D9D9"/>
            </w:tcBorders>
          </w:tcPr>
          <w:p w14:paraId="1D45A852" w14:textId="77777777" w:rsidR="00B273CD" w:rsidRDefault="00590B3D">
            <w:pPr>
              <w:rPr>
                <w:lang w:eastAsia="en-GB"/>
              </w:rPr>
            </w:pPr>
            <w:r>
              <w:rPr>
                <w:lang w:eastAsia="en-GB"/>
              </w:rPr>
              <w:t>Engagement</w:t>
            </w:r>
            <w:r>
              <w:rPr>
                <w:lang w:eastAsia="en-GB"/>
              </w:rPr>
              <w:br/>
              <w:t>• Not all staff attended all training sessions or all of each one, 9 dentists and 16 dental nurses attended the full training.</w:t>
            </w:r>
            <w:r>
              <w:rPr>
                <w:lang w:eastAsia="en-GB"/>
              </w:rPr>
              <w:br/>
              <w:t>• Positive attitudes and acceptability towards the intervention.</w:t>
            </w:r>
            <w:r>
              <w:rPr>
                <w:lang w:eastAsia="en-GB"/>
              </w:rPr>
              <w:br/>
              <w:t>• Participants identified need for reinforcement to continue to engagement.</w:t>
            </w:r>
            <w:r>
              <w:rPr>
                <w:lang w:eastAsia="en-GB"/>
              </w:rPr>
              <w:br/>
              <w:t>Feasibility of a randomised control trial</w:t>
            </w:r>
            <w:r>
              <w:rPr>
                <w:lang w:eastAsia="en-GB"/>
              </w:rPr>
              <w:br/>
              <w:t>• Did not collect enough quantitative data to determine feasibility of a definitive randomised controlled trial.</w:t>
            </w:r>
            <w:r>
              <w:rPr>
                <w:lang w:eastAsia="en-GB"/>
              </w:rPr>
              <w:br/>
              <w:t>• No issues with practices willingness to be randomised.</w:t>
            </w:r>
            <w:r>
              <w:rPr>
                <w:lang w:eastAsia="en-GB"/>
              </w:rPr>
              <w:br/>
              <w:t>• Aimed to assess the suitability of the outcome measures: number of referrals to DVA advocate for 9 months after training and DVA disclosure rate for 9 months after training but this was hard to capture due to lack of unified IT software.</w:t>
            </w:r>
            <w:r>
              <w:rPr>
                <w:lang w:eastAsia="en-GB"/>
              </w:rPr>
              <w:br/>
              <w:t>Feasibility of adapted IRIS programme in dental practices</w:t>
            </w:r>
            <w:r>
              <w:rPr>
                <w:lang w:eastAsia="en-GB"/>
              </w:rPr>
              <w:br/>
              <w:t>• Assessed feasibility of IRIS through engagement. Time for training constraints.</w:t>
            </w:r>
            <w:r>
              <w:rPr>
                <w:lang w:eastAsia="en-GB"/>
              </w:rPr>
              <w:br/>
            </w:r>
            <w:r>
              <w:rPr>
                <w:lang w:eastAsia="en-GB"/>
              </w:rPr>
              <w:lastRenderedPageBreak/>
              <w:t>• Feasible to deliver the training and establish a referral pathway but were not able to implement the IT software in dental practices.</w:t>
            </w:r>
            <w:r>
              <w:rPr>
                <w:lang w:eastAsia="en-GB"/>
              </w:rPr>
              <w:br/>
              <w:t>Acceptability</w:t>
            </w:r>
            <w:r>
              <w:rPr>
                <w:lang w:eastAsia="en-GB"/>
              </w:rPr>
              <w:br/>
              <w:t>• If participants used the referral pathway, the education they had and having met the named advocate educator was vital in their response. But, some felt they don't need a named advocate educator but knowing what to do is more important in influencing them to make a referral.</w:t>
            </w:r>
            <w:r>
              <w:rPr>
                <w:lang w:eastAsia="en-GB"/>
              </w:rPr>
              <w:br/>
              <w:t>Response in practice</w:t>
            </w:r>
            <w:r>
              <w:rPr>
                <w:lang w:eastAsia="en-GB"/>
              </w:rPr>
              <w:br/>
              <w:t>• Dentists did respond to concerns and reports of DVA after the training. There were conversations with 11 adults who they suspected had injuries from DV and although not all these patients could be supported as part of this study they were all given the contact details for the DVA advocate educator.</w:t>
            </w:r>
            <w:r>
              <w:rPr>
                <w:lang w:eastAsia="en-GB"/>
              </w:rPr>
              <w:br/>
              <w:t>• Practice managers reported patients taking the contact details of advocate educator tear-off strips from the toilet.</w:t>
            </w:r>
          </w:p>
        </w:tc>
      </w:tr>
      <w:tr w:rsidR="00B273CD" w14:paraId="1D45A859" w14:textId="77777777">
        <w:trPr>
          <w:trHeight w:val="7800"/>
        </w:trPr>
        <w:tc>
          <w:tcPr>
            <w:tcW w:w="1686" w:type="dxa"/>
            <w:tcBorders>
              <w:left w:val="single" w:sz="4" w:space="0" w:color="D9D9D9"/>
              <w:bottom w:val="single" w:sz="4" w:space="0" w:color="D9D9D9"/>
              <w:right w:val="single" w:sz="4" w:space="0" w:color="D9D9D9"/>
            </w:tcBorders>
          </w:tcPr>
          <w:p w14:paraId="1D45A854" w14:textId="77777777" w:rsidR="00B273CD" w:rsidRDefault="00590B3D">
            <w:pPr>
              <w:rPr>
                <w:lang w:eastAsia="en-GB"/>
              </w:rPr>
            </w:pPr>
            <w:r>
              <w:rPr>
                <w:lang w:eastAsia="en-GB"/>
              </w:rPr>
              <w:lastRenderedPageBreak/>
              <w:t>Danley D et al., 2004, USA</w:t>
            </w:r>
          </w:p>
        </w:tc>
        <w:tc>
          <w:tcPr>
            <w:tcW w:w="1969" w:type="dxa"/>
            <w:tcBorders>
              <w:bottom w:val="single" w:sz="4" w:space="0" w:color="D9D9D9"/>
              <w:right w:val="single" w:sz="4" w:space="0" w:color="D9D9D9"/>
            </w:tcBorders>
          </w:tcPr>
          <w:p w14:paraId="1D45A855" w14:textId="77777777" w:rsidR="00B273CD" w:rsidRDefault="00590B3D">
            <w:pPr>
              <w:rPr>
                <w:lang w:eastAsia="en-GB"/>
              </w:rPr>
            </w:pPr>
            <w:r>
              <w:rPr>
                <w:lang w:eastAsia="en-GB"/>
              </w:rPr>
              <w:t>15 minute multi-media tutorial of an interaction between a dentist and patient who showed signs of DV and going through the AVDR stages.</w:t>
            </w:r>
          </w:p>
        </w:tc>
        <w:tc>
          <w:tcPr>
            <w:tcW w:w="2190" w:type="dxa"/>
            <w:tcBorders>
              <w:bottom w:val="single" w:sz="4" w:space="0" w:color="D9D9D9"/>
              <w:right w:val="single" w:sz="4" w:space="0" w:color="D9D9D9"/>
            </w:tcBorders>
          </w:tcPr>
          <w:p w14:paraId="1D45A856" w14:textId="77777777" w:rsidR="00B273CD" w:rsidRDefault="00590B3D">
            <w:pPr>
              <w:rPr>
                <w:lang w:eastAsia="en-GB"/>
              </w:rPr>
            </w:pPr>
            <w:r>
              <w:rPr>
                <w:lang w:eastAsia="en-GB"/>
              </w:rPr>
              <w:t>• AVDR.</w:t>
            </w:r>
            <w:r>
              <w:rPr>
                <w:lang w:eastAsia="en-GB"/>
              </w:rPr>
              <w:br/>
              <w:t>• Asking patients about abuse.</w:t>
            </w:r>
            <w:r>
              <w:rPr>
                <w:lang w:eastAsia="en-GB"/>
              </w:rPr>
              <w:br/>
              <w:t>• Validating patients by acknowledging battering is wrong and confirm patients worth.</w:t>
            </w:r>
            <w:r>
              <w:rPr>
                <w:lang w:eastAsia="en-GB"/>
              </w:rPr>
              <w:br/>
              <w:t>• Documenting the signs and symptoms and disclosure in writing and pictures in the notes.</w:t>
            </w:r>
            <w:r>
              <w:rPr>
                <w:lang w:eastAsia="en-GB"/>
              </w:rPr>
              <w:br/>
              <w:t>• Referring patients to domestic violence specialists.</w:t>
            </w:r>
          </w:p>
        </w:tc>
        <w:tc>
          <w:tcPr>
            <w:tcW w:w="3039" w:type="dxa"/>
            <w:tcBorders>
              <w:bottom w:val="single" w:sz="4" w:space="0" w:color="D9D9D9"/>
              <w:right w:val="single" w:sz="4" w:space="0" w:color="D9D9D9"/>
            </w:tcBorders>
          </w:tcPr>
          <w:p w14:paraId="1D45A857" w14:textId="77777777" w:rsidR="00B273CD" w:rsidRDefault="00590B3D">
            <w:pPr>
              <w:rPr>
                <w:lang w:eastAsia="en-GB"/>
              </w:rPr>
            </w:pPr>
            <w:r>
              <w:rPr>
                <w:lang w:eastAsia="en-GB"/>
              </w:rPr>
              <w:t> </w:t>
            </w:r>
          </w:p>
        </w:tc>
        <w:tc>
          <w:tcPr>
            <w:tcW w:w="4011" w:type="dxa"/>
            <w:tcBorders>
              <w:bottom w:val="single" w:sz="4" w:space="0" w:color="D9D9D9"/>
              <w:right w:val="single" w:sz="4" w:space="0" w:color="D9D9D9"/>
            </w:tcBorders>
          </w:tcPr>
          <w:p w14:paraId="1D45A858" w14:textId="77777777" w:rsidR="00B273CD" w:rsidRDefault="00590B3D">
            <w:pPr>
              <w:rPr>
                <w:lang w:eastAsia="en-GB"/>
              </w:rPr>
            </w:pPr>
            <w:r>
              <w:rPr>
                <w:lang w:eastAsia="en-GB"/>
              </w:rPr>
              <w:t>Knowledge</w:t>
            </w:r>
            <w:r>
              <w:rPr>
                <w:lang w:eastAsia="en-GB"/>
              </w:rPr>
              <w:br/>
              <w:t>• Significant difference between experimental and control groups for knowing how to ask, validate, document in the dental chart and how to refer.</w:t>
            </w:r>
            <w:r>
              <w:rPr>
                <w:lang w:eastAsia="en-GB"/>
              </w:rPr>
              <w:br/>
              <w:t>• Greater improvement in ask and validating than document and refer, pre-test scores already quite high for document and refer.</w:t>
            </w:r>
            <w:r>
              <w:rPr>
                <w:lang w:eastAsia="en-GB"/>
              </w:rPr>
              <w:br/>
              <w:t>• Statistically signficant increase in beliefs about their knowledge on indicators, recognising and how to help suspected victims for both experimental groups.</w:t>
            </w:r>
            <w:r>
              <w:rPr>
                <w:lang w:eastAsia="en-GB"/>
              </w:rPr>
              <w:br/>
              <w:t>Attitude</w:t>
            </w:r>
            <w:r>
              <w:rPr>
                <w:lang w:eastAsia="en-GB"/>
              </w:rPr>
              <w:br/>
              <w:t>• Limited change in attitude, only significant difference for within dentists role to ask and helping in terms of difficulty.</w:t>
            </w:r>
            <w:r>
              <w:rPr>
                <w:lang w:eastAsia="en-GB"/>
              </w:rPr>
              <w:br/>
              <w:t>• Improvement in attitude but only statistically significant for 2 out of 8 attitude statements.</w:t>
            </w:r>
            <w:r>
              <w:rPr>
                <w:lang w:eastAsia="en-GB"/>
              </w:rPr>
              <w:br/>
              <w:t>Intent to change practice</w:t>
            </w:r>
            <w:r>
              <w:rPr>
                <w:lang w:eastAsia="en-GB"/>
              </w:rPr>
              <w:br/>
              <w:t>• Most participants stated they intended to frequently inquire about patient’s safety after recognizing injuries to the head or neck which improved from before.</w:t>
            </w:r>
            <w:r>
              <w:rPr>
                <w:lang w:eastAsia="en-GB"/>
              </w:rPr>
              <w:br/>
              <w:t>Difference in study groups</w:t>
            </w:r>
            <w:r>
              <w:rPr>
                <w:lang w:eastAsia="en-GB"/>
              </w:rPr>
              <w:br/>
            </w:r>
            <w:r>
              <w:rPr>
                <w:lang w:eastAsia="en-GB"/>
              </w:rPr>
              <w:lastRenderedPageBreak/>
              <w:t>• No overall significant difference in experimental groups completing pre and post test and just the post-test showing a pre-test may provide familiarisation with concepts it did not improve responses.</w:t>
            </w:r>
            <w:r>
              <w:rPr>
                <w:lang w:eastAsia="en-GB"/>
              </w:rPr>
              <w:br/>
              <w:t>• No significant differences in intervention effects between sex, staff vs student, school of student, previous domestic violence training.</w:t>
            </w:r>
          </w:p>
        </w:tc>
      </w:tr>
      <w:tr w:rsidR="00B273CD" w14:paraId="1D45A85F" w14:textId="77777777">
        <w:trPr>
          <w:trHeight w:val="7200"/>
        </w:trPr>
        <w:tc>
          <w:tcPr>
            <w:tcW w:w="1686" w:type="dxa"/>
            <w:tcBorders>
              <w:left w:val="single" w:sz="4" w:space="0" w:color="D9D9D9"/>
              <w:bottom w:val="single" w:sz="4" w:space="0" w:color="D9D9D9"/>
              <w:right w:val="single" w:sz="4" w:space="0" w:color="D9D9D9"/>
            </w:tcBorders>
          </w:tcPr>
          <w:p w14:paraId="1D45A85A" w14:textId="77777777" w:rsidR="00B273CD" w:rsidRDefault="00590B3D">
            <w:pPr>
              <w:rPr>
                <w:lang w:eastAsia="en-GB"/>
              </w:rPr>
            </w:pPr>
            <w:r>
              <w:rPr>
                <w:lang w:eastAsia="en-GB"/>
              </w:rPr>
              <w:lastRenderedPageBreak/>
              <w:t>Doughty J.L et al., 2023, UK</w:t>
            </w:r>
          </w:p>
        </w:tc>
        <w:tc>
          <w:tcPr>
            <w:tcW w:w="1969" w:type="dxa"/>
            <w:tcBorders>
              <w:bottom w:val="single" w:sz="4" w:space="0" w:color="D9D9D9"/>
              <w:right w:val="single" w:sz="4" w:space="0" w:color="D9D9D9"/>
            </w:tcBorders>
          </w:tcPr>
          <w:p w14:paraId="1D45A85B" w14:textId="77777777" w:rsidR="00B273CD" w:rsidRDefault="00590B3D">
            <w:pPr>
              <w:rPr>
                <w:lang w:eastAsia="en-GB"/>
              </w:rPr>
            </w:pPr>
            <w:r>
              <w:rPr>
                <w:lang w:eastAsia="en-GB"/>
              </w:rPr>
              <w:t>3.5 hour DVA training session. On-going peer support following training.</w:t>
            </w:r>
          </w:p>
        </w:tc>
        <w:tc>
          <w:tcPr>
            <w:tcW w:w="2190" w:type="dxa"/>
            <w:tcBorders>
              <w:bottom w:val="single" w:sz="4" w:space="0" w:color="D9D9D9"/>
              <w:right w:val="single" w:sz="4" w:space="0" w:color="D9D9D9"/>
            </w:tcBorders>
          </w:tcPr>
          <w:p w14:paraId="1D45A85C" w14:textId="77777777" w:rsidR="00B273CD" w:rsidRDefault="00590B3D">
            <w:pPr>
              <w:rPr>
                <w:lang w:eastAsia="en-GB"/>
              </w:rPr>
            </w:pPr>
            <w:r>
              <w:rPr>
                <w:lang w:eastAsia="en-GB"/>
              </w:rPr>
              <w:t>Common signs of DVA, engaging in screening and identification, how to respond to a disclosure and further management.</w:t>
            </w:r>
          </w:p>
        </w:tc>
        <w:tc>
          <w:tcPr>
            <w:tcW w:w="3039" w:type="dxa"/>
            <w:tcBorders>
              <w:bottom w:val="single" w:sz="4" w:space="0" w:color="D9D9D9"/>
              <w:right w:val="single" w:sz="4" w:space="0" w:color="D9D9D9"/>
            </w:tcBorders>
          </w:tcPr>
          <w:p w14:paraId="1D45A85D" w14:textId="77777777" w:rsidR="00B273CD" w:rsidRDefault="00590B3D">
            <w:pPr>
              <w:rPr>
                <w:lang w:eastAsia="en-GB"/>
              </w:rPr>
            </w:pPr>
            <w:r>
              <w:rPr>
                <w:lang w:eastAsia="en-GB"/>
              </w:rPr>
              <w:t>• Dental teams given resources with discrete phone numbers for DVA services, leaflets, survivor cards, posters and safety plans.</w:t>
            </w:r>
            <w:r>
              <w:rPr>
                <w:lang w:eastAsia="en-GB"/>
              </w:rPr>
              <w:br/>
              <w:t>• Information on practice webistes with a rapid-exit feature.</w:t>
            </w:r>
            <w:r>
              <w:rPr>
                <w:lang w:eastAsia="en-GB"/>
              </w:rPr>
              <w:br/>
              <w:t>• Development of a campaign: appoint an in house DVA champion; identify a safe, direct referral pathway for local domestic abuse services; display DVA posters and leaflets in public areas; safe spaces for disclosure; implement and maintain a DVA policy; and annual refresher training.</w:t>
            </w:r>
          </w:p>
        </w:tc>
        <w:tc>
          <w:tcPr>
            <w:tcW w:w="4011" w:type="dxa"/>
            <w:tcBorders>
              <w:bottom w:val="single" w:sz="4" w:space="0" w:color="D9D9D9"/>
              <w:right w:val="single" w:sz="4" w:space="0" w:color="D9D9D9"/>
            </w:tcBorders>
          </w:tcPr>
          <w:p w14:paraId="1D45A85E" w14:textId="77777777" w:rsidR="00B273CD" w:rsidRDefault="00590B3D">
            <w:pPr>
              <w:rPr>
                <w:lang w:eastAsia="en-GB"/>
              </w:rPr>
            </w:pPr>
            <w:r>
              <w:rPr>
                <w:lang w:eastAsia="en-GB"/>
              </w:rPr>
              <w:t>Knowledge</w:t>
            </w:r>
            <w:r>
              <w:rPr>
                <w:lang w:eastAsia="en-GB"/>
              </w:rPr>
              <w:br/>
              <w:t>• Participants believed all objectives were met and rated their knowledge as excellent or good after. No-one had said excellent before the training.</w:t>
            </w:r>
            <w:r>
              <w:rPr>
                <w:lang w:eastAsia="en-GB"/>
              </w:rPr>
              <w:br/>
              <w:t>Challenges and solutions</w:t>
            </w:r>
            <w:r>
              <w:rPr>
                <w:lang w:eastAsia="en-GB"/>
              </w:rPr>
              <w:br/>
              <w:t>• Time and other clinical priorities. Later introduced introductory training at lunchtime and routine screening alongside Covid-19 screening. To avoid disruption to clinic schedule, suggestion to have a confidential space for disccreet conversations and a space the patient can self-refer.</w:t>
            </w:r>
            <w:r>
              <w:rPr>
                <w:lang w:eastAsia="en-GB"/>
              </w:rPr>
              <w:br/>
              <w:t>• Uncertainty of relevance to their role.</w:t>
            </w:r>
            <w:r>
              <w:rPr>
                <w:lang w:eastAsia="en-GB"/>
              </w:rPr>
              <w:br/>
              <w:t>• Consistent long-term funding.</w:t>
            </w:r>
            <w:r>
              <w:rPr>
                <w:lang w:eastAsia="en-GB"/>
              </w:rPr>
              <w:br/>
              <w:t>• Helped with DVA champion and CPD certification.</w:t>
            </w:r>
            <w:r>
              <w:rPr>
                <w:lang w:eastAsia="en-GB"/>
              </w:rPr>
              <w:br/>
              <w:t xml:space="preserve">• Measuring the success of the intervention. Looking at number of onward referrals is complicated as there are often multiple points along the journey of initiating seeking help. DVA services did not collect data on healthcare services contributing to the decision to seek help which is also challenging to assess as there </w:t>
            </w:r>
            <w:r>
              <w:rPr>
                <w:lang w:eastAsia="en-GB"/>
              </w:rPr>
              <w:lastRenderedPageBreak/>
              <w:t>are often multiple points along the journey to initiate help seeking.Not having the software to search for screening in the notes. The success of posters in waiting rooms was not measured but a women self-referred to a DVA support service from seeing a poster in the dental waiting room and she didn't know where to find help before this.</w:t>
            </w:r>
          </w:p>
        </w:tc>
      </w:tr>
      <w:tr w:rsidR="00B273CD" w14:paraId="1D45A865" w14:textId="77777777">
        <w:trPr>
          <w:trHeight w:val="8190"/>
        </w:trPr>
        <w:tc>
          <w:tcPr>
            <w:tcW w:w="1686" w:type="dxa"/>
            <w:tcBorders>
              <w:left w:val="single" w:sz="4" w:space="0" w:color="D9D9D9"/>
              <w:bottom w:val="single" w:sz="4" w:space="0" w:color="D9D9D9"/>
              <w:right w:val="single" w:sz="4" w:space="0" w:color="D9D9D9"/>
            </w:tcBorders>
          </w:tcPr>
          <w:p w14:paraId="1D45A860" w14:textId="77777777" w:rsidR="00B273CD" w:rsidRDefault="00590B3D">
            <w:pPr>
              <w:rPr>
                <w:lang w:eastAsia="en-GB"/>
              </w:rPr>
            </w:pPr>
            <w:r>
              <w:rPr>
                <w:lang w:eastAsia="en-GB"/>
              </w:rPr>
              <w:lastRenderedPageBreak/>
              <w:t>Femi-Ajao O et al., 2023, UK</w:t>
            </w:r>
          </w:p>
        </w:tc>
        <w:tc>
          <w:tcPr>
            <w:tcW w:w="1969" w:type="dxa"/>
            <w:tcBorders>
              <w:bottom w:val="single" w:sz="4" w:space="0" w:color="D9D9D9"/>
              <w:right w:val="single" w:sz="4" w:space="0" w:color="D9D9D9"/>
            </w:tcBorders>
          </w:tcPr>
          <w:p w14:paraId="1D45A861" w14:textId="77777777" w:rsidR="00B273CD" w:rsidRDefault="00590B3D">
            <w:pPr>
              <w:rPr>
                <w:lang w:eastAsia="en-GB"/>
              </w:rPr>
            </w:pPr>
            <w:r>
              <w:rPr>
                <w:lang w:eastAsia="en-GB"/>
              </w:rPr>
              <w:t xml:space="preserve">Implementation of IRIS prorgamme in dental practices. Over 24 months with a 3 month non-cost extension training was delivered at 3 practices via a dual approach with an advocate educator and dentist. Delivered as two-hour long training sessions followed by another hour 6 weeks later. Training was delivered at lunchtimes. Any new staff received later training. The 3 control practices were asked to follow their </w:t>
            </w:r>
            <w:r>
              <w:rPr>
                <w:lang w:eastAsia="en-GB"/>
              </w:rPr>
              <w:lastRenderedPageBreak/>
              <w:t>usual safeguarding practices. Training  included clinical cases, video 'how to' and 'how not to' facilitate disclosure of DVA and how to respond and manage a referral.</w:t>
            </w:r>
          </w:p>
        </w:tc>
        <w:tc>
          <w:tcPr>
            <w:tcW w:w="2190" w:type="dxa"/>
            <w:tcBorders>
              <w:bottom w:val="single" w:sz="4" w:space="0" w:color="D9D9D9"/>
              <w:right w:val="single" w:sz="4" w:space="0" w:color="D9D9D9"/>
            </w:tcBorders>
          </w:tcPr>
          <w:p w14:paraId="1D45A862" w14:textId="77777777" w:rsidR="00B273CD" w:rsidRDefault="00590B3D">
            <w:pPr>
              <w:rPr>
                <w:lang w:eastAsia="en-GB"/>
              </w:rPr>
            </w:pPr>
            <w:r>
              <w:rPr>
                <w:lang w:eastAsia="en-GB"/>
              </w:rPr>
              <w:lastRenderedPageBreak/>
              <w:t>• Identify risk factors for DVA, understand the role of the dental team, recognise signs of DVA in patients, ask patients about domestic abuse and support disclosure and referral to a specialist advocate.</w:t>
            </w:r>
            <w:r>
              <w:rPr>
                <w:lang w:eastAsia="en-GB"/>
              </w:rPr>
              <w:br/>
              <w:t>• A focus on DVA identification and response challenges specific to the setting.</w:t>
            </w:r>
          </w:p>
        </w:tc>
        <w:tc>
          <w:tcPr>
            <w:tcW w:w="3039" w:type="dxa"/>
            <w:tcBorders>
              <w:bottom w:val="single" w:sz="4" w:space="0" w:color="D9D9D9"/>
              <w:right w:val="single" w:sz="4" w:space="0" w:color="D9D9D9"/>
            </w:tcBorders>
          </w:tcPr>
          <w:p w14:paraId="1D45A863" w14:textId="77777777" w:rsidR="00B273CD" w:rsidRDefault="00590B3D">
            <w:pPr>
              <w:rPr>
                <w:lang w:eastAsia="en-GB"/>
              </w:rPr>
            </w:pPr>
            <w:r>
              <w:rPr>
                <w:lang w:eastAsia="en-GB"/>
              </w:rPr>
              <w:t>Referral link to a designated advocate educator from Manchester Womens Aid IRIS team.</w:t>
            </w:r>
          </w:p>
        </w:tc>
        <w:tc>
          <w:tcPr>
            <w:tcW w:w="4011" w:type="dxa"/>
            <w:tcBorders>
              <w:bottom w:val="single" w:sz="4" w:space="0" w:color="D9D9D9"/>
              <w:right w:val="single" w:sz="4" w:space="0" w:color="D9D9D9"/>
            </w:tcBorders>
          </w:tcPr>
          <w:p w14:paraId="1D45A864" w14:textId="77777777" w:rsidR="00B273CD" w:rsidRDefault="00590B3D">
            <w:pPr>
              <w:rPr>
                <w:lang w:eastAsia="en-GB"/>
              </w:rPr>
            </w:pPr>
            <w:r>
              <w:rPr>
                <w:lang w:eastAsia="en-GB"/>
              </w:rPr>
              <w:t>Confidence</w:t>
            </w:r>
            <w:r>
              <w:rPr>
                <w:lang w:eastAsia="en-GB"/>
              </w:rPr>
              <w:br/>
              <w:t>• Dentists felt more comfortable if patients opened up easily.</w:t>
            </w:r>
            <w:r>
              <w:rPr>
                <w:lang w:eastAsia="en-GB"/>
              </w:rPr>
              <w:br/>
              <w:t>• Felt more comfortable following training, having a structured referral pathway and face-to-face contact with a named advocate educator and increased confidence to refer. But many still anxious about asking patients about DVA</w:t>
            </w:r>
            <w:r>
              <w:rPr>
                <w:lang w:eastAsia="en-GB"/>
              </w:rPr>
              <w:br/>
              <w:t>• Dental nurses were less anxious about asking about DVA and initiating referrals than dentists.</w:t>
            </w:r>
            <w:r>
              <w:rPr>
                <w:lang w:eastAsia="en-GB"/>
              </w:rPr>
              <w:br/>
              <w:t>• More recently qualified dentists were more nervous initiating DVA conversation than experienced dentists.</w:t>
            </w:r>
            <w:r>
              <w:rPr>
                <w:lang w:eastAsia="en-GB"/>
              </w:rPr>
              <w:br/>
              <w:t>Acceptability</w:t>
            </w:r>
            <w:r>
              <w:rPr>
                <w:lang w:eastAsia="en-GB"/>
              </w:rPr>
              <w:br/>
              <w:t>• Most believed they were in a good position to identify DVA and had a responsibility to act so the intervention was appropriate to their role. There was an improved perception of this.</w:t>
            </w:r>
            <w:r>
              <w:rPr>
                <w:lang w:eastAsia="en-GB"/>
              </w:rPr>
              <w:br/>
              <w:t>• Some dentists unsure if patients would find it appropriate to be asked about DV.</w:t>
            </w:r>
            <w:r>
              <w:rPr>
                <w:lang w:eastAsia="en-GB"/>
              </w:rPr>
              <w:br/>
              <w:t xml:space="preserve">• Some thought long-standing relationships with patients helps to build trust and encourages </w:t>
            </w:r>
            <w:r>
              <w:rPr>
                <w:lang w:eastAsia="en-GB"/>
              </w:rPr>
              <w:lastRenderedPageBreak/>
              <w:t>disclosure but others felt this increases discomfort.</w:t>
            </w:r>
            <w:r>
              <w:rPr>
                <w:lang w:eastAsia="en-GB"/>
              </w:rPr>
              <w:br/>
              <w:t>• The more uncomfortable they felt about asking about DVA, the more unwilling they were to ask.</w:t>
            </w:r>
            <w:r>
              <w:rPr>
                <w:lang w:eastAsia="en-GB"/>
              </w:rPr>
              <w:br/>
              <w:t>• If dentists had had a DVA disclosure the value of the intervention was clearer and they were more likely to have a positive attitude towards their role to respond.</w:t>
            </w:r>
            <w:r>
              <w:rPr>
                <w:lang w:eastAsia="en-GB"/>
              </w:rPr>
              <w:br/>
              <w:t>• Most believed this intervention could benefit patients.</w:t>
            </w:r>
            <w:r>
              <w:rPr>
                <w:lang w:eastAsia="en-GB"/>
              </w:rPr>
              <w:br/>
              <w:t>Feasibility</w:t>
            </w:r>
            <w:r>
              <w:rPr>
                <w:lang w:eastAsia="en-GB"/>
              </w:rPr>
              <w:br/>
              <w:t>• Integration of nurses  was important to reduce the impact on dentists workload. Nurses felt they were advocates for patients and felt empowered to act after the training.</w:t>
            </w:r>
            <w:r>
              <w:rPr>
                <w:lang w:eastAsia="en-GB"/>
              </w:rPr>
              <w:br/>
              <w:t>• Dental teams regarded the practice a safe space. However, some felt a separate space for disclosure was a good idea but others though their practice room was better otherwise it was too serious.</w:t>
            </w:r>
            <w:r>
              <w:rPr>
                <w:lang w:eastAsia="en-GB"/>
              </w:rPr>
              <w:br/>
              <w:t>• Training and having a structured referral pathway and a named DVA advocate helped response.</w:t>
            </w:r>
            <w:r>
              <w:rPr>
                <w:lang w:eastAsia="en-GB"/>
              </w:rPr>
              <w:br/>
              <w:t>Suggestions for Improvement</w:t>
            </w:r>
            <w:r>
              <w:rPr>
                <w:lang w:eastAsia="en-GB"/>
              </w:rPr>
              <w:br/>
            </w:r>
            <w:r>
              <w:rPr>
                <w:lang w:eastAsia="en-GB"/>
              </w:rPr>
              <w:lastRenderedPageBreak/>
              <w:t>• Written information summarising the training.</w:t>
            </w:r>
            <w:r>
              <w:rPr>
                <w:lang w:eastAsia="en-GB"/>
              </w:rPr>
              <w:br/>
              <w:t>• Scripted prompts for conversations.</w:t>
            </w:r>
            <w:r>
              <w:rPr>
                <w:lang w:eastAsia="en-GB"/>
              </w:rPr>
              <w:br/>
              <w:t>• Gender-neutral terms as to not miss men experiencing DVA.</w:t>
            </w:r>
            <w:r>
              <w:rPr>
                <w:lang w:eastAsia="en-GB"/>
              </w:rPr>
              <w:br/>
              <w:t>• Refresher courses.</w:t>
            </w:r>
            <w:r>
              <w:rPr>
                <w:lang w:eastAsia="en-GB"/>
              </w:rPr>
              <w:br/>
              <w:t>• Some thought others are more likely to engage with the intervention if there was a video showing the experiences of those who have taken part.</w:t>
            </w:r>
          </w:p>
        </w:tc>
      </w:tr>
      <w:tr w:rsidR="00B273CD" w14:paraId="1D45A86B" w14:textId="77777777">
        <w:trPr>
          <w:trHeight w:val="6600"/>
        </w:trPr>
        <w:tc>
          <w:tcPr>
            <w:tcW w:w="1686" w:type="dxa"/>
            <w:tcBorders>
              <w:left w:val="single" w:sz="4" w:space="0" w:color="D9D9D9"/>
              <w:bottom w:val="single" w:sz="4" w:space="0" w:color="D9D9D9"/>
              <w:right w:val="single" w:sz="4" w:space="0" w:color="D9D9D9"/>
            </w:tcBorders>
          </w:tcPr>
          <w:p w14:paraId="1D45A866" w14:textId="77777777" w:rsidR="00B273CD" w:rsidRDefault="00590B3D">
            <w:pPr>
              <w:rPr>
                <w:lang w:eastAsia="en-GB"/>
              </w:rPr>
            </w:pPr>
            <w:r>
              <w:rPr>
                <w:lang w:eastAsia="en-GB"/>
              </w:rPr>
              <w:lastRenderedPageBreak/>
              <w:t>Hsieh N.K et al., 2006, USA</w:t>
            </w:r>
          </w:p>
        </w:tc>
        <w:tc>
          <w:tcPr>
            <w:tcW w:w="1969" w:type="dxa"/>
            <w:tcBorders>
              <w:bottom w:val="single" w:sz="4" w:space="0" w:color="D9D9D9"/>
              <w:right w:val="single" w:sz="4" w:space="0" w:color="D9D9D9"/>
            </w:tcBorders>
          </w:tcPr>
          <w:p w14:paraId="1D45A867" w14:textId="77777777" w:rsidR="00B273CD" w:rsidRDefault="00590B3D">
            <w:pPr>
              <w:rPr>
                <w:lang w:eastAsia="en-GB"/>
              </w:rPr>
            </w:pPr>
            <w:r>
              <w:rPr>
                <w:lang w:eastAsia="en-GB"/>
              </w:rPr>
              <w:t>15 minute interactive, computer-based tutorial. Involving a video of a dentist and patient interaction with different questions that can be selected for the patient with different responses.</w:t>
            </w:r>
          </w:p>
        </w:tc>
        <w:tc>
          <w:tcPr>
            <w:tcW w:w="2190" w:type="dxa"/>
            <w:tcBorders>
              <w:bottom w:val="single" w:sz="4" w:space="0" w:color="D9D9D9"/>
              <w:right w:val="single" w:sz="4" w:space="0" w:color="D9D9D9"/>
            </w:tcBorders>
          </w:tcPr>
          <w:p w14:paraId="1D45A868" w14:textId="77777777" w:rsidR="00B273CD" w:rsidRDefault="00590B3D">
            <w:pPr>
              <w:rPr>
                <w:lang w:eastAsia="en-GB"/>
              </w:rPr>
            </w:pPr>
            <w:r>
              <w:rPr>
                <w:lang w:eastAsia="en-GB"/>
              </w:rPr>
              <w:t>• AVDR</w:t>
            </w:r>
            <w:r>
              <w:rPr>
                <w:lang w:eastAsia="en-GB"/>
              </w:rPr>
              <w:br/>
              <w:t>• How to identify signs, ask the patient about DV,  to validate the patient, document DV and refer to local DV assistance.</w:t>
            </w:r>
          </w:p>
        </w:tc>
        <w:tc>
          <w:tcPr>
            <w:tcW w:w="3039" w:type="dxa"/>
            <w:tcBorders>
              <w:bottom w:val="single" w:sz="4" w:space="0" w:color="D9D9D9"/>
              <w:right w:val="single" w:sz="4" w:space="0" w:color="D9D9D9"/>
            </w:tcBorders>
          </w:tcPr>
          <w:p w14:paraId="1D45A869" w14:textId="77777777" w:rsidR="00B273CD" w:rsidRDefault="00590B3D">
            <w:pPr>
              <w:rPr>
                <w:lang w:eastAsia="en-GB"/>
              </w:rPr>
            </w:pPr>
            <w:r>
              <w:rPr>
                <w:lang w:eastAsia="en-GB"/>
              </w:rPr>
              <w:t> </w:t>
            </w:r>
          </w:p>
        </w:tc>
        <w:tc>
          <w:tcPr>
            <w:tcW w:w="4011" w:type="dxa"/>
            <w:tcBorders>
              <w:bottom w:val="single" w:sz="4" w:space="0" w:color="D9D9D9"/>
              <w:right w:val="single" w:sz="4" w:space="0" w:color="D9D9D9"/>
            </w:tcBorders>
          </w:tcPr>
          <w:p w14:paraId="1D45A86A" w14:textId="77777777" w:rsidR="00B273CD" w:rsidRDefault="00590B3D">
            <w:pPr>
              <w:rPr>
                <w:lang w:eastAsia="en-GB"/>
              </w:rPr>
            </w:pPr>
            <w:r>
              <w:rPr>
                <w:lang w:eastAsia="en-GB"/>
              </w:rPr>
              <w:t>Knowledge</w:t>
            </w:r>
            <w:r>
              <w:rPr>
                <w:lang w:eastAsia="en-GB"/>
              </w:rPr>
              <w:br/>
              <w:t>• Significant difference in change in knowledge between control and intervention group.</w:t>
            </w:r>
            <w:r>
              <w:rPr>
                <w:lang w:eastAsia="en-GB"/>
              </w:rPr>
              <w:br/>
              <w:t>• Significant for change in knowledge on ask, validate, document, refer.</w:t>
            </w:r>
            <w:r>
              <w:rPr>
                <w:lang w:eastAsia="en-GB"/>
              </w:rPr>
              <w:br/>
              <w:t>• Significant change in knowledge on signs, prevalence and role of dentist.</w:t>
            </w:r>
            <w:r>
              <w:rPr>
                <w:lang w:eastAsia="en-GB"/>
              </w:rPr>
              <w:br/>
              <w:t>Attitude</w:t>
            </w:r>
            <w:r>
              <w:rPr>
                <w:lang w:eastAsia="en-GB"/>
              </w:rPr>
              <w:br/>
              <w:t>• Limited change in attitude, only significant change  was belief can recognise and help victims of DV, is the dentists role, importance to help victims and help in terms of difficulty.</w:t>
            </w:r>
            <w:r>
              <w:rPr>
                <w:lang w:eastAsia="en-GB"/>
              </w:rPr>
              <w:br/>
              <w:t>Intent to change practice</w:t>
            </w:r>
            <w:r>
              <w:rPr>
                <w:lang w:eastAsia="en-GB"/>
              </w:rPr>
              <w:br/>
              <w:t>• Significant change for if recognised an injury or suspected abuse they would ask, validate and refer.</w:t>
            </w:r>
            <w:r>
              <w:rPr>
                <w:lang w:eastAsia="en-GB"/>
              </w:rPr>
              <w:br/>
              <w:t>Empathy</w:t>
            </w:r>
            <w:r>
              <w:rPr>
                <w:lang w:eastAsia="en-GB"/>
              </w:rPr>
              <w:br/>
              <w:t>• Greater empathy score correlated significantly with total baseline and post-test score being higher but not the change score.</w:t>
            </w:r>
            <w:r>
              <w:rPr>
                <w:lang w:eastAsia="en-GB"/>
              </w:rPr>
              <w:br/>
              <w:t>Demographics</w:t>
            </w:r>
            <w:r>
              <w:rPr>
                <w:lang w:eastAsia="en-GB"/>
              </w:rPr>
              <w:br/>
              <w:t>• No significant differences when testing for intervention effects with specialty/general practice, sex, race, year of graduation, previous DV training or empathy.</w:t>
            </w:r>
          </w:p>
        </w:tc>
      </w:tr>
      <w:tr w:rsidR="00B273CD" w14:paraId="1D45A871" w14:textId="77777777">
        <w:trPr>
          <w:trHeight w:val="4200"/>
        </w:trPr>
        <w:tc>
          <w:tcPr>
            <w:tcW w:w="1686" w:type="dxa"/>
            <w:tcBorders>
              <w:left w:val="single" w:sz="4" w:space="0" w:color="D9D9D9"/>
              <w:bottom w:val="single" w:sz="4" w:space="0" w:color="D9D9D9"/>
              <w:right w:val="single" w:sz="4" w:space="0" w:color="D9D9D9"/>
            </w:tcBorders>
          </w:tcPr>
          <w:p w14:paraId="1D45A86C" w14:textId="77777777" w:rsidR="00B273CD" w:rsidRDefault="00590B3D">
            <w:pPr>
              <w:rPr>
                <w:lang w:eastAsia="en-GB"/>
              </w:rPr>
            </w:pPr>
            <w:r>
              <w:rPr>
                <w:lang w:eastAsia="en-GB"/>
              </w:rPr>
              <w:lastRenderedPageBreak/>
              <w:t>Johnson L.A et al., 2022, USA</w:t>
            </w:r>
          </w:p>
        </w:tc>
        <w:tc>
          <w:tcPr>
            <w:tcW w:w="1969" w:type="dxa"/>
            <w:tcBorders>
              <w:bottom w:val="single" w:sz="4" w:space="0" w:color="D9D9D9"/>
              <w:right w:val="single" w:sz="4" w:space="0" w:color="D9D9D9"/>
            </w:tcBorders>
          </w:tcPr>
          <w:p w14:paraId="1D45A86D" w14:textId="77777777" w:rsidR="00B273CD" w:rsidRDefault="00590B3D">
            <w:pPr>
              <w:rPr>
                <w:lang w:eastAsia="en-GB"/>
              </w:rPr>
            </w:pPr>
            <w:r>
              <w:rPr>
                <w:lang w:eastAsia="en-GB"/>
              </w:rPr>
              <w:t>Interactive online modules on human trafficking, child abuse and intimate partner violence which had been delivered for four years including faculty presentations, survivor stories, expert interviews and discussion boards to facilitate interprofessional collaboration.</w:t>
            </w:r>
          </w:p>
        </w:tc>
        <w:tc>
          <w:tcPr>
            <w:tcW w:w="2190" w:type="dxa"/>
            <w:tcBorders>
              <w:bottom w:val="single" w:sz="4" w:space="0" w:color="D9D9D9"/>
              <w:right w:val="single" w:sz="4" w:space="0" w:color="D9D9D9"/>
            </w:tcBorders>
          </w:tcPr>
          <w:p w14:paraId="1D45A86E" w14:textId="77777777" w:rsidR="00B273CD" w:rsidRDefault="00590B3D">
            <w:pPr>
              <w:rPr>
                <w:lang w:eastAsia="en-GB"/>
              </w:rPr>
            </w:pPr>
            <w:r>
              <w:rPr>
                <w:lang w:eastAsia="en-GB"/>
              </w:rPr>
              <w:t>IPV prevalence, risk factors, cycle of violence and outcomes,  warning signs, screening tools and how to assist.</w:t>
            </w:r>
          </w:p>
        </w:tc>
        <w:tc>
          <w:tcPr>
            <w:tcW w:w="3039" w:type="dxa"/>
            <w:tcBorders>
              <w:bottom w:val="single" w:sz="4" w:space="0" w:color="D9D9D9"/>
              <w:right w:val="single" w:sz="4" w:space="0" w:color="D9D9D9"/>
            </w:tcBorders>
          </w:tcPr>
          <w:p w14:paraId="1D45A86F" w14:textId="77777777" w:rsidR="00B273CD" w:rsidRDefault="00590B3D">
            <w:pPr>
              <w:rPr>
                <w:lang w:eastAsia="en-GB"/>
              </w:rPr>
            </w:pPr>
            <w:r>
              <w:rPr>
                <w:lang w:eastAsia="en-GB"/>
              </w:rPr>
              <w:t> </w:t>
            </w:r>
          </w:p>
        </w:tc>
        <w:tc>
          <w:tcPr>
            <w:tcW w:w="4011" w:type="dxa"/>
            <w:tcBorders>
              <w:bottom w:val="single" w:sz="4" w:space="0" w:color="D9D9D9"/>
              <w:right w:val="single" w:sz="4" w:space="0" w:color="D9D9D9"/>
            </w:tcBorders>
          </w:tcPr>
          <w:p w14:paraId="1D45A870" w14:textId="77777777" w:rsidR="00B273CD" w:rsidRDefault="00590B3D">
            <w:pPr>
              <w:rPr>
                <w:lang w:eastAsia="en-GB"/>
              </w:rPr>
            </w:pPr>
            <w:r>
              <w:rPr>
                <w:lang w:eastAsia="en-GB"/>
              </w:rPr>
              <w:t>Knowledge</w:t>
            </w:r>
            <w:r>
              <w:rPr>
                <w:lang w:eastAsia="en-GB"/>
              </w:rPr>
              <w:br/>
              <w:t>• Post test scores significantly higher  than pre-test for familiarity with signs and symptoms of IPV.</w:t>
            </w:r>
            <w:r>
              <w:rPr>
                <w:lang w:eastAsia="en-GB"/>
              </w:rPr>
              <w:br/>
              <w:t>Attitude</w:t>
            </w:r>
            <w:r>
              <w:rPr>
                <w:lang w:eastAsia="en-GB"/>
              </w:rPr>
              <w:br/>
              <w:t>• Significant increase in the opinion healthcare professionals can stop intimate partner violence before it starts</w:t>
            </w:r>
            <w:r>
              <w:rPr>
                <w:lang w:eastAsia="en-GB"/>
              </w:rPr>
              <w:br/>
              <w:t>• Participating in the IPV activity was a valuable learning experience - with  most answering agree/ strongly agree.</w:t>
            </w:r>
            <w:r>
              <w:rPr>
                <w:lang w:eastAsia="en-GB"/>
              </w:rPr>
              <w:br/>
              <w:t>• Interacting with interprofessional students and/or professionals was a valuable learning experience -with  most answering agree/ strongly agree.</w:t>
            </w:r>
            <w:r>
              <w:rPr>
                <w:lang w:eastAsia="en-GB"/>
              </w:rPr>
              <w:br/>
              <w:t>Intent to change practice</w:t>
            </w:r>
            <w:r>
              <w:rPr>
                <w:lang w:eastAsia="en-GB"/>
              </w:rPr>
              <w:br/>
              <w:t>• Most said strongly agree/ agree for that they  will use the information/ skills they learnt from participating in practice.</w:t>
            </w:r>
          </w:p>
        </w:tc>
      </w:tr>
      <w:tr w:rsidR="00B273CD" w14:paraId="1D45A877" w14:textId="77777777">
        <w:trPr>
          <w:trHeight w:val="6300"/>
        </w:trPr>
        <w:tc>
          <w:tcPr>
            <w:tcW w:w="1686" w:type="dxa"/>
            <w:tcBorders>
              <w:left w:val="single" w:sz="4" w:space="0" w:color="D9D9D9"/>
              <w:bottom w:val="single" w:sz="4" w:space="0" w:color="D9D9D9"/>
              <w:right w:val="single" w:sz="4" w:space="0" w:color="D9D9D9"/>
            </w:tcBorders>
          </w:tcPr>
          <w:p w14:paraId="1D45A872" w14:textId="77777777" w:rsidR="00B273CD" w:rsidRDefault="00590B3D">
            <w:pPr>
              <w:rPr>
                <w:lang w:eastAsia="en-GB"/>
              </w:rPr>
            </w:pPr>
            <w:r>
              <w:rPr>
                <w:lang w:eastAsia="en-GB"/>
              </w:rPr>
              <w:lastRenderedPageBreak/>
              <w:t>Johnston G.M et al., 2003, Canada</w:t>
            </w:r>
          </w:p>
        </w:tc>
        <w:tc>
          <w:tcPr>
            <w:tcW w:w="1969" w:type="dxa"/>
            <w:tcBorders>
              <w:bottom w:val="single" w:sz="4" w:space="0" w:color="D9D9D9"/>
              <w:right w:val="single" w:sz="4" w:space="0" w:color="D9D9D9"/>
            </w:tcBorders>
          </w:tcPr>
          <w:p w14:paraId="1D45A873" w14:textId="77777777" w:rsidR="00B273CD" w:rsidRDefault="00590B3D">
            <w:pPr>
              <w:rPr>
                <w:lang w:eastAsia="en-GB"/>
              </w:rPr>
            </w:pPr>
            <w:r>
              <w:rPr>
                <w:lang w:eastAsia="en-GB"/>
              </w:rPr>
              <w:t>Prepatory material provided followed by a 2 hour workshop with small group discussion with a mix of healthcare professions to aid interprofessional collaboration following on in practice, case studies, a follow up large group session and a closing expert panel.</w:t>
            </w:r>
          </w:p>
        </w:tc>
        <w:tc>
          <w:tcPr>
            <w:tcW w:w="2190" w:type="dxa"/>
            <w:tcBorders>
              <w:bottom w:val="single" w:sz="4" w:space="0" w:color="D9D9D9"/>
              <w:right w:val="single" w:sz="4" w:space="0" w:color="D9D9D9"/>
            </w:tcBorders>
          </w:tcPr>
          <w:p w14:paraId="1D45A874" w14:textId="77777777" w:rsidR="00B273CD" w:rsidRDefault="00590B3D">
            <w:pPr>
              <w:rPr>
                <w:lang w:eastAsia="en-GB"/>
              </w:rPr>
            </w:pPr>
            <w:r>
              <w:rPr>
                <w:lang w:eastAsia="en-GB"/>
              </w:rPr>
              <w:t>• Child abuse, elder abuse and spousal abuse.</w:t>
            </w:r>
            <w:r>
              <w:rPr>
                <w:lang w:eastAsia="en-GB"/>
              </w:rPr>
              <w:br/>
              <w:t>• Indications of family violence, diversity of professional roles in addressing family violence, ways to work interprofessionally.</w:t>
            </w:r>
          </w:p>
        </w:tc>
        <w:tc>
          <w:tcPr>
            <w:tcW w:w="3039" w:type="dxa"/>
            <w:tcBorders>
              <w:bottom w:val="single" w:sz="4" w:space="0" w:color="D9D9D9"/>
              <w:right w:val="single" w:sz="4" w:space="0" w:color="D9D9D9"/>
            </w:tcBorders>
          </w:tcPr>
          <w:p w14:paraId="1D45A875" w14:textId="77777777" w:rsidR="00B273CD" w:rsidRDefault="00590B3D">
            <w:pPr>
              <w:rPr>
                <w:lang w:eastAsia="en-GB"/>
              </w:rPr>
            </w:pPr>
            <w:r>
              <w:rPr>
                <w:lang w:eastAsia="en-GB"/>
              </w:rPr>
              <w:t> </w:t>
            </w:r>
          </w:p>
        </w:tc>
        <w:tc>
          <w:tcPr>
            <w:tcW w:w="4011" w:type="dxa"/>
            <w:tcBorders>
              <w:bottom w:val="single" w:sz="4" w:space="0" w:color="D9D9D9"/>
              <w:right w:val="single" w:sz="4" w:space="0" w:color="D9D9D9"/>
            </w:tcBorders>
          </w:tcPr>
          <w:p w14:paraId="1D45A876" w14:textId="77777777" w:rsidR="00B273CD" w:rsidRDefault="00590B3D">
            <w:pPr>
              <w:rPr>
                <w:lang w:eastAsia="en-GB"/>
              </w:rPr>
            </w:pPr>
            <w:r>
              <w:rPr>
                <w:lang w:eastAsia="en-GB"/>
              </w:rPr>
              <w:t>Knowledge</w:t>
            </w:r>
            <w:r>
              <w:rPr>
                <w:lang w:eastAsia="en-GB"/>
              </w:rPr>
              <w:br/>
              <w:t>• In qualitative responses students reported an increase in their knowledge of their role and roles of other health professionals on family violence, knowledge on family violence and their legal obligation to report.</w:t>
            </w:r>
            <w:r>
              <w:rPr>
                <w:lang w:eastAsia="en-GB"/>
              </w:rPr>
              <w:br/>
              <w:t>• Mean score 3.7 (on a scale of 1-5, with 5 being strongly agree) for a better understanding of the complementary roles of health professionals dealing with family violence.</w:t>
            </w:r>
            <w:r>
              <w:rPr>
                <w:lang w:eastAsia="en-GB"/>
              </w:rPr>
              <w:br/>
              <w:t>Attitude</w:t>
            </w:r>
            <w:r>
              <w:rPr>
                <w:lang w:eastAsia="en-GB"/>
              </w:rPr>
              <w:br/>
              <w:t>• In qualitative responses, students reported an increased awareness of their role in family violence.</w:t>
            </w:r>
            <w:r>
              <w:rPr>
                <w:lang w:eastAsia="en-GB"/>
              </w:rPr>
              <w:br/>
              <w:t>• Students reported an increased awareness of the importance of communication and cooperation with other healthcare professionals and students described how they would work with other professions and how to support each other.</w:t>
            </w:r>
            <w:r>
              <w:rPr>
                <w:lang w:eastAsia="en-GB"/>
              </w:rPr>
              <w:br/>
              <w:t>Effectiveness of intervention</w:t>
            </w:r>
            <w:r>
              <w:rPr>
                <w:lang w:eastAsia="en-GB"/>
              </w:rPr>
              <w:br/>
              <w:t xml:space="preserve">• Students reported the small group work was effective at simulating interprofessional exchange, mean score 3.8 on a scale of 1-5 with 5 </w:t>
            </w:r>
            <w:r>
              <w:rPr>
                <w:lang w:eastAsia="en-GB"/>
              </w:rPr>
              <w:lastRenderedPageBreak/>
              <w:t>being strongly agree.</w:t>
            </w:r>
            <w:r>
              <w:rPr>
                <w:lang w:eastAsia="en-GB"/>
              </w:rPr>
              <w:br/>
              <w:t>• In the year 3 post-test students reported they had achieved the learning objectives,</w:t>
            </w:r>
          </w:p>
        </w:tc>
      </w:tr>
      <w:tr w:rsidR="00B273CD" w14:paraId="1D45A87D" w14:textId="77777777">
        <w:trPr>
          <w:trHeight w:val="4200"/>
        </w:trPr>
        <w:tc>
          <w:tcPr>
            <w:tcW w:w="1686" w:type="dxa"/>
            <w:tcBorders>
              <w:left w:val="single" w:sz="4" w:space="0" w:color="D9D9D9"/>
              <w:bottom w:val="single" w:sz="4" w:space="0" w:color="D9D9D9"/>
              <w:right w:val="single" w:sz="4" w:space="0" w:color="D9D9D9"/>
            </w:tcBorders>
          </w:tcPr>
          <w:p w14:paraId="1D45A878" w14:textId="77777777" w:rsidR="00B273CD" w:rsidRDefault="00590B3D">
            <w:pPr>
              <w:rPr>
                <w:lang w:eastAsia="en-GB"/>
              </w:rPr>
            </w:pPr>
            <w:r>
              <w:rPr>
                <w:lang w:eastAsia="en-GB"/>
              </w:rPr>
              <w:lastRenderedPageBreak/>
              <w:t>McAndrew M et al., 2014, USA</w:t>
            </w:r>
          </w:p>
        </w:tc>
        <w:tc>
          <w:tcPr>
            <w:tcW w:w="1969" w:type="dxa"/>
            <w:tcBorders>
              <w:bottom w:val="single" w:sz="4" w:space="0" w:color="D9D9D9"/>
              <w:right w:val="single" w:sz="4" w:space="0" w:color="D9D9D9"/>
            </w:tcBorders>
          </w:tcPr>
          <w:p w14:paraId="1D45A879" w14:textId="77777777" w:rsidR="00B273CD" w:rsidRDefault="00590B3D">
            <w:pPr>
              <w:rPr>
                <w:lang w:eastAsia="en-GB"/>
              </w:rPr>
            </w:pPr>
            <w:r>
              <w:rPr>
                <w:lang w:eastAsia="en-GB"/>
              </w:rPr>
              <w:t>Online 1 hour program divided into 10 modules. PREMIS tool (Physician Readiness to Manage Intimate Partner Violence Survey) used to measure change.</w:t>
            </w:r>
          </w:p>
        </w:tc>
        <w:tc>
          <w:tcPr>
            <w:tcW w:w="2190" w:type="dxa"/>
            <w:tcBorders>
              <w:bottom w:val="single" w:sz="4" w:space="0" w:color="D9D9D9"/>
              <w:right w:val="single" w:sz="4" w:space="0" w:color="D9D9D9"/>
            </w:tcBorders>
          </w:tcPr>
          <w:p w14:paraId="1D45A87A" w14:textId="77777777" w:rsidR="00B273CD" w:rsidRDefault="00590B3D">
            <w:pPr>
              <w:rPr>
                <w:lang w:eastAsia="en-GB"/>
              </w:rPr>
            </w:pPr>
            <w:r>
              <w:rPr>
                <w:lang w:eastAsia="en-GB"/>
              </w:rPr>
              <w:t>• RADAR which stands for: routinely screen, ask direct questions, document findings, assess patient safety, review options and refer.</w:t>
            </w:r>
            <w:r>
              <w:rPr>
                <w:lang w:eastAsia="en-GB"/>
              </w:rPr>
              <w:br/>
              <w:t>• Types of abuse, common injury patterns and behaviours of victims, elder abuse, barriers to reporting by health professionals, how to conduct patient interviews and document injuries, referral sources and reporting statutes.</w:t>
            </w:r>
            <w:r>
              <w:rPr>
                <w:lang w:eastAsia="en-GB"/>
              </w:rPr>
              <w:br/>
              <w:t>• Cultural competency and legal issues regarding recent immigrants.</w:t>
            </w:r>
          </w:p>
        </w:tc>
        <w:tc>
          <w:tcPr>
            <w:tcW w:w="3039" w:type="dxa"/>
            <w:tcBorders>
              <w:bottom w:val="single" w:sz="4" w:space="0" w:color="D9D9D9"/>
              <w:right w:val="single" w:sz="4" w:space="0" w:color="D9D9D9"/>
            </w:tcBorders>
          </w:tcPr>
          <w:p w14:paraId="1D45A87B" w14:textId="77777777" w:rsidR="00B273CD" w:rsidRDefault="00590B3D">
            <w:pPr>
              <w:rPr>
                <w:lang w:eastAsia="en-GB"/>
              </w:rPr>
            </w:pPr>
            <w:r>
              <w:rPr>
                <w:lang w:eastAsia="en-GB"/>
              </w:rPr>
              <w:t> </w:t>
            </w:r>
          </w:p>
        </w:tc>
        <w:tc>
          <w:tcPr>
            <w:tcW w:w="4011" w:type="dxa"/>
            <w:tcBorders>
              <w:bottom w:val="single" w:sz="4" w:space="0" w:color="D9D9D9"/>
              <w:right w:val="single" w:sz="4" w:space="0" w:color="D9D9D9"/>
            </w:tcBorders>
          </w:tcPr>
          <w:p w14:paraId="1D45A87C" w14:textId="77777777" w:rsidR="00B273CD" w:rsidRDefault="00590B3D">
            <w:pPr>
              <w:rPr>
                <w:lang w:eastAsia="en-GB"/>
              </w:rPr>
            </w:pPr>
            <w:r>
              <w:rPr>
                <w:lang w:eastAsia="en-GB"/>
              </w:rPr>
              <w:t>Knowledge</w:t>
            </w:r>
            <w:r>
              <w:rPr>
                <w:lang w:eastAsia="en-GB"/>
              </w:rPr>
              <w:br/>
              <w:t>• Significant increase in perceived (3.23 to 4.33 p=0.001 on a scale of 1-7) and actual knowledge.</w:t>
            </w:r>
            <w:r>
              <w:rPr>
                <w:lang w:eastAsia="en-GB"/>
              </w:rPr>
              <w:br/>
              <w:t>• Four of the knowledge questions on domestic violence were answered correctly by less than 50% of participants (for actual knowledge). Including victim understanding.</w:t>
            </w:r>
            <w:r>
              <w:rPr>
                <w:lang w:eastAsia="en-GB"/>
              </w:rPr>
              <w:br/>
              <w:t>Attitudes</w:t>
            </w:r>
            <w:r>
              <w:rPr>
                <w:lang w:eastAsia="en-GB"/>
              </w:rPr>
              <w:br/>
              <w:t>• Statistically significant decrease in perceptions of constraints in managing victims of IPV.</w:t>
            </w:r>
            <w:r>
              <w:rPr>
                <w:lang w:eastAsia="en-GB"/>
              </w:rPr>
              <w:br/>
              <w:t>• Significant increase in perceived preparation from 3.25 to 4.12 p=0.007 based on a 1-7 scale with 7 increasing preparedness up the scale.</w:t>
            </w:r>
            <w:r>
              <w:rPr>
                <w:lang w:eastAsia="en-GB"/>
              </w:rPr>
              <w:br/>
              <w:t>• Statistically signficant increase in self-efficiacy but this demonstrated low reliability for the composite scale.</w:t>
            </w:r>
          </w:p>
        </w:tc>
      </w:tr>
      <w:tr w:rsidR="00B273CD" w14:paraId="1D45A883" w14:textId="77777777">
        <w:trPr>
          <w:trHeight w:val="8190"/>
        </w:trPr>
        <w:tc>
          <w:tcPr>
            <w:tcW w:w="1686" w:type="dxa"/>
            <w:tcBorders>
              <w:left w:val="single" w:sz="4" w:space="0" w:color="D9D9D9"/>
              <w:bottom w:val="single" w:sz="4" w:space="0" w:color="D9D9D9"/>
              <w:right w:val="single" w:sz="4" w:space="0" w:color="D9D9D9"/>
            </w:tcBorders>
          </w:tcPr>
          <w:p w14:paraId="1D45A87E" w14:textId="77777777" w:rsidR="00B273CD" w:rsidRDefault="00590B3D">
            <w:pPr>
              <w:rPr>
                <w:lang w:eastAsia="en-GB"/>
              </w:rPr>
            </w:pPr>
            <w:r>
              <w:rPr>
                <w:lang w:eastAsia="en-GB"/>
              </w:rPr>
              <w:lastRenderedPageBreak/>
              <w:t>Raja S et al., 2015, USA</w:t>
            </w:r>
          </w:p>
        </w:tc>
        <w:tc>
          <w:tcPr>
            <w:tcW w:w="1969" w:type="dxa"/>
            <w:tcBorders>
              <w:bottom w:val="single" w:sz="4" w:space="0" w:color="D9D9D9"/>
              <w:right w:val="single" w:sz="4" w:space="0" w:color="D9D9D9"/>
            </w:tcBorders>
          </w:tcPr>
          <w:p w14:paraId="1D45A87F" w14:textId="77777777" w:rsidR="00B273CD" w:rsidRDefault="00590B3D">
            <w:pPr>
              <w:rPr>
                <w:lang w:eastAsia="en-GB"/>
              </w:rPr>
            </w:pPr>
            <w:r>
              <w:rPr>
                <w:lang w:eastAsia="en-GB"/>
              </w:rPr>
              <w:t>The first year was a 1 hour lecture followed by a needs assessment to revise the module for the second year which was 6 hours of interactive sessions over two days. This included patient videos, role play including with standardised patients and charting mock cases.</w:t>
            </w:r>
          </w:p>
        </w:tc>
        <w:tc>
          <w:tcPr>
            <w:tcW w:w="2190" w:type="dxa"/>
            <w:tcBorders>
              <w:bottom w:val="single" w:sz="4" w:space="0" w:color="D9D9D9"/>
              <w:right w:val="single" w:sz="4" w:space="0" w:color="D9D9D9"/>
            </w:tcBorders>
          </w:tcPr>
          <w:p w14:paraId="1D45A880" w14:textId="77777777" w:rsidR="00B273CD" w:rsidRDefault="00590B3D">
            <w:pPr>
              <w:rPr>
                <w:lang w:eastAsia="en-GB"/>
              </w:rPr>
            </w:pPr>
            <w:r>
              <w:rPr>
                <w:lang w:eastAsia="en-GB"/>
              </w:rPr>
              <w:t>• How victims may present in the dental setting,  phrasing screening questions and appropriate reactions.</w:t>
            </w:r>
            <w:r>
              <w:rPr>
                <w:lang w:eastAsia="en-GB"/>
              </w:rPr>
              <w:br/>
              <w:t>• Behavioural techniques to help patients feel more comfortable (tell-show-do, stop signals, empathetic communication, non-verbal indicators of anxiety).</w:t>
            </w:r>
            <w:r>
              <w:rPr>
                <w:lang w:eastAsia="en-GB"/>
              </w:rPr>
              <w:br/>
              <w:t>• Referrals.</w:t>
            </w:r>
            <w:r>
              <w:rPr>
                <w:lang w:eastAsia="en-GB"/>
              </w:rPr>
              <w:br/>
              <w:t>• How students can manage their own trauma within this.</w:t>
            </w:r>
            <w:r>
              <w:rPr>
                <w:lang w:eastAsia="en-GB"/>
              </w:rPr>
              <w:br/>
              <w:t>• Interprofessional collaboration.</w:t>
            </w:r>
          </w:p>
        </w:tc>
        <w:tc>
          <w:tcPr>
            <w:tcW w:w="3039" w:type="dxa"/>
            <w:tcBorders>
              <w:bottom w:val="single" w:sz="4" w:space="0" w:color="D9D9D9"/>
              <w:right w:val="single" w:sz="4" w:space="0" w:color="D9D9D9"/>
            </w:tcBorders>
          </w:tcPr>
          <w:p w14:paraId="1D45A881" w14:textId="77777777" w:rsidR="00B273CD" w:rsidRDefault="00590B3D">
            <w:pPr>
              <w:rPr>
                <w:lang w:eastAsia="en-GB"/>
              </w:rPr>
            </w:pPr>
            <w:r>
              <w:rPr>
                <w:lang w:eastAsia="en-GB"/>
              </w:rPr>
              <w:t> </w:t>
            </w:r>
          </w:p>
        </w:tc>
        <w:tc>
          <w:tcPr>
            <w:tcW w:w="4011" w:type="dxa"/>
            <w:tcBorders>
              <w:bottom w:val="single" w:sz="4" w:space="0" w:color="D9D9D9"/>
              <w:right w:val="single" w:sz="4" w:space="0" w:color="D9D9D9"/>
            </w:tcBorders>
          </w:tcPr>
          <w:p w14:paraId="1D45A882" w14:textId="77777777" w:rsidR="00B273CD" w:rsidRDefault="00590B3D">
            <w:pPr>
              <w:rPr>
                <w:lang w:eastAsia="en-GB"/>
              </w:rPr>
            </w:pPr>
            <w:r>
              <w:rPr>
                <w:lang w:eastAsia="en-GB"/>
              </w:rPr>
              <w:t>Knowledge</w:t>
            </w:r>
            <w:r>
              <w:rPr>
                <w:lang w:eastAsia="en-GB"/>
              </w:rPr>
              <w:br/>
              <w:t>• Significant increase in understanding of how traumatic events are related to health-related coping mechanisms such as, smoking answered correctly by 70%, improving to 86% p&lt;0.01 post-intervention.</w:t>
            </w:r>
            <w:r>
              <w:rPr>
                <w:lang w:eastAsia="en-GB"/>
              </w:rPr>
              <w:br/>
              <w:t>• Significantly increased ability to identify appropriate and specific communication strategies to use when a pt discloses trauma and a significant change in ability to identify statements not consistent with TIC. Such as, correctly answering it is not appropriate to 'encourage the patient to leave the abuser immediately' answered correctly by 52% increasing to 80% p&lt;0.01 post-intervention.</w:t>
            </w:r>
            <w:r>
              <w:rPr>
                <w:lang w:eastAsia="en-GB"/>
              </w:rPr>
              <w:br/>
              <w:t>• Significant change in identifying importance of interprofessional collaboration.</w:t>
            </w:r>
            <w:r>
              <w:rPr>
                <w:lang w:eastAsia="en-GB"/>
              </w:rPr>
              <w:br/>
              <w:t>• Still unsure when to report DV as not mandated there, remained at 4.0.</w:t>
            </w:r>
            <w:r>
              <w:rPr>
                <w:lang w:eastAsia="en-GB"/>
              </w:rPr>
              <w:br/>
              <w:t>• Students still had questions about how much detail to question at follow up after disclosure</w:t>
            </w:r>
            <w:r>
              <w:rPr>
                <w:lang w:eastAsia="en-GB"/>
              </w:rPr>
              <w:br/>
              <w:t>Confidence</w:t>
            </w:r>
            <w:r>
              <w:rPr>
                <w:lang w:eastAsia="en-GB"/>
              </w:rPr>
              <w:br/>
            </w:r>
            <w:r>
              <w:rPr>
                <w:lang w:eastAsia="en-GB"/>
              </w:rPr>
              <w:lastRenderedPageBreak/>
              <w:t>• Significant increase in confidence to communicate sensitively with traumatised patients.</w:t>
            </w:r>
            <w:r>
              <w:rPr>
                <w:lang w:eastAsia="en-GB"/>
              </w:rPr>
              <w:br/>
              <w:t>• Significant increase in 'felt well trained to treat survivors of traumatic events in practice' (3 to 3.9 p&lt;0.01)</w:t>
            </w:r>
            <w:r>
              <w:rPr>
                <w:lang w:eastAsia="en-GB"/>
              </w:rPr>
              <w:br/>
              <w:t>Suggestions to improve intervention</w:t>
            </w:r>
            <w:r>
              <w:rPr>
                <w:lang w:eastAsia="en-GB"/>
              </w:rPr>
              <w:br/>
              <w:t>• Students suggested more role-play, work with standardised patients, a Q&amp;A session with a survivor panel, an online tutorial with video, more practice documenting real-scenarios and requests for follow up sessions oncethey have had more clinical experience. Role=play being the most common suggestion by 51% of students.</w:t>
            </w:r>
          </w:p>
        </w:tc>
      </w:tr>
      <w:tr w:rsidR="00B273CD" w14:paraId="1D45A889" w14:textId="77777777">
        <w:trPr>
          <w:trHeight w:val="6600"/>
        </w:trPr>
        <w:tc>
          <w:tcPr>
            <w:tcW w:w="1686" w:type="dxa"/>
            <w:tcBorders>
              <w:left w:val="single" w:sz="4" w:space="0" w:color="D9D9D9"/>
              <w:bottom w:val="single" w:sz="4" w:space="0" w:color="D9D9D9"/>
              <w:right w:val="single" w:sz="4" w:space="0" w:color="D9D9D9"/>
            </w:tcBorders>
          </w:tcPr>
          <w:p w14:paraId="1D45A884" w14:textId="77777777" w:rsidR="00B273CD" w:rsidRDefault="00590B3D">
            <w:pPr>
              <w:rPr>
                <w:lang w:eastAsia="en-GB"/>
              </w:rPr>
            </w:pPr>
            <w:r>
              <w:rPr>
                <w:lang w:eastAsia="en-GB"/>
              </w:rPr>
              <w:lastRenderedPageBreak/>
              <w:t>Van Dam B.A.F.M, et al., 2015, Netherlands</w:t>
            </w:r>
          </w:p>
        </w:tc>
        <w:tc>
          <w:tcPr>
            <w:tcW w:w="1969" w:type="dxa"/>
            <w:tcBorders>
              <w:bottom w:val="single" w:sz="4" w:space="0" w:color="D9D9D9"/>
              <w:right w:val="single" w:sz="4" w:space="0" w:color="D9D9D9"/>
            </w:tcBorders>
          </w:tcPr>
          <w:p w14:paraId="1D45A885" w14:textId="77777777" w:rsidR="00B273CD" w:rsidRDefault="00590B3D">
            <w:pPr>
              <w:rPr>
                <w:lang w:eastAsia="en-GB"/>
              </w:rPr>
            </w:pPr>
            <w:r>
              <w:rPr>
                <w:lang w:eastAsia="en-GB"/>
              </w:rPr>
              <w:t xml:space="preserve">Survey to dentists to identify their understanding of the mandatory reporting code that was implemented in 2013 and whether they had used this and their views. The reporting code is mandatory fo rhealth professionals to adhere to when they suspect child abuse or domestic violence.There is an information brochure and 5 step action plan to help guide dentists in how to use this. The Royal Dutch Association also </w:t>
            </w:r>
            <w:r>
              <w:rPr>
                <w:lang w:eastAsia="en-GB"/>
              </w:rPr>
              <w:lastRenderedPageBreak/>
              <w:t>created an e-learning module on domestic violence.</w:t>
            </w:r>
          </w:p>
        </w:tc>
        <w:tc>
          <w:tcPr>
            <w:tcW w:w="2190" w:type="dxa"/>
            <w:tcBorders>
              <w:bottom w:val="single" w:sz="4" w:space="0" w:color="D9D9D9"/>
              <w:right w:val="single" w:sz="4" w:space="0" w:color="D9D9D9"/>
            </w:tcBorders>
          </w:tcPr>
          <w:p w14:paraId="1D45A886" w14:textId="77777777" w:rsidR="00B273CD" w:rsidRDefault="00590B3D">
            <w:pPr>
              <w:rPr>
                <w:lang w:eastAsia="en-GB"/>
              </w:rPr>
            </w:pPr>
            <w:r>
              <w:rPr>
                <w:lang w:eastAsia="en-GB"/>
              </w:rPr>
              <w:lastRenderedPageBreak/>
              <w:t>Information brochure explains the different forms of domestic violence, new legislation, judicial aspects, how to ask for advice and how to report abuse.</w:t>
            </w:r>
          </w:p>
        </w:tc>
        <w:tc>
          <w:tcPr>
            <w:tcW w:w="3039" w:type="dxa"/>
            <w:tcBorders>
              <w:bottom w:val="single" w:sz="4" w:space="0" w:color="D9D9D9"/>
              <w:right w:val="single" w:sz="4" w:space="0" w:color="D9D9D9"/>
            </w:tcBorders>
          </w:tcPr>
          <w:p w14:paraId="1D45A887" w14:textId="77777777" w:rsidR="00B273CD" w:rsidRDefault="00590B3D">
            <w:pPr>
              <w:rPr>
                <w:lang w:eastAsia="en-GB"/>
              </w:rPr>
            </w:pPr>
            <w:r>
              <w:rPr>
                <w:lang w:eastAsia="en-GB"/>
              </w:rPr>
              <w:t>The code has 5 steps professionals should follow if they suspect DV or CA: Identifying the signs,  Peer consultation and with an injury specialist or advice and reporting centre for DV or CA if necessary, interview with the client, assesing violence and child abuse, reaching a decision and arranging assistance of reporting.</w:t>
            </w:r>
          </w:p>
        </w:tc>
        <w:tc>
          <w:tcPr>
            <w:tcW w:w="4011" w:type="dxa"/>
            <w:tcBorders>
              <w:bottom w:val="single" w:sz="4" w:space="0" w:color="D9D9D9"/>
              <w:right w:val="single" w:sz="4" w:space="0" w:color="D9D9D9"/>
            </w:tcBorders>
          </w:tcPr>
          <w:p w14:paraId="1D45A888" w14:textId="77777777" w:rsidR="00B273CD" w:rsidRDefault="00590B3D">
            <w:pPr>
              <w:rPr>
                <w:lang w:eastAsia="en-GB"/>
              </w:rPr>
            </w:pPr>
            <w:r>
              <w:rPr>
                <w:lang w:eastAsia="en-GB"/>
              </w:rPr>
              <w:t>Awareness of the RCD</w:t>
            </w:r>
            <w:r>
              <w:rPr>
                <w:lang w:eastAsia="en-GB"/>
              </w:rPr>
              <w:br/>
              <w:t>• 82% aware is compulsory to adhere to a reporting code, 54% in favor of this and 11 % are negative about the obligation to use a reporting code.</w:t>
            </w:r>
            <w:r>
              <w:rPr>
                <w:lang w:eastAsia="en-GB"/>
              </w:rPr>
              <w:br/>
              <w:t>Acceptability</w:t>
            </w:r>
            <w:r>
              <w:rPr>
                <w:lang w:eastAsia="en-GB"/>
              </w:rPr>
              <w:br/>
              <w:t>• Of the 11% with a negative opinion, (69 % stated  they regard themselves not adequately equipped to judge on DV and CA.</w:t>
            </w:r>
            <w:r>
              <w:rPr>
                <w:lang w:eastAsia="en-GB"/>
              </w:rPr>
              <w:br/>
              <w:t>• 61% want to complete the e-learning module</w:t>
            </w:r>
            <w:r>
              <w:rPr>
                <w:lang w:eastAsia="en-GB"/>
              </w:rPr>
              <w:br/>
              <w:t>Implementation of the RCD</w:t>
            </w:r>
            <w:r>
              <w:rPr>
                <w:lang w:eastAsia="en-GB"/>
              </w:rPr>
              <w:br/>
              <w:t>• 51% of GDPs had implemented the RCD in practice and they were more likely to have read the brochure/ action plan and feel sufficiently informed.</w:t>
            </w:r>
            <w:r>
              <w:rPr>
                <w:lang w:eastAsia="en-GB"/>
              </w:rPr>
              <w:br/>
              <w:t>• The reasons for not complying were inexperience or insecurities.</w:t>
            </w:r>
            <w:r>
              <w:rPr>
                <w:lang w:eastAsia="en-GB"/>
              </w:rPr>
              <w:br/>
              <w:t>Taking action</w:t>
            </w:r>
            <w:r>
              <w:rPr>
                <w:lang w:eastAsia="en-GB"/>
              </w:rPr>
              <w:br/>
              <w:t>• 40% did not think the action plan was clear enough for the signals and 5 steps, 60% did.</w:t>
            </w:r>
            <w:r>
              <w:rPr>
                <w:lang w:eastAsia="en-GB"/>
              </w:rPr>
              <w:br/>
              <w:t>• Only 30% stated the RCD had influenced their alertness in way they take action, 47% neutral, 23% influence was limited.</w:t>
            </w:r>
            <w:r>
              <w:rPr>
                <w:lang w:eastAsia="en-GB"/>
              </w:rPr>
              <w:br/>
              <w:t xml:space="preserve">• Those who had suspicions of DV or </w:t>
            </w:r>
            <w:r>
              <w:rPr>
                <w:lang w:eastAsia="en-GB"/>
              </w:rPr>
              <w:lastRenderedPageBreak/>
              <w:t>CA in the last 12 months were more likely to have implemented the RCD and recorded suspicions and/or took action.</w:t>
            </w:r>
          </w:p>
        </w:tc>
      </w:tr>
    </w:tbl>
    <w:p/>
    <w:sectPr w:rsidR="00C442D4">
      <w:footerReference w:type="default" r:id="rId11"/>
      <w:footerReference w:type="first" r:id="rId12"/>
      <w:pgSz w:w="16838" w:h="11906" w:orient="landscape"/>
      <w:pgMar w:top="1701" w:right="1134" w:bottom="1134"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DBC12" w14:textId="77777777" w:rsidR="00074227" w:rsidRDefault="00074227">
      <w:r>
        <w:separator/>
      </w:r>
    </w:p>
  </w:endnote>
  <w:endnote w:type="continuationSeparator" w:id="0">
    <w:p w14:paraId="0A124734" w14:textId="77777777" w:rsidR="00074227" w:rsidRDefault="00074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8584157"/>
      <w:docPartObj>
        <w:docPartGallery w:val="Page Numbers (Bottom of Page)"/>
        <w:docPartUnique/>
      </w:docPartObj>
    </w:sdtPr>
    <w:sdtEndPr/>
    <w:sdtContent>
      <w:p w14:paraId="0233C2B5" w14:textId="77777777" w:rsidR="00C442D4" w:rsidRDefault="00074227">
        <w:pPr>
          <w:pStyle w:val="Footer"/>
          <w:jc w:val="right"/>
        </w:pPr>
        <w:r>
          <w:fldChar w:fldCharType="begin"/>
        </w:r>
        <w:r>
          <w:instrText xml:space="preserve"> PAGE </w:instrText>
        </w:r>
        <w:r>
          <w:fldChar w:fldCharType="separate"/>
        </w:r>
        <w:r>
          <w:t>63</w:t>
        </w:r>
        <w:r>
          <w:fldChar w:fldCharType="end"/>
        </w:r>
      </w:p>
      <w:p w14:paraId="0233C2B6" w14:textId="77777777" w:rsidR="00C442D4" w:rsidRDefault="00074227">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3C2B7" w14:textId="77777777" w:rsidR="00C442D4" w:rsidRDefault="00C442D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8EF7D" w14:textId="77777777" w:rsidR="00074227" w:rsidRDefault="00074227">
      <w:r>
        <w:separator/>
      </w:r>
    </w:p>
  </w:footnote>
  <w:footnote w:type="continuationSeparator" w:id="0">
    <w:p w14:paraId="1225DDE0" w14:textId="77777777" w:rsidR="00074227" w:rsidRDefault="000742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E67B9"/>
    <w:multiLevelType w:val="multilevel"/>
    <w:tmpl w:val="3392DBCA"/>
    <w:lvl w:ilvl="0">
      <w:start w:val="1"/>
      <w:numFmt w:val="decimal"/>
      <w:lvlText w:val="(%1)"/>
      <w:lvlJc w:val="left"/>
      <w:pPr>
        <w:tabs>
          <w:tab w:val="num" w:pos="0"/>
        </w:tabs>
        <w:ind w:left="108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50371F4D"/>
    <w:multiLevelType w:val="multilevel"/>
    <w:tmpl w:val="EAE6FC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78369259">
    <w:abstractNumId w:val="0"/>
  </w:num>
  <w:num w:numId="2" w16cid:durableId="408845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2s0ssd29frd22eevf2x0pwtp2fpr95dtfps&quot;&gt;Gladis_FYP_REFS&lt;record-ids&gt;&lt;item&gt;64&lt;/item&gt;&lt;item&gt;67&lt;/item&gt;&lt;item&gt;68&lt;/item&gt;&lt;item&gt;69&lt;/item&gt;&lt;item&gt;73&lt;/item&gt;&lt;item&gt;74&lt;/item&gt;&lt;item&gt;75&lt;/item&gt;&lt;item&gt;76&lt;/item&gt;&lt;item&gt;77&lt;/item&gt;&lt;item&gt;79&lt;/item&gt;&lt;item&gt;80&lt;/item&gt;&lt;item&gt;81&lt;/item&gt;&lt;item&gt;85&lt;/item&gt;&lt;item&gt;87&lt;/item&gt;&lt;item&gt;88&lt;/item&gt;&lt;item&gt;89&lt;/item&gt;&lt;item&gt;90&lt;/item&gt;&lt;item&gt;91&lt;/item&gt;&lt;item&gt;96&lt;/item&gt;&lt;item&gt;97&lt;/item&gt;&lt;item&gt;98&lt;/item&gt;&lt;item&gt;99&lt;/item&gt;&lt;item&gt;101&lt;/item&gt;&lt;item&gt;103&lt;/item&gt;&lt;item&gt;104&lt;/item&gt;&lt;item&gt;108&lt;/item&gt;&lt;item&gt;109&lt;/item&gt;&lt;item&gt;111&lt;/item&gt;&lt;item&gt;113&lt;/item&gt;&lt;item&gt;116&lt;/item&gt;&lt;item&gt;118&lt;/item&gt;&lt;item&gt;119&lt;/item&gt;&lt;item&gt;120&lt;/item&gt;&lt;item&gt;121&lt;/item&gt;&lt;item&gt;122&lt;/item&gt;&lt;item&gt;123&lt;/item&gt;&lt;item&gt;124&lt;/item&gt;&lt;item&gt;126&lt;/item&gt;&lt;item&gt;127&lt;/item&gt;&lt;/record-ids&gt;&lt;/item&gt;&lt;/Libraries&gt;"/>
  </w:docVars>
  <w:rsids>
    <w:rsidRoot w:val="00C442D4"/>
    <w:rsid w:val="00074227"/>
    <w:rsid w:val="00C442D4"/>
    <w:rsid w:val="00CB75AF"/>
    <w:rsid w:val="00FE427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3C1CF"/>
  <w15:docId w15:val="{4608140C-D75E-4C79-B3C6-AF75E69B3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B5A"/>
  </w:style>
  <w:style w:type="paragraph" w:styleId="Heading1">
    <w:name w:val="heading 1"/>
    <w:basedOn w:val="Normal"/>
    <w:next w:val="Normal"/>
    <w:link w:val="Heading1Char"/>
    <w:uiPriority w:val="9"/>
    <w:qFormat/>
    <w:rsid w:val="00AE2B9A"/>
    <w:pPr>
      <w:outlineLvl w:val="0"/>
    </w:pPr>
    <w:rPr>
      <w:b/>
      <w:bCs/>
      <w:sz w:val="36"/>
      <w:szCs w:val="36"/>
    </w:rPr>
  </w:style>
  <w:style w:type="paragraph" w:styleId="Heading2">
    <w:name w:val="heading 2"/>
    <w:basedOn w:val="Normal"/>
    <w:next w:val="Normal"/>
    <w:link w:val="Heading2Char"/>
    <w:uiPriority w:val="9"/>
    <w:unhideWhenUsed/>
    <w:qFormat/>
    <w:rsid w:val="00AE2B9A"/>
    <w:pPr>
      <w:outlineLvl w:val="1"/>
    </w:pPr>
    <w:rPr>
      <w:b/>
      <w:bCs/>
      <w:sz w:val="28"/>
      <w:szCs w:val="28"/>
    </w:rPr>
  </w:style>
  <w:style w:type="paragraph" w:styleId="Heading3">
    <w:name w:val="heading 3"/>
    <w:basedOn w:val="Normal"/>
    <w:next w:val="Normal"/>
    <w:link w:val="Heading3Char"/>
    <w:uiPriority w:val="9"/>
    <w:unhideWhenUsed/>
    <w:qFormat/>
    <w:rsid w:val="00AE2B9A"/>
    <w:pPr>
      <w:outlineLvl w:val="2"/>
    </w:pPr>
    <w:rPr>
      <w:b/>
      <w:bCs/>
    </w:rPr>
  </w:style>
  <w:style w:type="paragraph" w:styleId="Heading4">
    <w:name w:val="heading 4"/>
    <w:basedOn w:val="Normal"/>
    <w:next w:val="Normal"/>
    <w:link w:val="Heading4Char"/>
    <w:uiPriority w:val="9"/>
    <w:unhideWhenUsed/>
    <w:qFormat/>
    <w:rsid w:val="00AE2B9A"/>
    <w:pPr>
      <w:outlineLvl w:val="3"/>
    </w:pPr>
    <w:rPr>
      <w:i/>
      <w:iCs/>
    </w:rPr>
  </w:style>
  <w:style w:type="paragraph" w:styleId="Heading5">
    <w:name w:val="heading 5"/>
    <w:basedOn w:val="Normal"/>
    <w:next w:val="Normal"/>
    <w:link w:val="Heading5Char"/>
    <w:uiPriority w:val="9"/>
    <w:semiHidden/>
    <w:unhideWhenUsed/>
    <w:qFormat/>
    <w:rsid w:val="00AE2B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2B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B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B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B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E2B9A"/>
    <w:rPr>
      <w:b/>
      <w:bCs/>
      <w:sz w:val="36"/>
      <w:szCs w:val="36"/>
    </w:rPr>
  </w:style>
  <w:style w:type="character" w:customStyle="1" w:styleId="Heading2Char">
    <w:name w:val="Heading 2 Char"/>
    <w:basedOn w:val="DefaultParagraphFont"/>
    <w:link w:val="Heading2"/>
    <w:uiPriority w:val="9"/>
    <w:qFormat/>
    <w:rsid w:val="00AE2B9A"/>
    <w:rPr>
      <w:b/>
      <w:bCs/>
      <w:sz w:val="28"/>
      <w:szCs w:val="28"/>
    </w:rPr>
  </w:style>
  <w:style w:type="character" w:customStyle="1" w:styleId="Heading3Char">
    <w:name w:val="Heading 3 Char"/>
    <w:basedOn w:val="DefaultParagraphFont"/>
    <w:link w:val="Heading3"/>
    <w:uiPriority w:val="9"/>
    <w:qFormat/>
    <w:rsid w:val="00AE2B9A"/>
    <w:rPr>
      <w:b/>
      <w:bCs/>
    </w:rPr>
  </w:style>
  <w:style w:type="character" w:customStyle="1" w:styleId="Heading4Char">
    <w:name w:val="Heading 4 Char"/>
    <w:basedOn w:val="DefaultParagraphFont"/>
    <w:link w:val="Heading4"/>
    <w:uiPriority w:val="9"/>
    <w:qFormat/>
    <w:rsid w:val="00AE2B9A"/>
    <w:rPr>
      <w:i/>
      <w:iCs/>
    </w:rPr>
  </w:style>
  <w:style w:type="character" w:customStyle="1" w:styleId="Heading5Char">
    <w:name w:val="Heading 5 Char"/>
    <w:basedOn w:val="DefaultParagraphFont"/>
    <w:link w:val="Heading5"/>
    <w:uiPriority w:val="9"/>
    <w:semiHidden/>
    <w:qFormat/>
    <w:rsid w:val="00AE2B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AE2B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E2B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E2B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E2B9A"/>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AE2B9A"/>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AE2B9A"/>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AE2B9A"/>
    <w:rPr>
      <w:i/>
      <w:iCs/>
      <w:color w:val="404040" w:themeColor="text1" w:themeTint="BF"/>
    </w:rPr>
  </w:style>
  <w:style w:type="character" w:styleId="IntenseEmphasis">
    <w:name w:val="Intense Emphasis"/>
    <w:basedOn w:val="DefaultParagraphFont"/>
    <w:uiPriority w:val="21"/>
    <w:qFormat/>
    <w:rsid w:val="00AE2B9A"/>
    <w:rPr>
      <w:i/>
      <w:iCs/>
      <w:color w:val="0F4761" w:themeColor="accent1" w:themeShade="BF"/>
    </w:rPr>
  </w:style>
  <w:style w:type="character" w:customStyle="1" w:styleId="IntenseQuoteChar">
    <w:name w:val="Intense Quote Char"/>
    <w:basedOn w:val="DefaultParagraphFont"/>
    <w:link w:val="IntenseQuote"/>
    <w:uiPriority w:val="30"/>
    <w:qFormat/>
    <w:rsid w:val="00AE2B9A"/>
    <w:rPr>
      <w:i/>
      <w:iCs/>
      <w:color w:val="0F4761" w:themeColor="accent1" w:themeShade="BF"/>
    </w:rPr>
  </w:style>
  <w:style w:type="character" w:styleId="IntenseReference">
    <w:name w:val="Intense Reference"/>
    <w:basedOn w:val="DefaultParagraphFont"/>
    <w:uiPriority w:val="32"/>
    <w:qFormat/>
    <w:rsid w:val="00AE2B9A"/>
    <w:rPr>
      <w:b/>
      <w:bCs/>
      <w:smallCaps/>
      <w:color w:val="0F4761" w:themeColor="accent1" w:themeShade="BF"/>
      <w:spacing w:val="5"/>
    </w:rPr>
  </w:style>
  <w:style w:type="character" w:customStyle="1" w:styleId="HeaderChar">
    <w:name w:val="Header Char"/>
    <w:basedOn w:val="DefaultParagraphFont"/>
    <w:link w:val="Header"/>
    <w:uiPriority w:val="99"/>
    <w:qFormat/>
    <w:rsid w:val="00AE2B9A"/>
  </w:style>
  <w:style w:type="character" w:customStyle="1" w:styleId="FooterChar">
    <w:name w:val="Footer Char"/>
    <w:basedOn w:val="DefaultParagraphFont"/>
    <w:link w:val="Footer"/>
    <w:uiPriority w:val="99"/>
    <w:qFormat/>
    <w:rsid w:val="00AE2B9A"/>
  </w:style>
  <w:style w:type="character" w:styleId="Hyperlink">
    <w:name w:val="Hyperlink"/>
    <w:basedOn w:val="DefaultParagraphFont"/>
    <w:uiPriority w:val="99"/>
    <w:unhideWhenUsed/>
    <w:rsid w:val="00AE2B9A"/>
    <w:rPr>
      <w:color w:val="467886" w:themeColor="hyperlink"/>
      <w:u w:val="single"/>
    </w:rPr>
  </w:style>
  <w:style w:type="character" w:styleId="UnresolvedMention">
    <w:name w:val="Unresolved Mention"/>
    <w:basedOn w:val="DefaultParagraphFont"/>
    <w:uiPriority w:val="99"/>
    <w:semiHidden/>
    <w:unhideWhenUsed/>
    <w:qFormat/>
    <w:rsid w:val="00AE2B9A"/>
    <w:rPr>
      <w:color w:val="605E5C"/>
      <w:shd w:val="clear" w:color="auto" w:fill="E1DFDD"/>
    </w:rPr>
  </w:style>
  <w:style w:type="character" w:styleId="FollowedHyperlink">
    <w:name w:val="FollowedHyperlink"/>
    <w:basedOn w:val="DefaultParagraphFont"/>
    <w:uiPriority w:val="99"/>
    <w:semiHidden/>
    <w:unhideWhenUsed/>
    <w:rsid w:val="00AE2B9A"/>
    <w:rPr>
      <w:color w:val="96607D" w:themeColor="followedHyperlink"/>
      <w:u w:val="single"/>
    </w:rPr>
  </w:style>
  <w:style w:type="character" w:styleId="CommentReference">
    <w:name w:val="annotation reference"/>
    <w:basedOn w:val="DefaultParagraphFont"/>
    <w:uiPriority w:val="99"/>
    <w:semiHidden/>
    <w:unhideWhenUsed/>
    <w:qFormat/>
    <w:rsid w:val="00AE2B9A"/>
    <w:rPr>
      <w:sz w:val="16"/>
      <w:szCs w:val="16"/>
    </w:rPr>
  </w:style>
  <w:style w:type="character" w:customStyle="1" w:styleId="CommentTextChar">
    <w:name w:val="Comment Text Char"/>
    <w:basedOn w:val="DefaultParagraphFont"/>
    <w:link w:val="CommentText"/>
    <w:uiPriority w:val="99"/>
    <w:qFormat/>
    <w:rsid w:val="00AE2B9A"/>
    <w:rPr>
      <w:rFonts w:eastAsiaTheme="majorEastAsia" w:cs="Arial"/>
      <w:color w:val="000000" w:themeColor="text1"/>
      <w:kern w:val="0"/>
      <w:sz w:val="20"/>
      <w:szCs w:val="20"/>
      <w:lang w:eastAsia="en-GB"/>
      <w14:ligatures w14:val="none"/>
    </w:rPr>
  </w:style>
  <w:style w:type="character" w:customStyle="1" w:styleId="CommentSubjectChar">
    <w:name w:val="Comment Subject Char"/>
    <w:basedOn w:val="CommentTextChar"/>
    <w:link w:val="CommentSubject"/>
    <w:uiPriority w:val="99"/>
    <w:semiHidden/>
    <w:qFormat/>
    <w:rsid w:val="00AE2B9A"/>
    <w:rPr>
      <w:rFonts w:eastAsiaTheme="majorEastAsia" w:cs="Arial"/>
      <w:b/>
      <w:bCs/>
      <w:color w:val="000000" w:themeColor="text1"/>
      <w:kern w:val="0"/>
      <w:sz w:val="20"/>
      <w:szCs w:val="20"/>
      <w:lang w:eastAsia="en-GB"/>
      <w14:ligatures w14:val="none"/>
    </w:rPr>
  </w:style>
  <w:style w:type="character" w:customStyle="1" w:styleId="EndNoteBibliographyChar">
    <w:name w:val="EndNote Bibliography Char"/>
    <w:basedOn w:val="DefaultParagraphFont"/>
    <w:link w:val="EndNoteBibliography"/>
    <w:qFormat/>
    <w:rsid w:val="00AE2B9A"/>
    <w:rPr>
      <w:rFonts w:ascii="Aptos" w:hAnsi="Aptos"/>
      <w:lang w:val="en-US"/>
    </w:rPr>
  </w:style>
  <w:style w:type="character" w:customStyle="1" w:styleId="EndNoteBibliographyTitleChar">
    <w:name w:val="EndNote Bibliography Title Char"/>
    <w:basedOn w:val="DefaultParagraphFont"/>
    <w:link w:val="EndNoteBibliographyTitle"/>
    <w:qFormat/>
    <w:rsid w:val="00AE2B9A"/>
    <w:rPr>
      <w:rFonts w:ascii="Aptos" w:hAnsi="Aptos"/>
      <w:lang w:val="en-US"/>
    </w:rPr>
  </w:style>
  <w:style w:type="character" w:customStyle="1" w:styleId="eop">
    <w:name w:val="eop"/>
    <w:basedOn w:val="DefaultParagraphFont"/>
    <w:qFormat/>
    <w:rsid w:val="00AE2B9A"/>
  </w:style>
  <w:style w:type="character" w:customStyle="1" w:styleId="ListParagraphChar">
    <w:name w:val="List Paragraph Char"/>
    <w:basedOn w:val="DefaultParagraphFont"/>
    <w:link w:val="ListParagraph"/>
    <w:uiPriority w:val="34"/>
    <w:qFormat/>
    <w:rsid w:val="00AE2B9A"/>
  </w:style>
  <w:style w:type="character" w:styleId="Mention">
    <w:name w:val="Mention"/>
    <w:basedOn w:val="DefaultParagraphFont"/>
    <w:uiPriority w:val="99"/>
    <w:unhideWhenUsed/>
    <w:qFormat/>
    <w:rsid w:val="00AE2B9A"/>
    <w:rPr>
      <w:color w:val="2B579A"/>
      <w:shd w:val="clear" w:color="auto" w:fill="E1DFDD"/>
    </w:rPr>
  </w:style>
  <w:style w:type="character" w:customStyle="1" w:styleId="normaltextrun">
    <w:name w:val="normaltextrun"/>
    <w:basedOn w:val="DefaultParagraphFont"/>
    <w:qFormat/>
    <w:rsid w:val="00AE2B9A"/>
  </w:style>
  <w:style w:type="character" w:customStyle="1" w:styleId="paragraphChar">
    <w:name w:val="paragraph Char"/>
    <w:basedOn w:val="DefaultParagraphFont"/>
    <w:link w:val="paragraph"/>
    <w:qFormat/>
    <w:rsid w:val="00AE2B9A"/>
    <w:rPr>
      <w:rFonts w:ascii="Times New Roman" w:eastAsia="Times New Roman" w:hAnsi="Times New Roman" w:cs="Times New Roman"/>
      <w:color w:val="000000" w:themeColor="text1"/>
      <w:kern w:val="0"/>
      <w:lang w:eastAsia="en-GB"/>
      <w14:ligatures w14:val="none"/>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next w:val="Normal"/>
    <w:uiPriority w:val="35"/>
    <w:unhideWhenUsed/>
    <w:qFormat/>
    <w:rsid w:val="00AE2B9A"/>
    <w:rPr>
      <w:b/>
      <w:bCs/>
      <w:color w:val="000000" w:themeColor="text1"/>
    </w:rPr>
  </w:style>
  <w:style w:type="paragraph" w:customStyle="1" w:styleId="Index">
    <w:name w:val="Index"/>
    <w:basedOn w:val="Normal"/>
    <w:qFormat/>
    <w:pPr>
      <w:suppressLineNumbers/>
    </w:pPr>
    <w:rPr>
      <w:rFonts w:cs="FreeSans"/>
    </w:rPr>
  </w:style>
  <w:style w:type="paragraph" w:styleId="Title">
    <w:name w:val="Title"/>
    <w:basedOn w:val="Normal"/>
    <w:next w:val="Normal"/>
    <w:link w:val="TitleChar"/>
    <w:uiPriority w:val="10"/>
    <w:qFormat/>
    <w:rsid w:val="00AE2B9A"/>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AE2B9A"/>
    <w:pPr>
      <w:spacing w:after="160"/>
    </w:pPr>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B9A"/>
    <w:pPr>
      <w:spacing w:before="160" w:after="160"/>
      <w:jc w:val="center"/>
    </w:pPr>
    <w:rPr>
      <w:i/>
      <w:iCs/>
      <w:color w:val="404040" w:themeColor="text1" w:themeTint="BF"/>
    </w:rPr>
  </w:style>
  <w:style w:type="paragraph" w:styleId="ListParagraph">
    <w:name w:val="List Paragraph"/>
    <w:basedOn w:val="Normal"/>
    <w:link w:val="ListParagraphChar"/>
    <w:uiPriority w:val="34"/>
    <w:qFormat/>
    <w:rsid w:val="00AE2B9A"/>
    <w:pPr>
      <w:ind w:left="720"/>
      <w:contextualSpacing/>
    </w:pPr>
  </w:style>
  <w:style w:type="paragraph" w:styleId="IntenseQuote">
    <w:name w:val="Intense Quote"/>
    <w:basedOn w:val="Normal"/>
    <w:next w:val="Normal"/>
    <w:link w:val="IntenseQuoteChar"/>
    <w:uiPriority w:val="30"/>
    <w:qFormat/>
    <w:rsid w:val="00AE2B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HeaderandFooter">
    <w:name w:val="Header and Footer"/>
    <w:basedOn w:val="Normal"/>
    <w:qFormat/>
  </w:style>
  <w:style w:type="paragraph" w:styleId="Header">
    <w:name w:val="header"/>
    <w:basedOn w:val="Normal"/>
    <w:link w:val="HeaderChar"/>
    <w:uiPriority w:val="99"/>
    <w:unhideWhenUsed/>
    <w:rsid w:val="00AE2B9A"/>
    <w:pPr>
      <w:tabs>
        <w:tab w:val="center" w:pos="4513"/>
        <w:tab w:val="right" w:pos="9026"/>
      </w:tabs>
    </w:pPr>
  </w:style>
  <w:style w:type="paragraph" w:styleId="Footer">
    <w:name w:val="footer"/>
    <w:basedOn w:val="Normal"/>
    <w:link w:val="FooterChar"/>
    <w:uiPriority w:val="99"/>
    <w:unhideWhenUsed/>
    <w:rsid w:val="00AE2B9A"/>
    <w:pPr>
      <w:tabs>
        <w:tab w:val="center" w:pos="4513"/>
        <w:tab w:val="right" w:pos="9026"/>
      </w:tabs>
    </w:pPr>
  </w:style>
  <w:style w:type="paragraph" w:styleId="CommentText">
    <w:name w:val="annotation text"/>
    <w:basedOn w:val="Normal"/>
    <w:link w:val="CommentTextChar"/>
    <w:uiPriority w:val="99"/>
    <w:unhideWhenUsed/>
    <w:rsid w:val="00AE2B9A"/>
    <w:rPr>
      <w:rFonts w:eastAsiaTheme="majorEastAsia" w:cs="Arial"/>
      <w:color w:val="000000" w:themeColor="text1"/>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qFormat/>
    <w:rsid w:val="00AE2B9A"/>
    <w:rPr>
      <w:b/>
      <w:bCs/>
    </w:rPr>
  </w:style>
  <w:style w:type="paragraph" w:customStyle="1" w:styleId="EndNoteBibliography">
    <w:name w:val="EndNote Bibliography"/>
    <w:basedOn w:val="Normal"/>
    <w:link w:val="EndNoteBibliographyChar"/>
    <w:qFormat/>
    <w:rsid w:val="00AE2B9A"/>
    <w:rPr>
      <w:rFonts w:ascii="Aptos" w:hAnsi="Aptos"/>
      <w:lang w:val="en-US"/>
    </w:rPr>
  </w:style>
  <w:style w:type="paragraph" w:customStyle="1" w:styleId="EndNoteBibliographyTitle">
    <w:name w:val="EndNote Bibliography Title"/>
    <w:basedOn w:val="Normal"/>
    <w:link w:val="EndNoteBibliographyTitleChar"/>
    <w:qFormat/>
    <w:rsid w:val="00AE2B9A"/>
    <w:pPr>
      <w:jc w:val="center"/>
    </w:pPr>
    <w:rPr>
      <w:rFonts w:ascii="Aptos" w:hAnsi="Aptos"/>
      <w:lang w:val="en-US"/>
    </w:rPr>
  </w:style>
  <w:style w:type="paragraph" w:customStyle="1" w:styleId="paragraph">
    <w:name w:val="paragraph"/>
    <w:basedOn w:val="Normal"/>
    <w:link w:val="paragraphChar"/>
    <w:qFormat/>
    <w:rsid w:val="00AE2B9A"/>
    <w:pPr>
      <w:spacing w:beforeAutospacing="1" w:afterAutospacing="1"/>
    </w:pPr>
    <w:rPr>
      <w:rFonts w:ascii="Times New Roman" w:eastAsia="Times New Roman" w:hAnsi="Times New Roman" w:cs="Times New Roman"/>
      <w:color w:val="000000" w:themeColor="text1"/>
      <w:kern w:val="0"/>
      <w:lang w:eastAsia="en-GB"/>
      <w14:ligatures w14:val="none"/>
    </w:rPr>
  </w:style>
  <w:style w:type="paragraph" w:styleId="NoSpacing">
    <w:name w:val="No Spacing"/>
    <w:uiPriority w:val="1"/>
    <w:qFormat/>
    <w:rsid w:val="00C22672"/>
  </w:style>
  <w:style w:type="paragraph" w:styleId="Revision">
    <w:name w:val="Revision"/>
    <w:uiPriority w:val="99"/>
    <w:semiHidden/>
    <w:qFormat/>
    <w:rsid w:val="001043BB"/>
  </w:style>
  <w:style w:type="table" w:styleId="TableGrid">
    <w:name w:val="Table Grid"/>
    <w:basedOn w:val="TableNormal"/>
    <w:uiPriority w:val="39"/>
    <w:rsid w:val="00AE2B9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AE2B9A"/>
    <w:rPr>
      <w:szCs w:val="30"/>
      <w:lang w:bidi="b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1d9c017-3dd4-4c12-9b37-f063c44515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01BB5FBCFE3141897B55E5B5C1B196" ma:contentTypeVersion="16" ma:contentTypeDescription="Create a new document." ma:contentTypeScope="" ma:versionID="2ee3a98ce3d3ab06197ffeaf5490cb91">
  <xsd:schema xmlns:xsd="http://www.w3.org/2001/XMLSchema" xmlns:xs="http://www.w3.org/2001/XMLSchema" xmlns:p="http://schemas.microsoft.com/office/2006/metadata/properties" xmlns:ns3="31d9c017-3dd4-4c12-9b37-f063c4451519" xmlns:ns4="54d9e113-66e5-4f7f-aaba-25e2e9fb22e3" targetNamespace="http://schemas.microsoft.com/office/2006/metadata/properties" ma:root="true" ma:fieldsID="837a20f2ffd72fe93a0bcc83d336c607" ns3:_="" ns4:_="">
    <xsd:import namespace="31d9c017-3dd4-4c12-9b37-f063c4451519"/>
    <xsd:import namespace="54d9e113-66e5-4f7f-aaba-25e2e9fb22e3"/>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GenerationTime" minOccurs="0"/>
                <xsd:element ref="ns3:MediaServiceEventHashCode" minOccurs="0"/>
                <xsd:element ref="ns3:MediaServiceDateTaken" minOccurs="0"/>
                <xsd:element ref="ns3:MediaServiceAutoTags" minOccurs="0"/>
                <xsd:element ref="ns3:MediaLengthInSeconds" minOccurs="0"/>
                <xsd:element ref="ns3:MediaServiceSystemTags"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9c017-3dd4-4c12-9b37-f063c4451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9e113-66e5-4f7f-aaba-25e2e9fb22e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7C70FF-B7C2-418F-9147-EDD5D668588F}">
  <ds:schemaRefs>
    <ds:schemaRef ds:uri="http://schemas.openxmlformats.org/officeDocument/2006/bibliography"/>
  </ds:schemaRefs>
</ds:datastoreItem>
</file>

<file path=customXml/itemProps2.xml><?xml version="1.0" encoding="utf-8"?>
<ds:datastoreItem xmlns:ds="http://schemas.openxmlformats.org/officeDocument/2006/customXml" ds:itemID="{80B5C352-33DE-42FD-B168-00ED91107C31}">
  <ds:schemaRefs>
    <ds:schemaRef ds:uri="http://schemas.microsoft.com/office/2006/metadata/properties"/>
    <ds:schemaRef ds:uri="http://schemas.microsoft.com/office/infopath/2007/PartnerControls"/>
    <ds:schemaRef ds:uri="31d9c017-3dd4-4c12-9b37-f063c4451519"/>
  </ds:schemaRefs>
</ds:datastoreItem>
</file>

<file path=customXml/itemProps3.xml><?xml version="1.0" encoding="utf-8"?>
<ds:datastoreItem xmlns:ds="http://schemas.openxmlformats.org/officeDocument/2006/customXml" ds:itemID="{828AFEEC-4A0C-4489-8CB0-174D9BA530C9}">
  <ds:schemaRefs>
    <ds:schemaRef ds:uri="http://schemas.microsoft.com/sharepoint/v3/contenttype/forms"/>
  </ds:schemaRefs>
</ds:datastoreItem>
</file>

<file path=customXml/itemProps4.xml><?xml version="1.0" encoding="utf-8"?>
<ds:datastoreItem xmlns:ds="http://schemas.openxmlformats.org/officeDocument/2006/customXml" ds:itemID="{2E694C01-5E08-4068-AF37-2668D685A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9c017-3dd4-4c12-9b37-f063c4451519"/>
    <ds:schemaRef ds:uri="54d9e113-66e5-4f7f-aaba-25e2e9fb2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5</Pages>
  <Words>584</Words>
  <Characters>3334</Characters>
  <Application>Microsoft Office Word</Application>
  <DocSecurity>0</DocSecurity>
  <Lines>27</Lines>
  <Paragraphs>7</Paragraphs>
  <ScaleCrop>false</ScaleCrop>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Gladdis</dc:creator>
  <dc:description/>
  <cp:lastModifiedBy>Simon Moore</cp:lastModifiedBy>
  <cp:revision>45</cp:revision>
  <dcterms:created xsi:type="dcterms:W3CDTF">2026-09-24T07:43:00Z</dcterms:created>
  <dcterms:modified xsi:type="dcterms:W3CDTF">2026-09-28T15:34:00Z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0x0101009C01BB5FBCFE3141897B55E5B5C1B196</vt:lpwstr>
  </property>
</Properties>
</file>