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C632BE">
      <w:pPr>
        <w:pStyle w:val="152"/>
        <w:spacing w:line="360" w:lineRule="auto"/>
        <w:jc w:val="both"/>
        <w:rPr>
          <w:b w:val="0"/>
          <w:sz w:val="32"/>
          <w:szCs w:val="32"/>
          <w:highlight w:val="none"/>
        </w:rPr>
      </w:pPr>
      <w:r>
        <w:rPr>
          <w:b w:val="0"/>
          <w:sz w:val="32"/>
          <w:szCs w:val="32"/>
          <w:highlight w:val="none"/>
        </w:rPr>
        <w:t xml:space="preserve">Supporting Information </w:t>
      </w:r>
    </w:p>
    <w:p w14:paraId="3B22080D">
      <w:pPr>
        <w:spacing w:line="360" w:lineRule="auto"/>
        <w:jc w:val="both"/>
        <w:rPr>
          <w:rFonts w:cs="Times"/>
          <w:highlight w:val="none"/>
          <w:lang w:eastAsia="zh-CN"/>
        </w:rPr>
      </w:pPr>
      <w:bookmarkStart w:id="0" w:name="_Hlk173411722"/>
    </w:p>
    <w:bookmarkEnd w:id="0"/>
    <w:p w14:paraId="45721B90">
      <w:pPr>
        <w:adjustRightInd w:val="0"/>
        <w:snapToGrid w:val="0"/>
        <w:spacing w:line="360" w:lineRule="auto"/>
        <w:rPr>
          <w:b/>
          <w:bCs/>
          <w:color w:val="000000" w:themeColor="text1"/>
          <w:szCs w:val="28"/>
          <w:highlight w:val="none"/>
          <w14:textFill>
            <w14:solidFill>
              <w14:schemeClr w14:val="tx1"/>
            </w14:solidFill>
          </w14:textFill>
        </w:rPr>
      </w:pPr>
      <w:bookmarkStart w:id="1" w:name="_Hlk208737702"/>
      <w:bookmarkStart w:id="2" w:name="_Hlk200111260"/>
      <w:bookmarkStart w:id="3" w:name="OLE_LINK2"/>
      <w:bookmarkStart w:id="4" w:name="_Hlk173412022"/>
      <w:r>
        <w:rPr>
          <w:b/>
          <w:bCs/>
          <w:color w:val="000000" w:themeColor="text1"/>
          <w:szCs w:val="28"/>
          <w:highlight w:val="none"/>
          <w14:textFill>
            <w14:solidFill>
              <w14:schemeClr w14:val="tx1"/>
            </w14:solidFill>
          </w14:textFill>
        </w:rPr>
        <w:t>Anti-Inflammatory Lipid Nanoparticles Derived from Kaempferol: A Dual-Functional mRNA Delivery Platform for Lung Cancer Therapy</w:t>
      </w:r>
    </w:p>
    <w:p w14:paraId="45984FE2">
      <w:pPr>
        <w:adjustRightInd w:val="0"/>
        <w:snapToGrid w:val="0"/>
        <w:spacing w:line="360" w:lineRule="auto"/>
        <w:rPr>
          <w:iCs/>
          <w:szCs w:val="24"/>
          <w:highlight w:val="none"/>
        </w:rPr>
      </w:pPr>
    </w:p>
    <w:p w14:paraId="7F3D7281">
      <w:pPr>
        <w:adjustRightInd w:val="0"/>
        <w:snapToGrid w:val="0"/>
        <w:spacing w:line="360" w:lineRule="auto"/>
        <w:rPr>
          <w:szCs w:val="24"/>
          <w:highlight w:val="none"/>
        </w:rPr>
      </w:pPr>
      <w:bookmarkStart w:id="5" w:name="OLE_LINK3"/>
      <w:r>
        <w:rPr>
          <w:rFonts w:hint="eastAsia" w:eastAsia="MS Mincho"/>
          <w:iCs/>
          <w:szCs w:val="24"/>
          <w:highlight w:val="none"/>
          <w:lang w:eastAsia="ja-JP"/>
        </w:rPr>
        <w:t>Ruo</w:t>
      </w:r>
      <w:r>
        <w:rPr>
          <w:rFonts w:hint="eastAsia"/>
          <w:iCs/>
          <w:szCs w:val="24"/>
          <w:highlight w:val="none"/>
        </w:rPr>
        <w:t>nan Li</w:t>
      </w:r>
      <w:r>
        <w:rPr>
          <w:rFonts w:hint="eastAsia"/>
          <w:iCs/>
          <w:szCs w:val="24"/>
          <w:highlight w:val="none"/>
          <w:vertAlign w:val="superscript"/>
        </w:rPr>
        <w:t>1,2,#</w:t>
      </w:r>
      <w:r>
        <w:rPr>
          <w:szCs w:val="24"/>
          <w:highlight w:val="none"/>
        </w:rPr>
        <w:t>,</w:t>
      </w:r>
      <w:r>
        <w:rPr>
          <w:rFonts w:hint="eastAsia"/>
          <w:szCs w:val="24"/>
          <w:highlight w:val="none"/>
        </w:rPr>
        <w:t xml:space="preserve"> </w:t>
      </w:r>
      <w:r>
        <w:rPr>
          <w:szCs w:val="24"/>
          <w:highlight w:val="none"/>
        </w:rPr>
        <w:t>Rui Chang</w:t>
      </w:r>
      <w:r>
        <w:rPr>
          <w:rFonts w:hint="eastAsia"/>
          <w:szCs w:val="24"/>
          <w:highlight w:val="none"/>
          <w:vertAlign w:val="superscript"/>
        </w:rPr>
        <w:t>3,</w:t>
      </w:r>
      <w:r>
        <w:rPr>
          <w:rFonts w:hint="eastAsia"/>
          <w:iCs/>
          <w:szCs w:val="24"/>
          <w:highlight w:val="none"/>
          <w:vertAlign w:val="superscript"/>
        </w:rPr>
        <w:t>#</w:t>
      </w:r>
      <w:r>
        <w:rPr>
          <w:szCs w:val="24"/>
          <w:highlight w:val="none"/>
        </w:rPr>
        <w:t xml:space="preserve">, </w:t>
      </w:r>
      <w:r>
        <w:rPr>
          <w:rFonts w:eastAsia="MS Mincho"/>
          <w:iCs/>
          <w:szCs w:val="24"/>
          <w:highlight w:val="none"/>
          <w:lang w:eastAsia="ja-JP"/>
        </w:rPr>
        <w:t>Zhaoxu Chen</w:t>
      </w:r>
      <w:bookmarkEnd w:id="5"/>
      <w:r>
        <w:rPr>
          <w:rFonts w:hint="eastAsia"/>
          <w:szCs w:val="24"/>
          <w:highlight w:val="none"/>
          <w:vertAlign w:val="superscript"/>
        </w:rPr>
        <w:t>4,</w:t>
      </w:r>
      <w:r>
        <w:rPr>
          <w:rFonts w:hint="eastAsia"/>
          <w:iCs/>
          <w:szCs w:val="24"/>
          <w:highlight w:val="none"/>
          <w:vertAlign w:val="superscript"/>
        </w:rPr>
        <w:t>#</w:t>
      </w:r>
      <w:r>
        <w:rPr>
          <w:szCs w:val="24"/>
          <w:highlight w:val="none"/>
        </w:rPr>
        <w:t>,</w:t>
      </w:r>
      <w:r>
        <w:rPr>
          <w:rFonts w:hint="eastAsia"/>
          <w:szCs w:val="24"/>
          <w:highlight w:val="none"/>
        </w:rPr>
        <w:t xml:space="preserve"> Baozhong Li</w:t>
      </w:r>
      <w:r>
        <w:rPr>
          <w:rFonts w:hint="eastAsia"/>
          <w:szCs w:val="24"/>
          <w:highlight w:val="none"/>
          <w:vertAlign w:val="superscript"/>
        </w:rPr>
        <w:t>3</w:t>
      </w:r>
      <w:r>
        <w:rPr>
          <w:szCs w:val="24"/>
          <w:highlight w:val="none"/>
        </w:rPr>
        <w:t>, Kenan Chen</w:t>
      </w:r>
      <w:r>
        <w:rPr>
          <w:rFonts w:hint="eastAsia"/>
          <w:szCs w:val="24"/>
          <w:highlight w:val="none"/>
          <w:vertAlign w:val="superscript"/>
        </w:rPr>
        <w:t>3</w:t>
      </w:r>
      <w:r>
        <w:rPr>
          <w:szCs w:val="24"/>
          <w:highlight w:val="none"/>
        </w:rPr>
        <w:t>,</w:t>
      </w:r>
      <w:r>
        <w:rPr>
          <w:rFonts w:hint="eastAsia"/>
          <w:szCs w:val="24"/>
          <w:highlight w:val="none"/>
        </w:rPr>
        <w:t xml:space="preserve"> Xianfu Liu</w:t>
      </w:r>
      <w:r>
        <w:rPr>
          <w:rFonts w:hint="eastAsia"/>
          <w:szCs w:val="24"/>
          <w:highlight w:val="none"/>
          <w:vertAlign w:val="superscript"/>
        </w:rPr>
        <w:t>5</w:t>
      </w:r>
      <w:r>
        <w:rPr>
          <w:szCs w:val="24"/>
          <w:highlight w:val="none"/>
        </w:rPr>
        <w:t>,</w:t>
      </w:r>
      <w:r>
        <w:rPr>
          <w:rFonts w:hint="eastAsia"/>
          <w:szCs w:val="24"/>
          <w:highlight w:val="none"/>
        </w:rPr>
        <w:t xml:space="preserve"> </w:t>
      </w:r>
      <w:r>
        <w:rPr>
          <w:rFonts w:eastAsia="MS Mincho"/>
          <w:iCs/>
          <w:szCs w:val="24"/>
          <w:highlight w:val="none"/>
          <w:lang w:eastAsia="ja-JP"/>
        </w:rPr>
        <w:t>Yiwen Liu</w:t>
      </w:r>
      <w:r>
        <w:rPr>
          <w:rFonts w:hint="eastAsia"/>
          <w:iCs/>
          <w:szCs w:val="24"/>
          <w:highlight w:val="none"/>
          <w:vertAlign w:val="superscript"/>
        </w:rPr>
        <w:t>1,2</w:t>
      </w:r>
      <w:r>
        <w:rPr>
          <w:rFonts w:hint="eastAsia"/>
          <w:szCs w:val="24"/>
          <w:highlight w:val="none"/>
          <w:vertAlign w:val="superscript"/>
        </w:rPr>
        <w:t>,**</w:t>
      </w:r>
      <w:r>
        <w:rPr>
          <w:rFonts w:hint="eastAsia"/>
          <w:szCs w:val="24"/>
          <w:highlight w:val="none"/>
        </w:rPr>
        <w:t>, Shegan Gao</w:t>
      </w:r>
      <w:r>
        <w:rPr>
          <w:rFonts w:hint="eastAsia"/>
          <w:szCs w:val="24"/>
          <w:highlight w:val="none"/>
          <w:vertAlign w:val="superscript"/>
        </w:rPr>
        <w:t>1,</w:t>
      </w:r>
      <w:r>
        <w:rPr>
          <w:rFonts w:hint="default"/>
          <w:szCs w:val="24"/>
          <w:highlight w:val="none"/>
          <w:vertAlign w:val="superscript"/>
          <w:lang w:val="en-US"/>
        </w:rPr>
        <w:t>2,</w:t>
      </w:r>
      <w:r>
        <w:rPr>
          <w:rFonts w:hint="eastAsia"/>
          <w:szCs w:val="24"/>
          <w:highlight w:val="none"/>
          <w:vertAlign w:val="superscript"/>
        </w:rPr>
        <w:t>*</w:t>
      </w:r>
    </w:p>
    <w:bookmarkEnd w:id="1"/>
    <w:p w14:paraId="735EC428">
      <w:pPr>
        <w:spacing w:line="360" w:lineRule="auto"/>
        <w:rPr>
          <w:szCs w:val="24"/>
          <w:highlight w:val="none"/>
          <w:vertAlign w:val="superscript"/>
        </w:rPr>
      </w:pPr>
      <w:bookmarkStart w:id="6" w:name="_Hlk219917580"/>
    </w:p>
    <w:p w14:paraId="15983822">
      <w:pPr>
        <w:spacing w:line="360" w:lineRule="auto"/>
        <w:rPr>
          <w:szCs w:val="24"/>
          <w:highlight w:val="none"/>
        </w:rPr>
      </w:pPr>
      <w:r>
        <w:rPr>
          <w:rFonts w:hint="eastAsia"/>
          <w:szCs w:val="24"/>
          <w:highlight w:val="none"/>
          <w:vertAlign w:val="superscript"/>
        </w:rPr>
        <w:t>1</w:t>
      </w:r>
      <w:r>
        <w:rPr>
          <w:szCs w:val="24"/>
          <w:highlight w:val="none"/>
        </w:rPr>
        <w:t>The First Affiliated Hospital, and College of Clinical Medicine of Henan University of Science and Technology, Luoyang, Henan,</w:t>
      </w:r>
      <w:r>
        <w:rPr>
          <w:rFonts w:hint="eastAsia"/>
          <w:szCs w:val="24"/>
          <w:highlight w:val="none"/>
        </w:rPr>
        <w:t xml:space="preserve"> </w:t>
      </w:r>
      <w:r>
        <w:rPr>
          <w:szCs w:val="24"/>
          <w:highlight w:val="none"/>
        </w:rPr>
        <w:t>China, 471003</w:t>
      </w:r>
    </w:p>
    <w:p w14:paraId="0BAE1EBC">
      <w:pPr>
        <w:spacing w:line="360" w:lineRule="auto"/>
        <w:rPr>
          <w:szCs w:val="24"/>
          <w:highlight w:val="none"/>
        </w:rPr>
      </w:pPr>
      <w:r>
        <w:rPr>
          <w:rFonts w:hint="eastAsia"/>
          <w:szCs w:val="24"/>
          <w:highlight w:val="none"/>
          <w:vertAlign w:val="superscript"/>
        </w:rPr>
        <w:t>2</w:t>
      </w:r>
      <w:r>
        <w:rPr>
          <w:szCs w:val="24"/>
          <w:highlight w:val="none"/>
        </w:rPr>
        <w:t>Institute of Organoid‑on‑Chip and Drug Translation, Henan Academy of Sciences, Zhengzhou, Henan, China</w:t>
      </w:r>
      <w:r>
        <w:rPr>
          <w:rFonts w:hint="eastAsia"/>
          <w:szCs w:val="24"/>
          <w:highlight w:val="none"/>
        </w:rPr>
        <w:t xml:space="preserve">, </w:t>
      </w:r>
      <w:r>
        <w:rPr>
          <w:szCs w:val="24"/>
          <w:highlight w:val="none"/>
        </w:rPr>
        <w:t>450046</w:t>
      </w:r>
    </w:p>
    <w:bookmarkEnd w:id="6"/>
    <w:p w14:paraId="31DDD67C">
      <w:pPr>
        <w:spacing w:line="360" w:lineRule="auto"/>
        <w:rPr>
          <w:szCs w:val="24"/>
          <w:highlight w:val="none"/>
        </w:rPr>
      </w:pPr>
      <w:r>
        <w:rPr>
          <w:rFonts w:hint="eastAsia"/>
          <w:szCs w:val="24"/>
          <w:highlight w:val="none"/>
          <w:vertAlign w:val="superscript"/>
        </w:rPr>
        <w:t>3</w:t>
      </w:r>
      <w:r>
        <w:rPr>
          <w:szCs w:val="24"/>
          <w:highlight w:val="none"/>
        </w:rPr>
        <w:t xml:space="preserve">Department of Head and Neck Surgery, </w:t>
      </w:r>
      <w:bookmarkStart w:id="7" w:name="OLE_LINK7"/>
      <w:r>
        <w:rPr>
          <w:szCs w:val="24"/>
          <w:highlight w:val="none"/>
        </w:rPr>
        <w:t>Anyang Tumor Hospital</w:t>
      </w:r>
      <w:bookmarkEnd w:id="7"/>
      <w:r>
        <w:rPr>
          <w:szCs w:val="24"/>
          <w:highlight w:val="none"/>
        </w:rPr>
        <w:t>, Anyang, Henan, China</w:t>
      </w:r>
      <w:r>
        <w:rPr>
          <w:rFonts w:hint="eastAsia"/>
          <w:szCs w:val="24"/>
          <w:highlight w:val="none"/>
        </w:rPr>
        <w:t xml:space="preserve">, </w:t>
      </w:r>
      <w:r>
        <w:rPr>
          <w:szCs w:val="24"/>
          <w:highlight w:val="none"/>
        </w:rPr>
        <w:t>455000</w:t>
      </w:r>
    </w:p>
    <w:p w14:paraId="267A11C4">
      <w:pPr>
        <w:spacing w:line="360" w:lineRule="auto"/>
        <w:rPr>
          <w:szCs w:val="24"/>
          <w:highlight w:val="none"/>
        </w:rPr>
      </w:pPr>
      <w:r>
        <w:rPr>
          <w:rFonts w:hint="eastAsia"/>
          <w:szCs w:val="24"/>
          <w:highlight w:val="none"/>
          <w:vertAlign w:val="superscript"/>
        </w:rPr>
        <w:t>4</w:t>
      </w:r>
      <w:r>
        <w:rPr>
          <w:szCs w:val="24"/>
          <w:highlight w:val="none"/>
        </w:rPr>
        <w:t>School of Life Science and Technology, Xidian University, Xi’an, Shaanxi, China</w:t>
      </w:r>
      <w:r>
        <w:rPr>
          <w:rFonts w:hint="eastAsia"/>
          <w:szCs w:val="24"/>
          <w:highlight w:val="none"/>
        </w:rPr>
        <w:t xml:space="preserve">, </w:t>
      </w:r>
      <w:r>
        <w:rPr>
          <w:szCs w:val="24"/>
          <w:highlight w:val="none"/>
        </w:rPr>
        <w:t>710126</w:t>
      </w:r>
    </w:p>
    <w:p w14:paraId="340840F4">
      <w:pPr>
        <w:spacing w:line="360" w:lineRule="auto"/>
        <w:rPr>
          <w:szCs w:val="24"/>
          <w:highlight w:val="none"/>
        </w:rPr>
      </w:pPr>
      <w:r>
        <w:rPr>
          <w:rFonts w:hint="eastAsia"/>
          <w:szCs w:val="24"/>
          <w:highlight w:val="none"/>
          <w:vertAlign w:val="superscript"/>
        </w:rPr>
        <w:t>5</w:t>
      </w:r>
      <w:r>
        <w:rPr>
          <w:szCs w:val="24"/>
          <w:highlight w:val="none"/>
        </w:rPr>
        <w:t>Linzhou Hospital of Traditional Chinese Medicine, Linzhou, Henan, China</w:t>
      </w:r>
      <w:r>
        <w:rPr>
          <w:rFonts w:hint="eastAsia"/>
          <w:szCs w:val="24"/>
          <w:highlight w:val="none"/>
        </w:rPr>
        <w:t xml:space="preserve">, </w:t>
      </w:r>
      <w:r>
        <w:rPr>
          <w:szCs w:val="24"/>
          <w:highlight w:val="none"/>
        </w:rPr>
        <w:t>456550</w:t>
      </w:r>
    </w:p>
    <w:p w14:paraId="02D10AA3">
      <w:pPr>
        <w:spacing w:line="360" w:lineRule="auto"/>
        <w:rPr>
          <w:szCs w:val="24"/>
          <w:highlight w:val="none"/>
        </w:rPr>
      </w:pPr>
    </w:p>
    <w:p w14:paraId="2891BD73">
      <w:pPr>
        <w:adjustRightInd w:val="0"/>
        <w:snapToGrid w:val="0"/>
        <w:spacing w:before="120" w:beforeLines="50" w:line="360" w:lineRule="auto"/>
        <w:rPr>
          <w:color w:val="000000" w:themeColor="text1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/>
          <w:iCs/>
          <w:szCs w:val="24"/>
          <w:highlight w:val="none"/>
          <w:vertAlign w:val="superscript"/>
        </w:rPr>
        <w:t>#</w:t>
      </w:r>
      <w:r>
        <w:rPr>
          <w:color w:val="000000" w:themeColor="text1"/>
          <w:szCs w:val="28"/>
          <w:highlight w:val="none"/>
          <w14:textFill>
            <w14:solidFill>
              <w14:schemeClr w14:val="tx1"/>
            </w14:solidFill>
          </w14:textFill>
        </w:rPr>
        <w:t xml:space="preserve">Ruonan Li, Rui Chang, </w:t>
      </w:r>
      <w:r>
        <w:rPr>
          <w:rFonts w:hint="eastAsia"/>
          <w:color w:val="000000" w:themeColor="text1"/>
          <w:szCs w:val="28"/>
          <w:highlight w:val="none"/>
          <w14:textFill>
            <w14:solidFill>
              <w14:schemeClr w14:val="tx1"/>
            </w14:solidFill>
          </w14:textFill>
        </w:rPr>
        <w:t xml:space="preserve">and </w:t>
      </w:r>
      <w:r>
        <w:rPr>
          <w:color w:val="000000" w:themeColor="text1"/>
          <w:szCs w:val="28"/>
          <w:highlight w:val="none"/>
          <w14:textFill>
            <w14:solidFill>
              <w14:schemeClr w14:val="tx1"/>
            </w14:solidFill>
          </w14:textFill>
        </w:rPr>
        <w:t>Zhaoxu Chen contributed equally to this work.</w:t>
      </w:r>
    </w:p>
    <w:p w14:paraId="7A1D9B06">
      <w:pPr>
        <w:spacing w:line="360" w:lineRule="auto"/>
        <w:rPr>
          <w:szCs w:val="24"/>
          <w:highlight w:val="none"/>
        </w:rPr>
      </w:pPr>
      <w:r>
        <w:rPr>
          <w:szCs w:val="24"/>
          <w:highlight w:val="none"/>
        </w:rPr>
        <w:t>*</w:t>
      </w:r>
      <w:bookmarkStart w:id="8" w:name="OLE_LINK4"/>
      <w:r>
        <w:rPr>
          <w:szCs w:val="24"/>
          <w:highlight w:val="none"/>
        </w:rPr>
        <w:t>Corresponding authors: yiwenliu810@163.com (</w:t>
      </w:r>
      <w:r>
        <w:rPr>
          <w:rFonts w:hint="eastAsia"/>
          <w:szCs w:val="24"/>
          <w:highlight w:val="none"/>
        </w:rPr>
        <w:t>Y</w:t>
      </w:r>
      <w:r>
        <w:rPr>
          <w:szCs w:val="24"/>
          <w:highlight w:val="none"/>
        </w:rPr>
        <w:t xml:space="preserve">. </w:t>
      </w:r>
      <w:r>
        <w:rPr>
          <w:rFonts w:hint="eastAsia"/>
          <w:szCs w:val="24"/>
          <w:highlight w:val="none"/>
        </w:rPr>
        <w:t>L</w:t>
      </w:r>
      <w:r>
        <w:rPr>
          <w:szCs w:val="24"/>
          <w:highlight w:val="none"/>
        </w:rPr>
        <w:t xml:space="preserve">.); </w:t>
      </w:r>
      <w:r>
        <w:rPr>
          <w:rFonts w:hint="eastAsia"/>
          <w:szCs w:val="24"/>
          <w:highlight w:val="none"/>
        </w:rPr>
        <w:t>gsg_112258@163.com</w:t>
      </w:r>
      <w:bookmarkStart w:id="13" w:name="_GoBack"/>
      <w:bookmarkEnd w:id="13"/>
      <w:r>
        <w:rPr>
          <w:szCs w:val="24"/>
          <w:highlight w:val="none"/>
        </w:rPr>
        <w:t xml:space="preserve"> (S. G.)</w:t>
      </w:r>
    </w:p>
    <w:bookmarkEnd w:id="2"/>
    <w:bookmarkEnd w:id="8"/>
    <w:p w14:paraId="5CD13980">
      <w:pPr>
        <w:adjustRightInd w:val="0"/>
        <w:snapToGrid w:val="0"/>
        <w:spacing w:before="120" w:beforeLines="50" w:line="360" w:lineRule="auto"/>
        <w:rPr>
          <w:color w:val="000000" w:themeColor="text1"/>
          <w:szCs w:val="28"/>
          <w:highlight w:val="none"/>
          <w14:textFill>
            <w14:solidFill>
              <w14:schemeClr w14:val="tx1"/>
            </w14:solidFill>
          </w14:textFill>
        </w:rPr>
      </w:pPr>
      <w:bookmarkStart w:id="9" w:name="_Hlk208016512"/>
      <w:bookmarkStart w:id="10" w:name="OLE_LINK1"/>
    </w:p>
    <w:bookmarkEnd w:id="9"/>
    <w:p w14:paraId="6197DB4F">
      <w:pPr>
        <w:pStyle w:val="159"/>
        <w:spacing w:after="0" w:line="360" w:lineRule="auto"/>
        <w:rPr>
          <w:rFonts w:ascii="Times New Roman" w:hAnsi="Times New Roman"/>
          <w:highlight w:val="none"/>
          <w:lang w:eastAsia="zh-CN"/>
        </w:rPr>
      </w:pPr>
      <w:r>
        <w:rPr>
          <w:rFonts w:ascii="Times New Roman" w:hAnsi="Times New Roman"/>
          <w:b/>
          <w:bCs/>
          <w:highlight w:val="none"/>
        </w:rPr>
        <w:t xml:space="preserve">Keywords: </w:t>
      </w:r>
      <w:bookmarkEnd w:id="10"/>
      <w:r>
        <w:rPr>
          <w:rFonts w:ascii="Times New Roman" w:hAnsi="Times New Roman"/>
          <w:highlight w:val="none"/>
          <w:lang w:eastAsia="zh-CN"/>
        </w:rPr>
        <w:t>Kaempferol; Lipid nanoparticles; Anti-inflammatory; mRNA delivery; Lung cancer</w:t>
      </w:r>
    </w:p>
    <w:bookmarkEnd w:id="3"/>
    <w:p w14:paraId="19C5508D">
      <w:pPr>
        <w:spacing w:line="276" w:lineRule="auto"/>
        <w:rPr>
          <w:szCs w:val="24"/>
          <w:highlight w:val="none"/>
          <w:vertAlign w:val="superscript"/>
        </w:rPr>
      </w:pPr>
    </w:p>
    <w:p w14:paraId="41AFE573">
      <w:pPr>
        <w:rPr>
          <w:highlight w:val="none"/>
        </w:rPr>
      </w:pPr>
    </w:p>
    <w:p w14:paraId="5E889FF5">
      <w:pPr>
        <w:spacing w:line="360" w:lineRule="auto"/>
        <w:jc w:val="both"/>
        <w:rPr>
          <w:highlight w:val="none"/>
          <w:lang w:eastAsia="zh-CN"/>
        </w:rPr>
      </w:pPr>
    </w:p>
    <w:p w14:paraId="12D9AD3E">
      <w:pPr>
        <w:spacing w:line="360" w:lineRule="auto"/>
        <w:jc w:val="both"/>
        <w:rPr>
          <w:highlight w:val="none"/>
          <w:lang w:eastAsia="zh-CN"/>
        </w:rPr>
      </w:pPr>
    </w:p>
    <w:p w14:paraId="2A1AEA63">
      <w:pPr>
        <w:spacing w:line="360" w:lineRule="auto"/>
        <w:jc w:val="both"/>
        <w:rPr>
          <w:highlight w:val="none"/>
          <w:lang w:eastAsia="zh-CN"/>
        </w:rPr>
      </w:pPr>
    </w:p>
    <w:p w14:paraId="1DDF645E">
      <w:pPr>
        <w:spacing w:line="360" w:lineRule="auto"/>
        <w:jc w:val="both"/>
        <w:rPr>
          <w:highlight w:val="none"/>
          <w:lang w:eastAsia="zh-CN"/>
        </w:rPr>
      </w:pPr>
    </w:p>
    <w:bookmarkEnd w:id="4"/>
    <w:p w14:paraId="5F11744A">
      <w:pPr>
        <w:spacing w:line="360" w:lineRule="auto"/>
        <w:jc w:val="both"/>
        <w:rPr>
          <w:highlight w:val="none"/>
          <w:lang w:eastAsia="zh-CN"/>
        </w:rPr>
      </w:pPr>
    </w:p>
    <w:p w14:paraId="504C3120">
      <w:pPr>
        <w:spacing w:line="360" w:lineRule="auto"/>
        <w:jc w:val="both"/>
        <w:rPr>
          <w:highlight w:val="none"/>
          <w:lang w:eastAsia="zh-CN"/>
        </w:rPr>
      </w:pPr>
    </w:p>
    <w:p w14:paraId="6A151C18">
      <w:pPr>
        <w:spacing w:line="360" w:lineRule="auto"/>
        <w:jc w:val="both"/>
        <w:rPr>
          <w:highlight w:val="none"/>
          <w:lang w:eastAsia="zh-CN"/>
        </w:rPr>
      </w:pPr>
      <w:r>
        <w:rPr>
          <w:highlight w:val="none"/>
          <w:lang w:eastAsia="zh-CN"/>
        </w:rPr>
        <w:drawing>
          <wp:inline distT="0" distB="0" distL="0" distR="0">
            <wp:extent cx="5464175" cy="3764280"/>
            <wp:effectExtent l="0" t="0" r="3175" b="762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76244" cy="37727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03E66E4">
      <w:pPr>
        <w:spacing w:line="360" w:lineRule="auto"/>
        <w:jc w:val="both"/>
        <w:rPr>
          <w:highlight w:val="none"/>
          <w:lang w:eastAsia="zh-CN"/>
        </w:rPr>
      </w:pPr>
      <w:r>
        <w:rPr>
          <w:b/>
          <w:bCs/>
          <w:highlight w:val="none"/>
          <w:lang w:eastAsia="zh-CN"/>
        </w:rPr>
        <w:t>Figure S1</w:t>
      </w:r>
      <w:r>
        <w:rPr>
          <w:highlight w:val="none"/>
          <w:lang w:eastAsia="zh-CN"/>
        </w:rPr>
        <w:t>. Mice were administered LNP, 5% Kae-LNP, or 2% Kae-LNP (10 mg/kg, 200 μL) via nebulization. Twelve hours later, immune cells were collected by bronchoalveolar lavage and analyzed by flow cytometry for positive rates. (a) Macrophages, (b) NK cells, (c) B cells, and the corresponding quantitative analysis of positive rates.</w:t>
      </w:r>
    </w:p>
    <w:p w14:paraId="332D2FA3">
      <w:pPr>
        <w:spacing w:line="360" w:lineRule="auto"/>
        <w:jc w:val="both"/>
        <w:rPr>
          <w:highlight w:val="none"/>
          <w:lang w:eastAsia="zh-CN"/>
        </w:rPr>
      </w:pPr>
    </w:p>
    <w:p w14:paraId="1239D782">
      <w:pPr>
        <w:spacing w:line="360" w:lineRule="auto"/>
        <w:jc w:val="both"/>
        <w:rPr>
          <w:highlight w:val="none"/>
          <w:lang w:eastAsia="zh-CN"/>
        </w:rPr>
      </w:pPr>
      <w:bookmarkStart w:id="11" w:name="MaterialsMethods"/>
      <w:bookmarkEnd w:id="11"/>
      <w:bookmarkStart w:id="12" w:name="Tables"/>
      <w:bookmarkEnd w:id="12"/>
      <w:r>
        <w:rPr>
          <w:rFonts w:cs="Times"/>
          <w:highlight w:val="none"/>
        </w:rPr>
        <w:drawing>
          <wp:inline distT="0" distB="0" distL="0" distR="0">
            <wp:extent cx="6532245" cy="2699385"/>
            <wp:effectExtent l="0" t="0" r="1905" b="571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56570" cy="27097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cs="Times"/>
          <w:highlight w:val="none"/>
        </w:rPr>
        <w:fldChar w:fldCharType="begin"/>
      </w:r>
      <w:r>
        <w:rPr>
          <w:rFonts w:cs="Times"/>
          <w:highlight w:val="none"/>
        </w:rPr>
        <w:instrText xml:space="preserve"> ADDIN EN.REFLIST </w:instrText>
      </w:r>
      <w:r>
        <w:rPr>
          <w:rFonts w:cs="Times"/>
          <w:highlight w:val="none"/>
        </w:rPr>
        <w:fldChar w:fldCharType="separate"/>
      </w:r>
    </w:p>
    <w:p w14:paraId="72A4509D">
      <w:pPr>
        <w:spacing w:line="360" w:lineRule="auto"/>
        <w:jc w:val="both"/>
        <w:rPr>
          <w:highlight w:val="none"/>
          <w:lang w:eastAsia="zh-CN"/>
        </w:rPr>
      </w:pPr>
      <w:r>
        <w:rPr>
          <w:rFonts w:cs="Times"/>
          <w:highlight w:val="none"/>
        </w:rPr>
        <w:fldChar w:fldCharType="end"/>
      </w:r>
      <w:r>
        <w:rPr>
          <w:b/>
          <w:bCs/>
          <w:highlight w:val="none"/>
          <w:lang w:eastAsia="zh-CN"/>
        </w:rPr>
        <w:t>Figures S</w:t>
      </w:r>
      <w:r>
        <w:rPr>
          <w:rFonts w:hint="eastAsia"/>
          <w:b/>
          <w:bCs/>
          <w:highlight w:val="none"/>
          <w:lang w:eastAsia="zh-CN"/>
        </w:rPr>
        <w:t>2</w:t>
      </w:r>
      <w:r>
        <w:rPr>
          <w:highlight w:val="none"/>
          <w:lang w:eastAsia="zh-CN"/>
        </w:rPr>
        <w:t>. Chemical structures of the constituent lipids and functional components of the 5% Kae-DLNP formulation. (a) Ionizable lipid SM-102, (b) cholesterol, (c) kaempferol (Kae), (d) fusogenic helper lipid DOPE.</w:t>
      </w:r>
    </w:p>
    <w:p w14:paraId="55066ED9">
      <w:pPr>
        <w:spacing w:line="360" w:lineRule="auto"/>
        <w:jc w:val="both"/>
        <w:rPr>
          <w:highlight w:val="none"/>
          <w:lang w:eastAsia="zh-CN"/>
        </w:rPr>
      </w:pPr>
    </w:p>
    <w:p w14:paraId="376EC358">
      <w:pPr>
        <w:spacing w:line="360" w:lineRule="auto"/>
        <w:jc w:val="center"/>
        <w:rPr>
          <w:rFonts w:cs="Times"/>
          <w:b/>
          <w:bCs/>
          <w:highlight w:val="none"/>
        </w:rPr>
      </w:pPr>
      <w:r>
        <w:rPr>
          <w:rFonts w:cs="Times"/>
          <w:b/>
          <w:bCs/>
          <w:highlight w:val="none"/>
        </w:rPr>
        <w:drawing>
          <wp:inline distT="0" distB="0" distL="0" distR="0">
            <wp:extent cx="4471670" cy="3108325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73197" cy="31093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D7FB42">
      <w:pPr>
        <w:spacing w:line="360" w:lineRule="auto"/>
        <w:jc w:val="both"/>
        <w:rPr>
          <w:rFonts w:cs="Times"/>
          <w:highlight w:val="none"/>
        </w:rPr>
      </w:pPr>
      <w:r>
        <w:rPr>
          <w:rFonts w:cs="Times"/>
          <w:b/>
          <w:bCs/>
          <w:highlight w:val="none"/>
        </w:rPr>
        <w:t>Figures S</w:t>
      </w:r>
      <w:r>
        <w:rPr>
          <w:rFonts w:hint="eastAsia" w:cs="Times"/>
          <w:b/>
          <w:bCs/>
          <w:highlight w:val="none"/>
          <w:lang w:eastAsia="zh-CN"/>
        </w:rPr>
        <w:t>3.</w:t>
      </w:r>
      <w:r>
        <w:rPr>
          <w:rFonts w:cs="Times"/>
          <w:highlight w:val="none"/>
          <w:lang w:eastAsia="zh-CN"/>
        </w:rPr>
        <w:t xml:space="preserve"> </w:t>
      </w:r>
      <w:r>
        <w:rPr>
          <w:rFonts w:cs="Times"/>
          <w:highlight w:val="none"/>
        </w:rPr>
        <w:t>Particle size distribution of LNP and 5% Kae-DLNP measured by DLS before and after nebulization. (a) LNP pre-nebulization, (b) LNP post-nebulization, (c) 5% Kae-DLNP pre-nebulization, (d) 5% Kae-DLNP post-nebulization.</w:t>
      </w:r>
    </w:p>
    <w:p w14:paraId="1B3808B1">
      <w:pPr>
        <w:spacing w:line="360" w:lineRule="auto"/>
        <w:jc w:val="both"/>
        <w:rPr>
          <w:rFonts w:cs="Times"/>
          <w:highlight w:val="none"/>
        </w:rPr>
      </w:pPr>
    </w:p>
    <w:p w14:paraId="2D541AED">
      <w:pPr>
        <w:spacing w:line="360" w:lineRule="auto"/>
        <w:jc w:val="both"/>
        <w:rPr>
          <w:rFonts w:cs="Times"/>
          <w:highlight w:val="none"/>
        </w:rPr>
      </w:pPr>
    </w:p>
    <w:p w14:paraId="6FE47335">
      <w:pPr>
        <w:spacing w:line="360" w:lineRule="auto"/>
        <w:jc w:val="both"/>
        <w:rPr>
          <w:rFonts w:cs="Times"/>
          <w:b/>
          <w:bCs/>
          <w:highlight w:val="none"/>
        </w:rPr>
      </w:pPr>
    </w:p>
    <w:p w14:paraId="5A9D76AA">
      <w:pPr>
        <w:spacing w:line="360" w:lineRule="auto"/>
        <w:jc w:val="center"/>
        <w:rPr>
          <w:rFonts w:cs="Times"/>
          <w:b/>
          <w:bCs/>
          <w:highlight w:val="none"/>
        </w:rPr>
      </w:pPr>
      <w:r>
        <w:rPr>
          <w:rFonts w:cs="Times"/>
          <w:b/>
          <w:bCs/>
          <w:highlight w:val="none"/>
        </w:rPr>
        <w:drawing>
          <wp:inline distT="0" distB="0" distL="0" distR="0">
            <wp:extent cx="5876290" cy="4212590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87059" cy="4220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1CBBCC4">
      <w:pPr>
        <w:spacing w:line="360" w:lineRule="auto"/>
        <w:jc w:val="both"/>
        <w:rPr>
          <w:rFonts w:cs="Times"/>
          <w:highlight w:val="none"/>
          <w:lang w:eastAsia="zh-CN"/>
        </w:rPr>
      </w:pPr>
      <w:r>
        <w:rPr>
          <w:rFonts w:cs="Times"/>
          <w:b/>
          <w:bCs/>
          <w:highlight w:val="none"/>
          <w:lang w:eastAsia="zh-CN"/>
        </w:rPr>
        <w:t>Figure S</w:t>
      </w:r>
      <w:r>
        <w:rPr>
          <w:rFonts w:hint="eastAsia" w:cs="Times"/>
          <w:b/>
          <w:bCs/>
          <w:highlight w:val="none"/>
          <w:lang w:eastAsia="zh-CN"/>
        </w:rPr>
        <w:t>4</w:t>
      </w:r>
      <w:r>
        <w:rPr>
          <w:rFonts w:cs="Times"/>
          <w:b/>
          <w:bCs/>
          <w:highlight w:val="none"/>
          <w:lang w:eastAsia="zh-CN"/>
        </w:rPr>
        <w:t xml:space="preserve">. </w:t>
      </w:r>
      <w:r>
        <w:rPr>
          <w:rFonts w:cs="Times"/>
          <w:highlight w:val="none"/>
          <w:lang w:eastAsia="zh-CN"/>
        </w:rPr>
        <w:t>Representative flow cytometry gating plots showing the uptake of 5% Kae-DLNP by distinct pulmonary cell subsets. Mice were euthanized at 6 h after nebulization, and lung tissues were dissociated into single-cell suspensions for flow cytometric analysis. (a) Endothelial cells (CD45⁻/CD31⁺), (b) epithelial cells (CD45⁻/CD326⁺), (c) macrophages (CD45⁺/CD11b⁺).</w:t>
      </w:r>
    </w:p>
    <w:p w14:paraId="38B24538">
      <w:pPr>
        <w:spacing w:line="360" w:lineRule="auto"/>
        <w:jc w:val="both"/>
        <w:rPr>
          <w:rFonts w:cs="Times"/>
          <w:highlight w:val="none"/>
          <w:lang w:eastAsia="zh-CN"/>
        </w:rPr>
      </w:pPr>
    </w:p>
    <w:p w14:paraId="4F1D1194">
      <w:pPr>
        <w:spacing w:line="360" w:lineRule="auto"/>
        <w:jc w:val="both"/>
        <w:rPr>
          <w:rFonts w:cs="Times"/>
          <w:highlight w:val="none"/>
          <w:lang w:eastAsia="zh-CN"/>
        </w:rPr>
      </w:pPr>
    </w:p>
    <w:p w14:paraId="6ED3729F">
      <w:pPr>
        <w:spacing w:line="360" w:lineRule="auto"/>
        <w:jc w:val="both"/>
        <w:rPr>
          <w:rFonts w:cs="Times"/>
          <w:highlight w:val="none"/>
          <w:lang w:eastAsia="zh-CN"/>
        </w:rPr>
      </w:pPr>
    </w:p>
    <w:p w14:paraId="19CB78A8">
      <w:pPr>
        <w:spacing w:line="360" w:lineRule="auto"/>
        <w:jc w:val="both"/>
        <w:rPr>
          <w:rFonts w:hint="eastAsia" w:cs="Times"/>
          <w:highlight w:val="none"/>
          <w:lang w:eastAsia="zh-CN"/>
        </w:rPr>
      </w:pPr>
    </w:p>
    <w:p w14:paraId="32536D7E">
      <w:pPr>
        <w:spacing w:line="360" w:lineRule="auto"/>
        <w:jc w:val="center"/>
        <w:rPr>
          <w:rFonts w:cs="Times"/>
          <w:highlight w:val="none"/>
          <w:lang w:eastAsia="zh-CN"/>
        </w:rPr>
      </w:pPr>
      <w:r>
        <w:rPr>
          <w:rFonts w:cs="Times"/>
          <w:highlight w:val="none"/>
          <w:lang w:eastAsia="zh-CN"/>
        </w:rPr>
        <w:drawing>
          <wp:inline distT="0" distB="0" distL="0" distR="0">
            <wp:extent cx="4667885" cy="229108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75457" cy="22946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81E00E">
      <w:pPr>
        <w:spacing w:line="360" w:lineRule="auto"/>
        <w:jc w:val="center"/>
        <w:rPr>
          <w:rFonts w:cs="Times"/>
          <w:highlight w:val="none"/>
          <w:lang w:eastAsia="zh-CN"/>
        </w:rPr>
      </w:pPr>
    </w:p>
    <w:p w14:paraId="2AEDBCB9">
      <w:pPr>
        <w:spacing w:line="360" w:lineRule="auto"/>
        <w:jc w:val="both"/>
        <w:rPr>
          <w:rFonts w:hint="eastAsia" w:cs="Times"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cs="Times"/>
          <w:b/>
          <w:bCs/>
          <w:highlight w:val="none"/>
        </w:rPr>
        <w:t>Figure S</w:t>
      </w:r>
      <w:r>
        <w:rPr>
          <w:rFonts w:hint="eastAsia" w:cs="Times"/>
          <w:b/>
          <w:bCs/>
          <w:highlight w:val="none"/>
          <w:lang w:eastAsia="zh-CN"/>
        </w:rPr>
        <w:t>5</w:t>
      </w:r>
      <w:r>
        <w:rPr>
          <w:rFonts w:cs="Times"/>
          <w:b/>
          <w:bCs/>
          <w:highlight w:val="none"/>
        </w:rPr>
        <w:t>.</w:t>
      </w:r>
      <w:r>
        <w:rPr>
          <w:rFonts w:cs="Times"/>
          <w:b/>
          <w:bCs/>
          <w:highlight w:val="none"/>
          <w:lang w:eastAsia="zh-CN"/>
        </w:rPr>
        <w:t xml:space="preserve"> </w:t>
      </w:r>
      <w:r>
        <w:rPr>
          <w:rFonts w:hint="eastAsia" w:cs="Times"/>
          <w:highlight w:val="none"/>
          <w:lang w:eastAsia="zh-CN"/>
        </w:rPr>
        <w:t>Cellular uptake of Cy5-labeled 5% Kae-DLNP, 5% Kae-LNP, 2% Kae-LNP, and LNP in A549 cells after 4 h of co-incubation, analyzed by flow cytometry.</w:t>
      </w:r>
    </w:p>
    <w:p w14:paraId="7A0A7558">
      <w:pPr>
        <w:spacing w:line="360" w:lineRule="auto"/>
        <w:jc w:val="both"/>
        <w:rPr>
          <w:rFonts w:cs="Times"/>
          <w:b/>
          <w:bCs/>
          <w:highlight w:val="none"/>
          <w:lang w:eastAsia="zh-CN"/>
        </w:rPr>
      </w:pPr>
    </w:p>
    <w:p w14:paraId="5EB0646F">
      <w:pPr>
        <w:spacing w:line="360" w:lineRule="auto"/>
        <w:jc w:val="center"/>
        <w:rPr>
          <w:rFonts w:cs="Times"/>
          <w:b/>
          <w:bCs/>
          <w:highlight w:val="none"/>
        </w:rPr>
      </w:pPr>
      <w:r>
        <w:rPr>
          <w:rFonts w:cs="Times"/>
          <w:b/>
          <w:bCs/>
          <w:highlight w:val="none"/>
        </w:rPr>
        <w:drawing>
          <wp:inline distT="0" distB="0" distL="0" distR="0">
            <wp:extent cx="6029325" cy="1931035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44578" cy="19362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812C34">
      <w:pPr>
        <w:spacing w:line="360" w:lineRule="auto"/>
        <w:jc w:val="both"/>
        <w:rPr>
          <w:rFonts w:cs="Times"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cs="Times"/>
          <w:b/>
          <w:bCs/>
          <w:highlight w:val="none"/>
        </w:rPr>
        <w:t>Figure S</w:t>
      </w:r>
      <w:r>
        <w:rPr>
          <w:rFonts w:cs="Times"/>
          <w:b/>
          <w:bCs/>
          <w:highlight w:val="none"/>
          <w:lang w:eastAsia="zh-CN"/>
        </w:rPr>
        <w:t>6</w:t>
      </w:r>
      <w:r>
        <w:rPr>
          <w:rFonts w:cs="Times"/>
          <w:b/>
          <w:bCs/>
          <w:highlight w:val="none"/>
        </w:rPr>
        <w:t>.</w:t>
      </w:r>
      <w:r>
        <w:rPr>
          <w:rFonts w:cs="Times"/>
          <w:b/>
          <w:bCs/>
          <w:highlight w:val="none"/>
          <w:lang w:eastAsia="zh-CN"/>
        </w:rPr>
        <w:t xml:space="preserve"> </w:t>
      </w:r>
      <w:r>
        <w:rPr>
          <w:rFonts w:cs="Times"/>
          <w:highlight w:val="none"/>
          <w:lang w:eastAsia="zh-CN"/>
        </w:rPr>
        <w:t>Flow cytometric analysis of the effects of endocytic inhibitors on cellular uptake of Cy5-labeled LNP formulations in A549 cells. A549 cells were treated with Cy5-labeled (a) LNP, (b) 2% Kae-LNP, (c) 5% Kae-LNP, or (d) 5% Kae-DLNP in the presence of the caveolae-mediated endocytosis inhibitor Genistein (GEN), the clathrin-mediated endocytosis inhibitor Chlorpromazine (CPZ), or the macropinocytosis inhibitor EIPA hydrochloride for 2 h. The mean fluorescence intensity (MFI) of Cy5 was then analyzed by flow cytometry to assess changes in cellular uptake.</w:t>
      </w:r>
      <w:r>
        <w:rPr>
          <w:rFonts w:cs="Times"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  <w:t xml:space="preserve"> Data are presented as mean ± SD (n = 3).</w:t>
      </w:r>
    </w:p>
    <w:p w14:paraId="7CED823A">
      <w:pPr>
        <w:spacing w:line="360" w:lineRule="auto"/>
        <w:jc w:val="both"/>
        <w:rPr>
          <w:rFonts w:cs="Times"/>
          <w:highlight w:val="none"/>
          <w:lang w:eastAsia="zh-CN"/>
        </w:rPr>
      </w:pPr>
    </w:p>
    <w:p w14:paraId="5A97FC3C">
      <w:pPr>
        <w:spacing w:line="360" w:lineRule="auto"/>
        <w:jc w:val="center"/>
        <w:rPr>
          <w:rFonts w:cs="Times"/>
          <w:highlight w:val="none"/>
          <w:lang w:eastAsia="zh-CN"/>
        </w:rPr>
      </w:pPr>
      <w:r>
        <w:rPr>
          <w:rFonts w:cs="Times"/>
          <w:highlight w:val="none"/>
          <w:lang w:eastAsia="zh-CN"/>
        </w:rPr>
        <w:drawing>
          <wp:inline distT="0" distB="0" distL="0" distR="0">
            <wp:extent cx="5288915" cy="2876550"/>
            <wp:effectExtent l="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91361" cy="2877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DAC430">
      <w:pPr>
        <w:spacing w:line="360" w:lineRule="auto"/>
        <w:jc w:val="both"/>
        <w:rPr>
          <w:rFonts w:cs="Times"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Times"/>
          <w:b/>
          <w:bCs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  <w:t>Figure S</w:t>
      </w:r>
      <w:r>
        <w:rPr>
          <w:rFonts w:cs="Times"/>
          <w:b/>
          <w:bCs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cs="Times"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highlight w:val="none"/>
        </w:rPr>
        <w:t xml:space="preserve"> </w:t>
      </w:r>
      <w:r>
        <w:rPr>
          <w:rFonts w:cs="Times"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  <w:t>Quantitative analysis of immunofluorescence staining for (a) NLRP3 inflammasome and (b) the pro-inflammatory marker p65 in RAW 264.7 macrophages. Cells were treated with LNP, 2% Kae-LNP, 5% Kae-LNP, or 5% Kae-DLNP for 6 h. NC denotes the untreated negative control group. Data are presented as mean ± SD (n = 3).</w:t>
      </w:r>
    </w:p>
    <w:p w14:paraId="50B90BEC">
      <w:pPr>
        <w:spacing w:line="360" w:lineRule="auto"/>
        <w:jc w:val="both"/>
        <w:rPr>
          <w:rFonts w:cs="Times"/>
          <w:b/>
          <w:bCs/>
          <w:color w:val="FF0000"/>
          <w:highlight w:val="none"/>
        </w:rPr>
      </w:pPr>
    </w:p>
    <w:p w14:paraId="56F75A0C">
      <w:pPr>
        <w:spacing w:line="360" w:lineRule="auto"/>
        <w:jc w:val="center"/>
        <w:rPr>
          <w:rFonts w:cs="Times"/>
          <w:b/>
          <w:bCs/>
          <w:color w:val="FF0000"/>
          <w:highlight w:val="none"/>
        </w:rPr>
      </w:pPr>
      <w:r>
        <w:rPr>
          <w:highlight w:val="none"/>
        </w:rPr>
        <w:drawing>
          <wp:inline distT="0" distB="0" distL="0" distR="0">
            <wp:extent cx="3886200" cy="2743835"/>
            <wp:effectExtent l="0" t="0" r="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99346" cy="2753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38104A">
      <w:pPr>
        <w:spacing w:line="360" w:lineRule="auto"/>
        <w:jc w:val="both"/>
        <w:rPr>
          <w:rFonts w:cs="Times"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cs="Times"/>
          <w:b/>
          <w:bCs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Figure S</w:t>
      </w:r>
      <w:r>
        <w:rPr>
          <w:rFonts w:cs="Times"/>
          <w:b/>
          <w:bCs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  <w:t>8</w:t>
      </w:r>
      <w:r>
        <w:rPr>
          <w:rFonts w:cs="Times"/>
          <w:b/>
          <w:bCs/>
          <w:color w:val="000000" w:themeColor="text1"/>
          <w:highlight w:val="none"/>
          <w14:textFill>
            <w14:solidFill>
              <w14:schemeClr w14:val="tx1"/>
            </w14:solidFill>
          </w14:textFill>
        </w:rPr>
        <w:t>.</w:t>
      </w:r>
      <w:r>
        <w:rPr>
          <w:rFonts w:cs="Times"/>
          <w:color w:val="FF0000"/>
          <w:highlight w:val="none"/>
          <w:lang w:eastAsia="zh-CN"/>
        </w:rPr>
        <w:t xml:space="preserve"> </w:t>
      </w:r>
      <w:r>
        <w:rPr>
          <w:rFonts w:cs="Times"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  <w:t xml:space="preserve"> Monitoring of body weight in tumor-bearing mice throughout the treatment regimen. Mice were weighed every 2 days during the entire treatment period. Data are presented as mean ± SD (n = 5).</w:t>
      </w:r>
    </w:p>
    <w:p w14:paraId="193134E2">
      <w:pPr>
        <w:spacing w:line="360" w:lineRule="auto"/>
        <w:jc w:val="both"/>
        <w:rPr>
          <w:rFonts w:cs="Times"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</w:pPr>
    </w:p>
    <w:p w14:paraId="4D0F2FA0">
      <w:pPr>
        <w:spacing w:line="360" w:lineRule="auto"/>
        <w:jc w:val="both"/>
        <w:rPr>
          <w:rFonts w:cs="Times"/>
          <w:highlight w:val="none"/>
          <w:lang w:eastAsia="zh-CN"/>
        </w:rPr>
      </w:pPr>
      <w:r>
        <w:rPr>
          <w:rFonts w:cs="Times"/>
          <w:highlight w:val="none"/>
          <w:lang w:eastAsia="zh-CN"/>
        </w:rPr>
        <w:drawing>
          <wp:inline distT="0" distB="0" distL="0" distR="0">
            <wp:extent cx="5794375" cy="4508500"/>
            <wp:effectExtent l="0" t="0" r="0" b="635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03387" cy="45150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0693ED">
      <w:pPr>
        <w:spacing w:line="360" w:lineRule="auto"/>
        <w:jc w:val="both"/>
        <w:rPr>
          <w:rFonts w:cs="Times"/>
          <w:b/>
          <w:bCs/>
          <w:highlight w:val="none"/>
          <w:lang w:eastAsia="zh-CN"/>
        </w:rPr>
      </w:pPr>
      <w:r>
        <w:rPr>
          <w:rFonts w:hint="eastAsia" w:cs="Times"/>
          <w:b/>
          <w:bCs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  <w:t>Figure S</w:t>
      </w:r>
      <w:r>
        <w:rPr>
          <w:rFonts w:cs="Times"/>
          <w:b/>
          <w:bCs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cs="Times"/>
          <w:b/>
          <w:bCs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cs="Times"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  <w:t>Representative flow cytometry gating strategy for tumor-infiltrating CD8⁺ T cells in the lung cancer model following treatment. Tumor tissues were harvested from mice treated with (a) PBS, (b) LNP, (c) 5% Kae-LNP, or (d) 5% Kae-DLNP, and CD8⁺ T cell populations were analyzed by flow cytometry.</w:t>
      </w:r>
    </w:p>
    <w:p w14:paraId="3B3CBEA4">
      <w:pPr>
        <w:spacing w:line="360" w:lineRule="auto"/>
        <w:jc w:val="both"/>
        <w:rPr>
          <w:rFonts w:cs="Times"/>
          <w:b/>
          <w:bCs/>
          <w:highlight w:val="none"/>
          <w:lang w:eastAsia="zh-CN"/>
        </w:rPr>
      </w:pPr>
    </w:p>
    <w:p w14:paraId="2C7388DB">
      <w:pPr>
        <w:spacing w:line="360" w:lineRule="auto"/>
        <w:jc w:val="center"/>
        <w:rPr>
          <w:rFonts w:cs="Times"/>
          <w:b/>
          <w:bCs/>
          <w:highlight w:val="none"/>
          <w:lang w:eastAsia="zh-CN"/>
        </w:rPr>
      </w:pPr>
      <w:r>
        <w:rPr>
          <w:rFonts w:cs="Times"/>
          <w:b/>
          <w:bCs/>
          <w:highlight w:val="none"/>
          <w:lang w:eastAsia="zh-CN"/>
        </w:rPr>
        <w:drawing>
          <wp:inline distT="0" distB="0" distL="0" distR="0">
            <wp:extent cx="5996940" cy="4659630"/>
            <wp:effectExtent l="0" t="0" r="381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03724" cy="46646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7193F5">
      <w:pPr>
        <w:spacing w:line="360" w:lineRule="auto"/>
        <w:jc w:val="both"/>
        <w:rPr>
          <w:rFonts w:cs="Times"/>
          <w:highlight w:val="none"/>
          <w:lang w:eastAsia="zh-CN"/>
        </w:rPr>
      </w:pPr>
      <w:r>
        <w:rPr>
          <w:rFonts w:cs="Times"/>
          <w:b/>
          <w:bCs/>
          <w:highlight w:val="none"/>
          <w:lang w:eastAsia="zh-CN"/>
        </w:rPr>
        <w:t>Figure S10.</w:t>
      </w:r>
      <w:r>
        <w:rPr>
          <w:rFonts w:cs="Times"/>
          <w:highlight w:val="none"/>
          <w:lang w:eastAsia="zh-CN"/>
        </w:rPr>
        <w:t xml:space="preserve"> Representative flow cytometry gating strategy for memory T cell activation (CD44⁺/CD62L⁺) in splenocytes following treatment in the lung cancer model. Mice were treated with (a) PBS, (b) LNP, (c) 5% Kae-LNP, or (d) 5% Kae-DLNP. Splenocytes were harvested after treatment completion and analyzed by flow cytometry for the presence of activated memory T cells (CD44⁺/CD62L⁺ double-positive among CD3⁺CD4⁺ T cells).</w:t>
      </w:r>
    </w:p>
    <w:p w14:paraId="7B3BB6B4">
      <w:pPr>
        <w:spacing w:line="360" w:lineRule="auto"/>
        <w:jc w:val="both"/>
        <w:rPr>
          <w:rFonts w:cs="Times"/>
          <w:highlight w:val="none"/>
          <w:lang w:eastAsia="zh-CN"/>
        </w:rPr>
      </w:pPr>
    </w:p>
    <w:p w14:paraId="4066A44F">
      <w:pPr>
        <w:spacing w:line="360" w:lineRule="auto"/>
        <w:jc w:val="both"/>
        <w:rPr>
          <w:rFonts w:cs="Times"/>
          <w:highlight w:val="none"/>
          <w:lang w:eastAsia="zh-CN"/>
        </w:rPr>
      </w:pPr>
      <w:r>
        <w:rPr>
          <w:rFonts w:cs="Times"/>
          <w:highlight w:val="none"/>
          <w:lang w:eastAsia="zh-CN"/>
        </w:rPr>
        <w:drawing>
          <wp:inline distT="0" distB="0" distL="0" distR="0">
            <wp:extent cx="5633720" cy="4189730"/>
            <wp:effectExtent l="0" t="0" r="5080" b="127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41058" cy="41955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BF7DE9">
      <w:pPr>
        <w:spacing w:line="360" w:lineRule="auto"/>
        <w:jc w:val="both"/>
        <w:rPr>
          <w:rFonts w:cs="Times"/>
          <w:highlight w:val="none"/>
        </w:rPr>
      </w:pPr>
      <w:r>
        <w:rPr>
          <w:rFonts w:cs="Times"/>
          <w:b/>
          <w:bCs/>
          <w:highlight w:val="none"/>
          <w:lang w:eastAsia="zh-CN"/>
        </w:rPr>
        <w:t>Figure</w:t>
      </w:r>
      <w:r>
        <w:rPr>
          <w:rFonts w:hint="eastAsia" w:cs="Times"/>
          <w:b/>
          <w:bCs/>
          <w:highlight w:val="none"/>
          <w:lang w:eastAsia="zh-CN"/>
        </w:rPr>
        <w:t xml:space="preserve"> </w:t>
      </w:r>
      <w:r>
        <w:rPr>
          <w:rFonts w:cs="Times"/>
          <w:b/>
          <w:bCs/>
          <w:highlight w:val="none"/>
          <w:lang w:eastAsia="zh-CN"/>
        </w:rPr>
        <w:t>S</w:t>
      </w:r>
      <w:r>
        <w:rPr>
          <w:rFonts w:hint="eastAsia" w:cs="Times"/>
          <w:b/>
          <w:bCs/>
          <w:highlight w:val="none"/>
          <w:lang w:eastAsia="zh-CN"/>
        </w:rPr>
        <w:t>1</w:t>
      </w:r>
      <w:r>
        <w:rPr>
          <w:rFonts w:cs="Times"/>
          <w:b/>
          <w:bCs/>
          <w:highlight w:val="none"/>
          <w:lang w:eastAsia="zh-CN"/>
        </w:rPr>
        <w:t>1.</w:t>
      </w:r>
      <w:r>
        <w:rPr>
          <w:rFonts w:cs="Times"/>
          <w:highlight w:val="none"/>
          <w:lang w:eastAsia="zh-CN"/>
        </w:rPr>
        <w:t xml:space="preserve"> Figure S9. Histopathological analysis of major organs following pulmonary administration of LNP formulations. Mice were euthanized 24 h after nebulization with 5% Kae-DLNP, 5% Kae-LNP, 2% Kae-LNP, or LNP. Heart, liver, spleen, lungs, and kidneys were harvested and subjected to H&amp;E staining for histological evaluation of potential organ damage or inflammatory responses. Scale bar: 100 µm.</w:t>
      </w:r>
    </w:p>
    <w:sectPr>
      <w:headerReference r:id="rId3" w:type="default"/>
      <w:footerReference r:id="rId4" w:type="default"/>
      <w:pgSz w:w="12240" w:h="15840"/>
      <w:pgMar w:top="1440" w:right="1440" w:bottom="1440" w:left="1440" w:header="720" w:footer="720" w:gutter="0"/>
      <w:pgNumType w:start="1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2000000" w:usb3="00000000" w:csb0="0000019F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Tahoma">
    <w:panose1 w:val="020B0604030504040204"/>
    <w:charset w:val="00"/>
    <w:family w:val="swiss"/>
    <w:pitch w:val="default"/>
    <w:sig w:usb0="E1002AFF" w:usb1="C000605B" w:usb2="00000029" w:usb3="00000000" w:csb0="200101FF" w:csb1="20280000"/>
  </w:font>
  <w:font w:name="MS Mincho">
    <w:altName w:val="Hiragino Sans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  <w:docPartObj>
        <w:docPartGallery w:val="autotext"/>
      </w:docPartObj>
    </w:sdtPr>
    <w:sdtContent>
      <w:p w14:paraId="23AAC99E">
        <w:pPr>
          <w:pStyle w:val="55"/>
          <w:jc w:val="center"/>
        </w:pPr>
        <w:r>
          <w:rPr>
            <w:rFonts w:hint="eastAsia"/>
            <w:lang w:eastAsia="zh-CN"/>
          </w:rPr>
          <w:t>S</w:t>
        </w: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 w:eastAsia="zh-CN"/>
          </w:rPr>
          <w:t>2</w:t>
        </w:r>
        <w:r>
          <w:fldChar w:fldCharType="end"/>
        </w:r>
      </w:p>
    </w:sdtContent>
  </w:sdt>
  <w:p w14:paraId="211F3547">
    <w:pPr>
      <w:pStyle w:val="5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501F95">
    <w:pPr>
      <w:jc w:val="right"/>
      <w:rPr>
        <w:sz w:val="20"/>
      </w:rPr>
    </w:pPr>
  </w:p>
  <w:p w14:paraId="3CD866E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65"/>
      <w:lvlText w:val="%1."/>
      <w:lvlJc w:val="left"/>
      <w:pPr>
        <w:tabs>
          <w:tab w:val="left" w:pos="1800"/>
        </w:tabs>
        <w:ind w:left="1800" w:hanging="36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47"/>
      <w:lvlText w:val="%1."/>
      <w:lvlJc w:val="left"/>
      <w:pPr>
        <w:tabs>
          <w:tab w:val="left" w:pos="1440"/>
        </w:tabs>
        <w:ind w:left="1440" w:hanging="36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36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14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46"/>
      <w:lvlText w:val=""/>
      <w:lvlJc w:val="left"/>
      <w:pPr>
        <w:tabs>
          <w:tab w:val="left" w:pos="1800"/>
        </w:tabs>
        <w:ind w:left="1800" w:hanging="360"/>
      </w:pPr>
      <w:rPr>
        <w:rFonts w:hint="default" w:ascii="Symbol" w:hAnsi="Symbol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17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33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40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20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24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9"/>
  </w:num>
  <w:num w:numId="5">
    <w:abstractNumId w:val="6"/>
  </w:num>
  <w:num w:numId="6">
    <w:abstractNumId w:val="2"/>
  </w:num>
  <w:num w:numId="7">
    <w:abstractNumId w:val="7"/>
  </w:num>
  <w:num w:numId="8">
    <w:abstractNumId w:val="4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6"/>
  <w:doNotDisplayPageBoundaries w:val="1"/>
  <w:bordersDoNotSurroundHeader w:val="1"/>
  <w:bordersDoNotSurroundFooter w:val="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enforcement="0"/>
  <w:defaultTabStop w:val="720"/>
  <w:characterSpacingControl w:val="doNotCompress"/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dvanced Materials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pveaazphf5f99e2z955wwtxza0fwsvt9fer&quot;&gt;Nanomotor-Saved&lt;record-ids&gt;&lt;item&gt;279&lt;/item&gt;&lt;item&gt;371&lt;/item&gt;&lt;/record-ids&gt;&lt;/item&gt;&lt;/Libraries&gt;"/>
  </w:docVars>
  <w:rsids>
    <w:rsidRoot w:val="002C030F"/>
    <w:rsid w:val="00015F74"/>
    <w:rsid w:val="000420DE"/>
    <w:rsid w:val="00044307"/>
    <w:rsid w:val="000632D9"/>
    <w:rsid w:val="00065EBD"/>
    <w:rsid w:val="00066D0C"/>
    <w:rsid w:val="000761D7"/>
    <w:rsid w:val="000830FA"/>
    <w:rsid w:val="00083B44"/>
    <w:rsid w:val="000841B9"/>
    <w:rsid w:val="000850DC"/>
    <w:rsid w:val="00087ABA"/>
    <w:rsid w:val="00097090"/>
    <w:rsid w:val="00097407"/>
    <w:rsid w:val="000A6F8F"/>
    <w:rsid w:val="000C07BF"/>
    <w:rsid w:val="000C2771"/>
    <w:rsid w:val="000C4B11"/>
    <w:rsid w:val="000D21DA"/>
    <w:rsid w:val="000D3B29"/>
    <w:rsid w:val="000D46F4"/>
    <w:rsid w:val="000F0DCE"/>
    <w:rsid w:val="000F6BE3"/>
    <w:rsid w:val="0010762D"/>
    <w:rsid w:val="00112C5B"/>
    <w:rsid w:val="00114193"/>
    <w:rsid w:val="00115A38"/>
    <w:rsid w:val="0011687B"/>
    <w:rsid w:val="00122576"/>
    <w:rsid w:val="00124192"/>
    <w:rsid w:val="00124F82"/>
    <w:rsid w:val="001318D1"/>
    <w:rsid w:val="00141431"/>
    <w:rsid w:val="00146294"/>
    <w:rsid w:val="0016337A"/>
    <w:rsid w:val="00164269"/>
    <w:rsid w:val="0018628C"/>
    <w:rsid w:val="00193642"/>
    <w:rsid w:val="001A1BDE"/>
    <w:rsid w:val="001B13CE"/>
    <w:rsid w:val="001D0C48"/>
    <w:rsid w:val="001D2FAA"/>
    <w:rsid w:val="001E3396"/>
    <w:rsid w:val="001E49F8"/>
    <w:rsid w:val="001F0876"/>
    <w:rsid w:val="001F167C"/>
    <w:rsid w:val="001F5E91"/>
    <w:rsid w:val="002077B9"/>
    <w:rsid w:val="002340AC"/>
    <w:rsid w:val="002368ED"/>
    <w:rsid w:val="00242A6E"/>
    <w:rsid w:val="00244477"/>
    <w:rsid w:val="00262D72"/>
    <w:rsid w:val="0026461D"/>
    <w:rsid w:val="00294FBB"/>
    <w:rsid w:val="00297F83"/>
    <w:rsid w:val="002B0190"/>
    <w:rsid w:val="002B2EAA"/>
    <w:rsid w:val="002C030F"/>
    <w:rsid w:val="002C387F"/>
    <w:rsid w:val="002F0FB6"/>
    <w:rsid w:val="002F1399"/>
    <w:rsid w:val="002F1938"/>
    <w:rsid w:val="002F3DC1"/>
    <w:rsid w:val="00305354"/>
    <w:rsid w:val="003079A1"/>
    <w:rsid w:val="0031671A"/>
    <w:rsid w:val="00320425"/>
    <w:rsid w:val="003240FC"/>
    <w:rsid w:val="00331D75"/>
    <w:rsid w:val="00340C14"/>
    <w:rsid w:val="00347188"/>
    <w:rsid w:val="00355362"/>
    <w:rsid w:val="00363E44"/>
    <w:rsid w:val="003659A8"/>
    <w:rsid w:val="003669F9"/>
    <w:rsid w:val="00392402"/>
    <w:rsid w:val="00393BAB"/>
    <w:rsid w:val="003959A2"/>
    <w:rsid w:val="00395E86"/>
    <w:rsid w:val="003A2FD8"/>
    <w:rsid w:val="003B40E6"/>
    <w:rsid w:val="003C3A99"/>
    <w:rsid w:val="003D504F"/>
    <w:rsid w:val="003E5975"/>
    <w:rsid w:val="003E74FB"/>
    <w:rsid w:val="003F5904"/>
    <w:rsid w:val="003F6E14"/>
    <w:rsid w:val="004042FC"/>
    <w:rsid w:val="00404455"/>
    <w:rsid w:val="00405336"/>
    <w:rsid w:val="00412932"/>
    <w:rsid w:val="004178F3"/>
    <w:rsid w:val="0042095A"/>
    <w:rsid w:val="004214D6"/>
    <w:rsid w:val="004261E2"/>
    <w:rsid w:val="00435ABE"/>
    <w:rsid w:val="0044574B"/>
    <w:rsid w:val="00446644"/>
    <w:rsid w:val="00452B6C"/>
    <w:rsid w:val="004571D5"/>
    <w:rsid w:val="00461D81"/>
    <w:rsid w:val="0046356B"/>
    <w:rsid w:val="00465610"/>
    <w:rsid w:val="00477182"/>
    <w:rsid w:val="004779CB"/>
    <w:rsid w:val="004810C4"/>
    <w:rsid w:val="004A6F57"/>
    <w:rsid w:val="004C2281"/>
    <w:rsid w:val="004C5E29"/>
    <w:rsid w:val="004D0135"/>
    <w:rsid w:val="004D18BF"/>
    <w:rsid w:val="004E42D8"/>
    <w:rsid w:val="004E7BA2"/>
    <w:rsid w:val="004F6C5C"/>
    <w:rsid w:val="004F7EDF"/>
    <w:rsid w:val="005001AC"/>
    <w:rsid w:val="00502AA6"/>
    <w:rsid w:val="0052157D"/>
    <w:rsid w:val="00523F7C"/>
    <w:rsid w:val="00524C58"/>
    <w:rsid w:val="00527D71"/>
    <w:rsid w:val="00533910"/>
    <w:rsid w:val="005520A8"/>
    <w:rsid w:val="00552FF5"/>
    <w:rsid w:val="005607DD"/>
    <w:rsid w:val="00560ECC"/>
    <w:rsid w:val="00561FCD"/>
    <w:rsid w:val="00567853"/>
    <w:rsid w:val="00573DC3"/>
    <w:rsid w:val="00591A1D"/>
    <w:rsid w:val="005A0B44"/>
    <w:rsid w:val="005A558C"/>
    <w:rsid w:val="005D712F"/>
    <w:rsid w:val="005E1185"/>
    <w:rsid w:val="005E28F8"/>
    <w:rsid w:val="005E3DF0"/>
    <w:rsid w:val="005E6513"/>
    <w:rsid w:val="00607E8E"/>
    <w:rsid w:val="00610367"/>
    <w:rsid w:val="00631EB3"/>
    <w:rsid w:val="00632C1E"/>
    <w:rsid w:val="00632CA3"/>
    <w:rsid w:val="00646D02"/>
    <w:rsid w:val="00651114"/>
    <w:rsid w:val="00664560"/>
    <w:rsid w:val="00664DC8"/>
    <w:rsid w:val="00670299"/>
    <w:rsid w:val="00691985"/>
    <w:rsid w:val="006974CF"/>
    <w:rsid w:val="00697611"/>
    <w:rsid w:val="00697871"/>
    <w:rsid w:val="006A1B64"/>
    <w:rsid w:val="006B60B6"/>
    <w:rsid w:val="006C494A"/>
    <w:rsid w:val="007108F5"/>
    <w:rsid w:val="00713E5B"/>
    <w:rsid w:val="007240FB"/>
    <w:rsid w:val="0072730F"/>
    <w:rsid w:val="00735EF5"/>
    <w:rsid w:val="007402FC"/>
    <w:rsid w:val="00740D21"/>
    <w:rsid w:val="007411A1"/>
    <w:rsid w:val="00762E1F"/>
    <w:rsid w:val="00770FCC"/>
    <w:rsid w:val="00793072"/>
    <w:rsid w:val="00794E1E"/>
    <w:rsid w:val="007B5878"/>
    <w:rsid w:val="007C45B3"/>
    <w:rsid w:val="007E0C22"/>
    <w:rsid w:val="007E2786"/>
    <w:rsid w:val="007E7184"/>
    <w:rsid w:val="007F411C"/>
    <w:rsid w:val="00807D35"/>
    <w:rsid w:val="008218C4"/>
    <w:rsid w:val="00837D99"/>
    <w:rsid w:val="00844122"/>
    <w:rsid w:val="00846326"/>
    <w:rsid w:val="00847816"/>
    <w:rsid w:val="00863A0D"/>
    <w:rsid w:val="00867A98"/>
    <w:rsid w:val="00870867"/>
    <w:rsid w:val="00870887"/>
    <w:rsid w:val="00870DB3"/>
    <w:rsid w:val="00885C9B"/>
    <w:rsid w:val="0089076F"/>
    <w:rsid w:val="00893CA9"/>
    <w:rsid w:val="008948C4"/>
    <w:rsid w:val="008967A8"/>
    <w:rsid w:val="008A0F5A"/>
    <w:rsid w:val="008C69EA"/>
    <w:rsid w:val="008D5D2A"/>
    <w:rsid w:val="008E6ADE"/>
    <w:rsid w:val="00907168"/>
    <w:rsid w:val="00914B63"/>
    <w:rsid w:val="009354F3"/>
    <w:rsid w:val="009447DC"/>
    <w:rsid w:val="00945471"/>
    <w:rsid w:val="00950234"/>
    <w:rsid w:val="00961BA5"/>
    <w:rsid w:val="0096407D"/>
    <w:rsid w:val="00970FB5"/>
    <w:rsid w:val="009743A9"/>
    <w:rsid w:val="009A3766"/>
    <w:rsid w:val="009A5287"/>
    <w:rsid w:val="009A7C5F"/>
    <w:rsid w:val="009B2AC5"/>
    <w:rsid w:val="009B7984"/>
    <w:rsid w:val="009D21B1"/>
    <w:rsid w:val="009D2B61"/>
    <w:rsid w:val="009D3D1D"/>
    <w:rsid w:val="009E51E7"/>
    <w:rsid w:val="009F34A5"/>
    <w:rsid w:val="009F4BED"/>
    <w:rsid w:val="009F7D93"/>
    <w:rsid w:val="00A02E0C"/>
    <w:rsid w:val="00A03FEC"/>
    <w:rsid w:val="00A10A12"/>
    <w:rsid w:val="00A1174A"/>
    <w:rsid w:val="00A201AB"/>
    <w:rsid w:val="00A3403B"/>
    <w:rsid w:val="00A50257"/>
    <w:rsid w:val="00A51A12"/>
    <w:rsid w:val="00A51A91"/>
    <w:rsid w:val="00A51EFA"/>
    <w:rsid w:val="00A53A78"/>
    <w:rsid w:val="00A627D4"/>
    <w:rsid w:val="00A674A9"/>
    <w:rsid w:val="00A74DA2"/>
    <w:rsid w:val="00A76BA6"/>
    <w:rsid w:val="00A77632"/>
    <w:rsid w:val="00A841F1"/>
    <w:rsid w:val="00A95C06"/>
    <w:rsid w:val="00A97F93"/>
    <w:rsid w:val="00AA62C6"/>
    <w:rsid w:val="00AA6CEE"/>
    <w:rsid w:val="00AB399E"/>
    <w:rsid w:val="00AC126B"/>
    <w:rsid w:val="00AC4762"/>
    <w:rsid w:val="00AC59D0"/>
    <w:rsid w:val="00AD16B1"/>
    <w:rsid w:val="00AD499C"/>
    <w:rsid w:val="00AD7A84"/>
    <w:rsid w:val="00B00F44"/>
    <w:rsid w:val="00B03FEF"/>
    <w:rsid w:val="00B12C89"/>
    <w:rsid w:val="00B17F2E"/>
    <w:rsid w:val="00B23B6E"/>
    <w:rsid w:val="00B36869"/>
    <w:rsid w:val="00B43B31"/>
    <w:rsid w:val="00B47CFA"/>
    <w:rsid w:val="00B52846"/>
    <w:rsid w:val="00B54BA6"/>
    <w:rsid w:val="00B574A3"/>
    <w:rsid w:val="00B57F00"/>
    <w:rsid w:val="00B63245"/>
    <w:rsid w:val="00B73C69"/>
    <w:rsid w:val="00B77B2A"/>
    <w:rsid w:val="00B82C22"/>
    <w:rsid w:val="00B83997"/>
    <w:rsid w:val="00B842ED"/>
    <w:rsid w:val="00B93DBA"/>
    <w:rsid w:val="00B9440A"/>
    <w:rsid w:val="00BB2D2A"/>
    <w:rsid w:val="00BC2104"/>
    <w:rsid w:val="00BC290E"/>
    <w:rsid w:val="00BC3E04"/>
    <w:rsid w:val="00BD58CF"/>
    <w:rsid w:val="00BD7C64"/>
    <w:rsid w:val="00BE3D1B"/>
    <w:rsid w:val="00BE4507"/>
    <w:rsid w:val="00BF0C92"/>
    <w:rsid w:val="00C013E7"/>
    <w:rsid w:val="00C0155D"/>
    <w:rsid w:val="00C04CC1"/>
    <w:rsid w:val="00C15056"/>
    <w:rsid w:val="00C4096C"/>
    <w:rsid w:val="00C50C6D"/>
    <w:rsid w:val="00C600D9"/>
    <w:rsid w:val="00C90A8E"/>
    <w:rsid w:val="00C92B22"/>
    <w:rsid w:val="00C970F4"/>
    <w:rsid w:val="00CC1384"/>
    <w:rsid w:val="00CC7824"/>
    <w:rsid w:val="00CD3720"/>
    <w:rsid w:val="00CF1848"/>
    <w:rsid w:val="00CF5C2F"/>
    <w:rsid w:val="00CF6E16"/>
    <w:rsid w:val="00D04BCF"/>
    <w:rsid w:val="00D11A56"/>
    <w:rsid w:val="00D143D9"/>
    <w:rsid w:val="00D2671F"/>
    <w:rsid w:val="00D30C95"/>
    <w:rsid w:val="00D324BD"/>
    <w:rsid w:val="00D43F7A"/>
    <w:rsid w:val="00D51C15"/>
    <w:rsid w:val="00D5511B"/>
    <w:rsid w:val="00D766F1"/>
    <w:rsid w:val="00D91289"/>
    <w:rsid w:val="00D91591"/>
    <w:rsid w:val="00DD2E17"/>
    <w:rsid w:val="00DE24EC"/>
    <w:rsid w:val="00DE2E99"/>
    <w:rsid w:val="00DF4028"/>
    <w:rsid w:val="00DF7D88"/>
    <w:rsid w:val="00E02CE7"/>
    <w:rsid w:val="00E130C4"/>
    <w:rsid w:val="00E2161B"/>
    <w:rsid w:val="00E257C8"/>
    <w:rsid w:val="00E36ADF"/>
    <w:rsid w:val="00E40A10"/>
    <w:rsid w:val="00E41512"/>
    <w:rsid w:val="00E4519A"/>
    <w:rsid w:val="00E60086"/>
    <w:rsid w:val="00E630D7"/>
    <w:rsid w:val="00E7130C"/>
    <w:rsid w:val="00E8158B"/>
    <w:rsid w:val="00E853D5"/>
    <w:rsid w:val="00E90264"/>
    <w:rsid w:val="00E9773B"/>
    <w:rsid w:val="00EA6F42"/>
    <w:rsid w:val="00EB2785"/>
    <w:rsid w:val="00EC13A3"/>
    <w:rsid w:val="00EC1477"/>
    <w:rsid w:val="00EC7C85"/>
    <w:rsid w:val="00ED2CBE"/>
    <w:rsid w:val="00F00B19"/>
    <w:rsid w:val="00F125EE"/>
    <w:rsid w:val="00F12E98"/>
    <w:rsid w:val="00F22029"/>
    <w:rsid w:val="00F2229C"/>
    <w:rsid w:val="00F515FB"/>
    <w:rsid w:val="00F54511"/>
    <w:rsid w:val="00F610D8"/>
    <w:rsid w:val="00F630EA"/>
    <w:rsid w:val="00F64970"/>
    <w:rsid w:val="00F7007E"/>
    <w:rsid w:val="00F73193"/>
    <w:rsid w:val="00F74476"/>
    <w:rsid w:val="00F74F95"/>
    <w:rsid w:val="00F80705"/>
    <w:rsid w:val="00F82787"/>
    <w:rsid w:val="00F83D83"/>
    <w:rsid w:val="00FA1481"/>
    <w:rsid w:val="00FC2F7B"/>
    <w:rsid w:val="00FC6610"/>
    <w:rsid w:val="00FD0C39"/>
    <w:rsid w:val="00FD4971"/>
    <w:rsid w:val="00FF04E3"/>
    <w:rsid w:val="00FF29D1"/>
    <w:rsid w:val="49592D5B"/>
    <w:rsid w:val="6DF474BA"/>
    <w:rsid w:val="7BD97562"/>
    <w:rsid w:val="BED9ECBE"/>
    <w:rsid w:val="DFDCB900"/>
    <w:rsid w:val="FB77E0FB"/>
    <w:rsid w:val="FFF7B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name="heading 1"/>
    <w:lsdException w:qFormat="1" w:unhideWhenUsed="0" w:uiPriority="0" w:name="heading 2"/>
    <w:lsdException w:qFormat="1" w:unhideWhenUsed="0" w:uiPriority="0" w:name="heading 3"/>
    <w:lsdException w:qFormat="1" w:unhideWhenUsed="0" w:uiPriority="0" w:name="heading 4"/>
    <w:lsdException w:qFormat="1" w:unhideWhenUsed="0" w:uiPriority="0" w:name="heading 5"/>
    <w:lsdException w:qFormat="1" w:unhideWhenUsed="0" w:uiPriority="0" w:name="heading 6"/>
    <w:lsdException w:qFormat="1" w:unhideWhenUsed="0" w:uiPriority="0" w:name="heading 7"/>
    <w:lsdException w:qFormat="1" w:unhideWhenUsed="0" w:uiPriority="0" w:name="heading 8"/>
    <w:lsdException w:qFormat="1" w:unhideWhenUsed="0" w:uiPriority="0" w:name="heading 9"/>
    <w:lsdException w:unhideWhenUsed="0" w:uiPriority="0" w:name="index 1"/>
    <w:lsdException w:unhideWhenUsed="0" w:uiPriority="0" w:name="index 2"/>
    <w:lsdException w:unhideWhenUsed="0" w:uiPriority="0" w:name="index 3"/>
    <w:lsdException w:unhideWhenUsed="0" w:uiPriority="0" w:name="index 4"/>
    <w:lsdException w:unhideWhenUsed="0" w:uiPriority="0" w:name="index 5"/>
    <w:lsdException w:unhideWhenUsed="0" w:uiPriority="0" w:name="index 6"/>
    <w:lsdException w:unhideWhenUsed="0" w:uiPriority="0" w:name="index 7"/>
    <w:lsdException w:unhideWhenUsed="0" w:uiPriority="0" w:name="index 8"/>
    <w:lsdException w:unhideWhenUsed="0" w:uiPriority="0" w:name="index 9"/>
    <w:lsdException w:unhideWhenUsed="0" w:uiPriority="0" w:name="toc 1"/>
    <w:lsdException w:unhideWhenUsed="0" w:uiPriority="0" w:name="toc 2"/>
    <w:lsdException w:unhideWhenUsed="0" w:uiPriority="0" w:name="toc 3"/>
    <w:lsdException w:unhideWhenUsed="0" w:uiPriority="0" w:name="toc 4"/>
    <w:lsdException w:unhideWhenUsed="0" w:uiPriority="0" w:name="toc 5"/>
    <w:lsdException w:unhideWhenUsed="0" w:uiPriority="0" w:name="toc 6"/>
    <w:lsdException w:unhideWhenUsed="0" w:uiPriority="0" w:name="toc 7"/>
    <w:lsdException w:unhideWhenUsed="0" w:uiPriority="0" w:name="toc 8"/>
    <w:lsdException w:unhideWhenUsed="0" w:uiPriority="0" w:name="toc 9"/>
    <w:lsdException w:unhideWhenUsed="0" w:uiPriority="0" w:name="Normal Indent"/>
    <w:lsdException w:unhideWhenUsed="0" w:uiPriority="0" w:name="footnote text"/>
    <w:lsdException w:unhideWhenUsed="0" w:uiPriority="0" w:name="annotation text"/>
    <w:lsdException w:unhideWhenUsed="0" w:uiPriority="99" w:semiHidden="0" w:name="header"/>
    <w:lsdException w:unhideWhenUsed="0" w:uiPriority="99" w:semiHidden="0" w:name="footer"/>
    <w:lsdException w:unhideWhenUsed="0" w:uiPriority="0" w:name="index heading"/>
    <w:lsdException w:qFormat="1" w:unhideWhenUsed="0" w:uiPriority="0" w:name="caption"/>
    <w:lsdException w:unhideWhenUsed="0" w:uiPriority="0" w:name="table of figures"/>
    <w:lsdException w:unhideWhenUsed="0" w:uiPriority="0" w:name="envelope address"/>
    <w:lsdException w:unhideWhenUsed="0" w:uiPriority="0" w:name="envelope return"/>
    <w:lsdException w:uiPriority="0" w:name="footnote reference"/>
    <w:lsdException w:uiPriority="0" w:name="annotation reference"/>
    <w:lsdException w:uiPriority="0" w:name="line number"/>
    <w:lsdException w:unhideWhenUsed="0" w:uiPriority="0" w:name="page number"/>
    <w:lsdException w:uiPriority="0" w:name="endnote reference"/>
    <w:lsdException w:unhideWhenUsed="0" w:uiPriority="0" w:name="endnote text"/>
    <w:lsdException w:unhideWhenUsed="0" w:uiPriority="0" w:name="table of authorities"/>
    <w:lsdException w:unhideWhenUsed="0" w:uiPriority="0" w:name="macro"/>
    <w:lsdException w:unhideWhenUsed="0" w:uiPriority="0" w:name="toa heading"/>
    <w:lsdException w:unhideWhenUsed="0" w:uiPriority="0" w:name="List"/>
    <w:lsdException w:unhideWhenUsed="0" w:uiPriority="0" w:name="List Bullet"/>
    <w:lsdException w:unhideWhenUsed="0" w:uiPriority="0" w:name="List Number"/>
    <w:lsdException w:unhideWhenUsed="0" w:uiPriority="0" w:name="List 2"/>
    <w:lsdException w:unhideWhenUsed="0" w:uiPriority="0" w:name="List 3"/>
    <w:lsdException w:unhideWhenUsed="0" w:uiPriority="0" w:name="List 4"/>
    <w:lsdException w:unhideWhenUsed="0" w:uiPriority="0" w:name="List 5"/>
    <w:lsdException w:unhideWhenUsed="0" w:uiPriority="0" w:name="List Bullet 2"/>
    <w:lsdException w:unhideWhenUsed="0" w:uiPriority="0" w:name="List Bullet 3"/>
    <w:lsdException w:unhideWhenUsed="0" w:uiPriority="0" w:name="List Bullet 4"/>
    <w:lsdException w:unhideWhenUsed="0" w:uiPriority="0" w:name="List Bullet 5"/>
    <w:lsdException w:unhideWhenUsed="0" w:uiPriority="0" w:name="List Number 2"/>
    <w:lsdException w:unhideWhenUsed="0" w:uiPriority="0" w:name="List Number 3"/>
    <w:lsdException w:unhideWhenUsed="0" w:uiPriority="0" w:name="List Number 4"/>
    <w:lsdException w:unhideWhenUsed="0" w:uiPriority="0" w:name="List Number 5"/>
    <w:lsdException w:qFormat="1" w:unhideWhenUsed="0" w:uiPriority="0" w:name="Title"/>
    <w:lsdException w:unhideWhenUsed="0" w:uiPriority="0" w:name="Closing"/>
    <w:lsdException w:unhideWhenUsed="0" w:uiPriority="0" w:name="Signature"/>
    <w:lsdException w:uiPriority="1" w:semiHidden="0" w:name="Default Paragraph Font"/>
    <w:lsdException w:unhideWhenUsed="0" w:uiPriority="0" w:name="Body Text"/>
    <w:lsdException w:unhideWhenUsed="0" w:uiPriority="0" w:name="Body Text Indent"/>
    <w:lsdException w:unhideWhenUsed="0" w:uiPriority="0" w:name="List Continue"/>
    <w:lsdException w:unhideWhenUsed="0" w:uiPriority="0" w:name="List Continue 2"/>
    <w:lsdException w:unhideWhenUsed="0" w:uiPriority="0" w:name="List Continue 3"/>
    <w:lsdException w:unhideWhenUsed="0" w:uiPriority="0" w:name="List Continue 4"/>
    <w:lsdException w:unhideWhenUsed="0" w:uiPriority="0" w:name="List Continue 5"/>
    <w:lsdException w:unhideWhenUsed="0" w:uiPriority="0" w:name="Message Header"/>
    <w:lsdException w:qFormat="1" w:unhideWhenUsed="0" w:uiPriority="0" w:name="Subtitle"/>
    <w:lsdException w:unhideWhenUsed="0" w:uiPriority="0" w:name="Salutation"/>
    <w:lsdException w:unhideWhenUsed="0" w:uiPriority="0" w:name="Date"/>
    <w:lsdException w:unhideWhenUsed="0" w:uiPriority="0" w:name="Body Text First Indent"/>
    <w:lsdException w:unhideWhenUsed="0" w:uiPriority="0" w:name="Body Text First Indent 2"/>
    <w:lsdException w:unhideWhenUsed="0" w:uiPriority="0" w:name="Note Heading"/>
    <w:lsdException w:unhideWhenUsed="0" w:uiPriority="0" w:name="Body Text 2"/>
    <w:lsdException w:unhideWhenUsed="0" w:uiPriority="0" w:name="Body Text 3"/>
    <w:lsdException w:unhideWhenUsed="0" w:uiPriority="0" w:name="Body Text Indent 2"/>
    <w:lsdException w:unhideWhenUsed="0" w:uiPriority="0" w:name="Body Text Indent 3"/>
    <w:lsdException w:unhideWhenUsed="0" w:uiPriority="0" w:name="Block Text"/>
    <w:lsdException w:unhideWhenUsed="0" w:uiPriority="0" w:name="Hyperlink"/>
    <w:lsdException w:uiPriority="0" w:name="FollowedHyperlink"/>
    <w:lsdException w:qFormat="1" w:unhideWhenUsed="0" w:uiPriority="0" w:name="Strong"/>
    <w:lsdException w:qFormat="1" w:unhideWhenUsed="0" w:uiPriority="0" w:name="Emphasis"/>
    <w:lsdException w:unhideWhenUsed="0" w:uiPriority="0" w:name="Document Map"/>
    <w:lsdException w:unhideWhenUsed="0" w:uiPriority="0" w:name="Plain Text"/>
    <w:lsdException w:unhideWhenUsed="0" w:uiPriority="0" w:name="E-mail Signature"/>
    <w:lsdException w:unhideWhenUsed="0" w:uiPriority="99" w:name="Normal (Web)"/>
    <w:lsdException w:uiPriority="0" w:name="HTML Acronym"/>
    <w:lsdException w:unhideWhenUsed="0"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nhideWhenUsed="0"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nhideWhenUsed="0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name="Balloon Text"/>
    <w:lsdException w:unhideWhenUsed="0" w:uiPriority="0" w:semiHidden="0" w:name="Table Grid"/>
    <w:lsdException w:uiPriority="0" w:name="Table Theme"/>
    <w:lsdException w:qFormat="1" w:unhideWhenUsed="0" w:uiPriority="1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name="List Paragraph"/>
    <w:lsdException w:qFormat="1" w:unhideWhenUsed="0" w:uiPriority="29" w:name="Quote"/>
    <w:lsdException w:qFormat="1" w:unhideWhenUsed="0" w:uiPriority="3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cs="Times New Roman" w:eastAsiaTheme="minorEastAsia"/>
      <w:sz w:val="24"/>
      <w:lang w:val="en-US" w:eastAsia="en-US" w:bidi="ar-SA"/>
    </w:rPr>
  </w:style>
  <w:style w:type="paragraph" w:styleId="3">
    <w:name w:val="heading 1"/>
    <w:basedOn w:val="1"/>
    <w:next w:val="1"/>
    <w:link w:val="94"/>
    <w:semiHidden/>
    <w:qFormat/>
    <w:uiPriority w:val="0"/>
    <w:pPr>
      <w:keepNext/>
      <w:spacing w:before="240" w:after="60"/>
      <w:outlineLvl w:val="0"/>
    </w:pPr>
    <w:rPr>
      <w:b/>
      <w:bCs/>
      <w:kern w:val="32"/>
      <w:szCs w:val="24"/>
    </w:rPr>
  </w:style>
  <w:style w:type="paragraph" w:styleId="4">
    <w:name w:val="heading 2"/>
    <w:basedOn w:val="1"/>
    <w:next w:val="1"/>
    <w:link w:val="95"/>
    <w:semiHidden/>
    <w:qFormat/>
    <w:uiPriority w:val="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5">
    <w:name w:val="heading 3"/>
    <w:basedOn w:val="1"/>
    <w:next w:val="1"/>
    <w:semiHidden/>
    <w:qFormat/>
    <w:uiPriority w:val="0"/>
    <w:pPr>
      <w:keepNext/>
      <w:spacing w:line="480" w:lineRule="auto"/>
      <w:outlineLvl w:val="2"/>
    </w:pPr>
    <w:rPr>
      <w:rFonts w:ascii="Times" w:hAnsi="Times" w:eastAsia="Times"/>
      <w:b/>
    </w:rPr>
  </w:style>
  <w:style w:type="paragraph" w:styleId="6">
    <w:name w:val="heading 4"/>
    <w:basedOn w:val="1"/>
    <w:next w:val="1"/>
    <w:semiHidden/>
    <w:qFormat/>
    <w:uiPriority w:val="0"/>
    <w:pPr>
      <w:keepNext/>
      <w:spacing w:line="480" w:lineRule="auto"/>
      <w:outlineLvl w:val="3"/>
    </w:pPr>
    <w:rPr>
      <w:rFonts w:ascii="Times" w:hAnsi="Times"/>
      <w:b/>
      <w:color w:val="0000FF"/>
      <w:sz w:val="44"/>
    </w:rPr>
  </w:style>
  <w:style w:type="paragraph" w:styleId="7">
    <w:name w:val="heading 5"/>
    <w:basedOn w:val="1"/>
    <w:next w:val="1"/>
    <w:link w:val="96"/>
    <w:semiHidden/>
    <w:qFormat/>
    <w:uiPriority w:val="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8">
    <w:name w:val="heading 6"/>
    <w:basedOn w:val="1"/>
    <w:next w:val="1"/>
    <w:link w:val="97"/>
    <w:semiHidden/>
    <w:qFormat/>
    <w:uiPriority w:val="0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9">
    <w:name w:val="heading 7"/>
    <w:basedOn w:val="1"/>
    <w:next w:val="1"/>
    <w:link w:val="98"/>
    <w:semiHidden/>
    <w:qFormat/>
    <w:uiPriority w:val="0"/>
    <w:pPr>
      <w:spacing w:before="240" w:after="60"/>
      <w:outlineLvl w:val="6"/>
    </w:pPr>
    <w:rPr>
      <w:rFonts w:ascii="Calibri" w:hAnsi="Calibri"/>
      <w:szCs w:val="24"/>
    </w:rPr>
  </w:style>
  <w:style w:type="paragraph" w:styleId="10">
    <w:name w:val="heading 8"/>
    <w:basedOn w:val="1"/>
    <w:next w:val="1"/>
    <w:link w:val="99"/>
    <w:semiHidden/>
    <w:qFormat/>
    <w:uiPriority w:val="0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11">
    <w:name w:val="heading 9"/>
    <w:basedOn w:val="1"/>
    <w:next w:val="1"/>
    <w:link w:val="100"/>
    <w:semiHidden/>
    <w:qFormat/>
    <w:uiPriority w:val="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89">
    <w:name w:val="Default Paragraph Font"/>
    <w:unhideWhenUsed/>
    <w:uiPriority w:val="1"/>
  </w:style>
  <w:style w:type="table" w:default="1" w:styleId="8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30"/>
    <w:semiHidden/>
    <w:uiPriority w:val="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 w:eastAsiaTheme="minorEastAsia"/>
      <w:lang w:val="en-US" w:eastAsia="en-US" w:bidi="ar-SA"/>
    </w:rPr>
  </w:style>
  <w:style w:type="paragraph" w:styleId="12">
    <w:name w:val="List 3"/>
    <w:basedOn w:val="1"/>
    <w:semiHidden/>
    <w:uiPriority w:val="0"/>
    <w:pPr>
      <w:ind w:left="1080" w:hanging="360"/>
      <w:contextualSpacing/>
    </w:pPr>
  </w:style>
  <w:style w:type="paragraph" w:styleId="13">
    <w:name w:val="toc 7"/>
    <w:basedOn w:val="1"/>
    <w:next w:val="1"/>
    <w:autoRedefine/>
    <w:semiHidden/>
    <w:uiPriority w:val="0"/>
    <w:pPr>
      <w:ind w:left="1440"/>
    </w:pPr>
  </w:style>
  <w:style w:type="paragraph" w:styleId="14">
    <w:name w:val="List Number 2"/>
    <w:basedOn w:val="1"/>
    <w:semiHidden/>
    <w:uiPriority w:val="0"/>
    <w:pPr>
      <w:numPr>
        <w:ilvl w:val="0"/>
        <w:numId w:val="1"/>
      </w:numPr>
      <w:contextualSpacing/>
    </w:pPr>
  </w:style>
  <w:style w:type="paragraph" w:styleId="15">
    <w:name w:val="table of authorities"/>
    <w:basedOn w:val="1"/>
    <w:next w:val="1"/>
    <w:semiHidden/>
    <w:uiPriority w:val="0"/>
    <w:pPr>
      <w:ind w:left="240" w:hanging="240"/>
    </w:pPr>
  </w:style>
  <w:style w:type="paragraph" w:styleId="16">
    <w:name w:val="Note Heading"/>
    <w:basedOn w:val="1"/>
    <w:next w:val="1"/>
    <w:link w:val="133"/>
    <w:semiHidden/>
    <w:uiPriority w:val="0"/>
  </w:style>
  <w:style w:type="paragraph" w:styleId="17">
    <w:name w:val="List Bullet 4"/>
    <w:basedOn w:val="1"/>
    <w:semiHidden/>
    <w:uiPriority w:val="0"/>
    <w:pPr>
      <w:numPr>
        <w:ilvl w:val="0"/>
        <w:numId w:val="2"/>
      </w:numPr>
      <w:contextualSpacing/>
    </w:pPr>
  </w:style>
  <w:style w:type="paragraph" w:styleId="18">
    <w:name w:val="index 8"/>
    <w:basedOn w:val="1"/>
    <w:next w:val="1"/>
    <w:autoRedefine/>
    <w:semiHidden/>
    <w:uiPriority w:val="0"/>
    <w:pPr>
      <w:ind w:left="1920" w:hanging="240"/>
    </w:pPr>
  </w:style>
  <w:style w:type="paragraph" w:styleId="19">
    <w:name w:val="E-mail Signature"/>
    <w:basedOn w:val="1"/>
    <w:link w:val="120"/>
    <w:semiHidden/>
    <w:uiPriority w:val="0"/>
  </w:style>
  <w:style w:type="paragraph" w:styleId="20">
    <w:name w:val="List Number"/>
    <w:basedOn w:val="1"/>
    <w:semiHidden/>
    <w:uiPriority w:val="0"/>
    <w:pPr>
      <w:numPr>
        <w:ilvl w:val="0"/>
        <w:numId w:val="3"/>
      </w:numPr>
      <w:contextualSpacing/>
    </w:pPr>
  </w:style>
  <w:style w:type="paragraph" w:styleId="21">
    <w:name w:val="Normal Indent"/>
    <w:basedOn w:val="1"/>
    <w:semiHidden/>
    <w:uiPriority w:val="0"/>
    <w:pPr>
      <w:ind w:left="720"/>
    </w:pPr>
  </w:style>
  <w:style w:type="paragraph" w:styleId="22">
    <w:name w:val="caption"/>
    <w:basedOn w:val="1"/>
    <w:next w:val="1"/>
    <w:semiHidden/>
    <w:qFormat/>
    <w:uiPriority w:val="0"/>
    <w:rPr>
      <w:b/>
      <w:bCs/>
      <w:sz w:val="20"/>
    </w:rPr>
  </w:style>
  <w:style w:type="paragraph" w:styleId="23">
    <w:name w:val="index 5"/>
    <w:basedOn w:val="1"/>
    <w:next w:val="1"/>
    <w:autoRedefine/>
    <w:semiHidden/>
    <w:uiPriority w:val="0"/>
    <w:pPr>
      <w:ind w:left="1200" w:hanging="240"/>
    </w:pPr>
  </w:style>
  <w:style w:type="paragraph" w:styleId="24">
    <w:name w:val="List Bullet"/>
    <w:basedOn w:val="1"/>
    <w:semiHidden/>
    <w:uiPriority w:val="0"/>
    <w:pPr>
      <w:numPr>
        <w:ilvl w:val="0"/>
        <w:numId w:val="4"/>
      </w:numPr>
      <w:contextualSpacing/>
    </w:pPr>
  </w:style>
  <w:style w:type="paragraph" w:styleId="25">
    <w:name w:val="envelope address"/>
    <w:basedOn w:val="1"/>
    <w:semiHidden/>
    <w:uiPriority w:val="0"/>
    <w:pPr>
      <w:framePr w:w="7920" w:h="1980" w:hRule="exact" w:hSpace="180" w:wrap="auto" w:vAnchor="margin" w:hAnchor="page" w:xAlign="center" w:yAlign="bottom"/>
      <w:ind w:left="2880"/>
    </w:pPr>
    <w:rPr>
      <w:rFonts w:ascii="Cambria" w:hAnsi="Cambria"/>
      <w:szCs w:val="24"/>
    </w:rPr>
  </w:style>
  <w:style w:type="paragraph" w:styleId="26">
    <w:name w:val="Document Map"/>
    <w:basedOn w:val="1"/>
    <w:link w:val="119"/>
    <w:semiHidden/>
    <w:uiPriority w:val="0"/>
    <w:rPr>
      <w:rFonts w:ascii="Tahoma" w:hAnsi="Tahoma" w:cs="Tahoma"/>
      <w:sz w:val="16"/>
      <w:szCs w:val="16"/>
    </w:rPr>
  </w:style>
  <w:style w:type="paragraph" w:styleId="27">
    <w:name w:val="toa heading"/>
    <w:basedOn w:val="1"/>
    <w:next w:val="1"/>
    <w:semiHidden/>
    <w:uiPriority w:val="0"/>
    <w:pPr>
      <w:spacing w:before="120"/>
    </w:pPr>
    <w:rPr>
      <w:rFonts w:ascii="Cambria" w:hAnsi="Cambria"/>
      <w:b/>
      <w:bCs/>
      <w:szCs w:val="24"/>
    </w:rPr>
  </w:style>
  <w:style w:type="paragraph" w:styleId="28">
    <w:name w:val="annotation text"/>
    <w:basedOn w:val="1"/>
    <w:link w:val="116"/>
    <w:semiHidden/>
    <w:uiPriority w:val="0"/>
    <w:rPr>
      <w:sz w:val="20"/>
    </w:rPr>
  </w:style>
  <w:style w:type="paragraph" w:styleId="29">
    <w:name w:val="index 6"/>
    <w:basedOn w:val="1"/>
    <w:next w:val="1"/>
    <w:autoRedefine/>
    <w:semiHidden/>
    <w:uiPriority w:val="0"/>
    <w:pPr>
      <w:ind w:left="1440" w:hanging="240"/>
    </w:pPr>
  </w:style>
  <w:style w:type="paragraph" w:styleId="30">
    <w:name w:val="Salutation"/>
    <w:basedOn w:val="1"/>
    <w:next w:val="1"/>
    <w:link w:val="137"/>
    <w:semiHidden/>
    <w:uiPriority w:val="0"/>
  </w:style>
  <w:style w:type="paragraph" w:styleId="31">
    <w:name w:val="Body Text 3"/>
    <w:basedOn w:val="1"/>
    <w:link w:val="109"/>
    <w:semiHidden/>
    <w:uiPriority w:val="0"/>
    <w:pPr>
      <w:spacing w:after="120"/>
    </w:pPr>
    <w:rPr>
      <w:sz w:val="16"/>
      <w:szCs w:val="16"/>
    </w:rPr>
  </w:style>
  <w:style w:type="paragraph" w:styleId="32">
    <w:name w:val="Closing"/>
    <w:basedOn w:val="1"/>
    <w:link w:val="115"/>
    <w:semiHidden/>
    <w:uiPriority w:val="0"/>
    <w:pPr>
      <w:ind w:left="4320"/>
    </w:pPr>
  </w:style>
  <w:style w:type="paragraph" w:styleId="33">
    <w:name w:val="List Bullet 3"/>
    <w:basedOn w:val="1"/>
    <w:semiHidden/>
    <w:uiPriority w:val="0"/>
    <w:pPr>
      <w:numPr>
        <w:ilvl w:val="0"/>
        <w:numId w:val="5"/>
      </w:numPr>
      <w:contextualSpacing/>
    </w:pPr>
  </w:style>
  <w:style w:type="paragraph" w:styleId="34">
    <w:name w:val="Body Text"/>
    <w:basedOn w:val="1"/>
    <w:link w:val="107"/>
    <w:semiHidden/>
    <w:uiPriority w:val="0"/>
    <w:pPr>
      <w:spacing w:after="120"/>
    </w:pPr>
  </w:style>
  <w:style w:type="paragraph" w:styleId="35">
    <w:name w:val="Body Text Indent"/>
    <w:basedOn w:val="1"/>
    <w:link w:val="111"/>
    <w:semiHidden/>
    <w:uiPriority w:val="0"/>
    <w:pPr>
      <w:spacing w:after="120"/>
      <w:ind w:left="360"/>
    </w:pPr>
  </w:style>
  <w:style w:type="paragraph" w:styleId="36">
    <w:name w:val="List Number 3"/>
    <w:basedOn w:val="1"/>
    <w:semiHidden/>
    <w:uiPriority w:val="0"/>
    <w:pPr>
      <w:numPr>
        <w:ilvl w:val="0"/>
        <w:numId w:val="6"/>
      </w:numPr>
      <w:contextualSpacing/>
    </w:pPr>
  </w:style>
  <w:style w:type="paragraph" w:styleId="37">
    <w:name w:val="List 2"/>
    <w:basedOn w:val="1"/>
    <w:semiHidden/>
    <w:uiPriority w:val="0"/>
    <w:pPr>
      <w:ind w:left="720" w:hanging="360"/>
      <w:contextualSpacing/>
    </w:pPr>
  </w:style>
  <w:style w:type="paragraph" w:styleId="38">
    <w:name w:val="List Continue"/>
    <w:basedOn w:val="1"/>
    <w:semiHidden/>
    <w:uiPriority w:val="0"/>
    <w:pPr>
      <w:spacing w:after="120"/>
      <w:ind w:left="360"/>
      <w:contextualSpacing/>
    </w:pPr>
  </w:style>
  <w:style w:type="paragraph" w:styleId="39">
    <w:name w:val="Block Text"/>
    <w:basedOn w:val="1"/>
    <w:semiHidden/>
    <w:uiPriority w:val="0"/>
    <w:pPr>
      <w:spacing w:after="120"/>
      <w:ind w:left="1440" w:right="1440"/>
    </w:pPr>
  </w:style>
  <w:style w:type="paragraph" w:styleId="40">
    <w:name w:val="List Bullet 2"/>
    <w:basedOn w:val="1"/>
    <w:semiHidden/>
    <w:uiPriority w:val="0"/>
    <w:pPr>
      <w:numPr>
        <w:ilvl w:val="0"/>
        <w:numId w:val="7"/>
      </w:numPr>
      <w:contextualSpacing/>
    </w:pPr>
  </w:style>
  <w:style w:type="paragraph" w:styleId="41">
    <w:name w:val="HTML Address"/>
    <w:basedOn w:val="1"/>
    <w:link w:val="125"/>
    <w:semiHidden/>
    <w:uiPriority w:val="0"/>
    <w:rPr>
      <w:i/>
      <w:iCs/>
    </w:rPr>
  </w:style>
  <w:style w:type="paragraph" w:styleId="42">
    <w:name w:val="index 4"/>
    <w:basedOn w:val="1"/>
    <w:next w:val="1"/>
    <w:autoRedefine/>
    <w:semiHidden/>
    <w:uiPriority w:val="0"/>
    <w:pPr>
      <w:ind w:left="960" w:hanging="240"/>
    </w:pPr>
  </w:style>
  <w:style w:type="paragraph" w:styleId="43">
    <w:name w:val="toc 5"/>
    <w:basedOn w:val="1"/>
    <w:next w:val="1"/>
    <w:autoRedefine/>
    <w:semiHidden/>
    <w:uiPriority w:val="0"/>
    <w:pPr>
      <w:ind w:left="960"/>
    </w:pPr>
  </w:style>
  <w:style w:type="paragraph" w:styleId="44">
    <w:name w:val="toc 3"/>
    <w:basedOn w:val="1"/>
    <w:next w:val="1"/>
    <w:autoRedefine/>
    <w:semiHidden/>
    <w:uiPriority w:val="0"/>
    <w:pPr>
      <w:ind w:left="480"/>
    </w:pPr>
  </w:style>
  <w:style w:type="paragraph" w:styleId="45">
    <w:name w:val="Plain Text"/>
    <w:basedOn w:val="1"/>
    <w:link w:val="134"/>
    <w:semiHidden/>
    <w:uiPriority w:val="0"/>
    <w:rPr>
      <w:rFonts w:ascii="Courier New" w:hAnsi="Courier New" w:cs="Courier New"/>
      <w:sz w:val="20"/>
    </w:rPr>
  </w:style>
  <w:style w:type="paragraph" w:styleId="46">
    <w:name w:val="List Bullet 5"/>
    <w:basedOn w:val="1"/>
    <w:semiHidden/>
    <w:uiPriority w:val="0"/>
    <w:pPr>
      <w:numPr>
        <w:ilvl w:val="0"/>
        <w:numId w:val="8"/>
      </w:numPr>
      <w:contextualSpacing/>
    </w:pPr>
  </w:style>
  <w:style w:type="paragraph" w:styleId="47">
    <w:name w:val="List Number 4"/>
    <w:basedOn w:val="1"/>
    <w:semiHidden/>
    <w:uiPriority w:val="0"/>
    <w:pPr>
      <w:numPr>
        <w:ilvl w:val="0"/>
        <w:numId w:val="9"/>
      </w:numPr>
      <w:contextualSpacing/>
    </w:pPr>
  </w:style>
  <w:style w:type="paragraph" w:styleId="48">
    <w:name w:val="toc 8"/>
    <w:basedOn w:val="1"/>
    <w:next w:val="1"/>
    <w:autoRedefine/>
    <w:semiHidden/>
    <w:uiPriority w:val="0"/>
    <w:pPr>
      <w:ind w:left="1680"/>
    </w:pPr>
  </w:style>
  <w:style w:type="paragraph" w:styleId="49">
    <w:name w:val="index 3"/>
    <w:basedOn w:val="1"/>
    <w:next w:val="1"/>
    <w:autoRedefine/>
    <w:semiHidden/>
    <w:uiPriority w:val="0"/>
    <w:pPr>
      <w:ind w:left="720" w:hanging="240"/>
    </w:pPr>
  </w:style>
  <w:style w:type="paragraph" w:styleId="50">
    <w:name w:val="Date"/>
    <w:basedOn w:val="1"/>
    <w:next w:val="1"/>
    <w:link w:val="118"/>
    <w:semiHidden/>
    <w:uiPriority w:val="0"/>
  </w:style>
  <w:style w:type="paragraph" w:styleId="51">
    <w:name w:val="Body Text Indent 2"/>
    <w:basedOn w:val="1"/>
    <w:link w:val="113"/>
    <w:semiHidden/>
    <w:uiPriority w:val="0"/>
    <w:pPr>
      <w:spacing w:after="120" w:line="480" w:lineRule="auto"/>
      <w:ind w:left="360"/>
    </w:pPr>
  </w:style>
  <w:style w:type="paragraph" w:styleId="52">
    <w:name w:val="endnote text"/>
    <w:basedOn w:val="1"/>
    <w:link w:val="121"/>
    <w:semiHidden/>
    <w:uiPriority w:val="0"/>
    <w:rPr>
      <w:sz w:val="20"/>
    </w:rPr>
  </w:style>
  <w:style w:type="paragraph" w:styleId="53">
    <w:name w:val="List Continue 5"/>
    <w:basedOn w:val="1"/>
    <w:semiHidden/>
    <w:uiPriority w:val="0"/>
    <w:pPr>
      <w:spacing w:after="120"/>
      <w:ind w:left="1800"/>
      <w:contextualSpacing/>
    </w:pPr>
  </w:style>
  <w:style w:type="paragraph" w:styleId="54">
    <w:name w:val="Balloon Text"/>
    <w:basedOn w:val="1"/>
    <w:link w:val="105"/>
    <w:semiHidden/>
    <w:uiPriority w:val="0"/>
    <w:rPr>
      <w:rFonts w:ascii="Tahoma" w:hAnsi="Tahoma" w:cs="Tahoma"/>
      <w:sz w:val="16"/>
      <w:szCs w:val="16"/>
    </w:rPr>
  </w:style>
  <w:style w:type="paragraph" w:styleId="55">
    <w:name w:val="footer"/>
    <w:basedOn w:val="1"/>
    <w:link w:val="122"/>
    <w:uiPriority w:val="99"/>
    <w:pPr>
      <w:tabs>
        <w:tab w:val="center" w:pos="4680"/>
        <w:tab w:val="right" w:pos="9360"/>
      </w:tabs>
    </w:pPr>
  </w:style>
  <w:style w:type="paragraph" w:styleId="56">
    <w:name w:val="envelope return"/>
    <w:basedOn w:val="1"/>
    <w:semiHidden/>
    <w:uiPriority w:val="0"/>
    <w:rPr>
      <w:rFonts w:ascii="Cambria" w:hAnsi="Cambria"/>
      <w:sz w:val="20"/>
    </w:rPr>
  </w:style>
  <w:style w:type="paragraph" w:styleId="57">
    <w:name w:val="header"/>
    <w:basedOn w:val="1"/>
    <w:link w:val="124"/>
    <w:uiPriority w:val="99"/>
    <w:pPr>
      <w:tabs>
        <w:tab w:val="center" w:pos="4680"/>
        <w:tab w:val="right" w:pos="9360"/>
      </w:tabs>
    </w:pPr>
  </w:style>
  <w:style w:type="paragraph" w:styleId="58">
    <w:name w:val="Signature"/>
    <w:basedOn w:val="1"/>
    <w:link w:val="138"/>
    <w:semiHidden/>
    <w:uiPriority w:val="0"/>
    <w:pPr>
      <w:ind w:left="4320"/>
    </w:pPr>
  </w:style>
  <w:style w:type="paragraph" w:styleId="59">
    <w:name w:val="toc 1"/>
    <w:basedOn w:val="1"/>
    <w:next w:val="1"/>
    <w:autoRedefine/>
    <w:semiHidden/>
    <w:uiPriority w:val="0"/>
  </w:style>
  <w:style w:type="paragraph" w:styleId="60">
    <w:name w:val="List Continue 4"/>
    <w:basedOn w:val="1"/>
    <w:semiHidden/>
    <w:uiPriority w:val="0"/>
    <w:pPr>
      <w:spacing w:after="120"/>
      <w:ind w:left="1440"/>
      <w:contextualSpacing/>
    </w:pPr>
  </w:style>
  <w:style w:type="paragraph" w:styleId="61">
    <w:name w:val="toc 4"/>
    <w:basedOn w:val="1"/>
    <w:next w:val="1"/>
    <w:autoRedefine/>
    <w:semiHidden/>
    <w:uiPriority w:val="0"/>
    <w:pPr>
      <w:ind w:left="720"/>
    </w:pPr>
  </w:style>
  <w:style w:type="paragraph" w:styleId="62">
    <w:name w:val="index heading"/>
    <w:basedOn w:val="1"/>
    <w:next w:val="63"/>
    <w:semiHidden/>
    <w:uiPriority w:val="0"/>
    <w:rPr>
      <w:rFonts w:ascii="Cambria" w:hAnsi="Cambria"/>
      <w:b/>
      <w:bCs/>
    </w:rPr>
  </w:style>
  <w:style w:type="paragraph" w:styleId="63">
    <w:name w:val="index 1"/>
    <w:basedOn w:val="1"/>
    <w:next w:val="1"/>
    <w:autoRedefine/>
    <w:semiHidden/>
    <w:uiPriority w:val="0"/>
    <w:pPr>
      <w:ind w:left="240" w:hanging="240"/>
    </w:pPr>
  </w:style>
  <w:style w:type="paragraph" w:styleId="64">
    <w:name w:val="Subtitle"/>
    <w:basedOn w:val="1"/>
    <w:next w:val="1"/>
    <w:link w:val="139"/>
    <w:semiHidden/>
    <w:qFormat/>
    <w:uiPriority w:val="0"/>
    <w:pPr>
      <w:spacing w:after="60"/>
      <w:jc w:val="center"/>
      <w:outlineLvl w:val="1"/>
    </w:pPr>
    <w:rPr>
      <w:rFonts w:ascii="Cambria" w:hAnsi="Cambria"/>
      <w:szCs w:val="24"/>
    </w:rPr>
  </w:style>
  <w:style w:type="paragraph" w:styleId="65">
    <w:name w:val="List Number 5"/>
    <w:basedOn w:val="1"/>
    <w:semiHidden/>
    <w:uiPriority w:val="0"/>
    <w:pPr>
      <w:numPr>
        <w:ilvl w:val="0"/>
        <w:numId w:val="10"/>
      </w:numPr>
      <w:contextualSpacing/>
    </w:pPr>
  </w:style>
  <w:style w:type="paragraph" w:styleId="66">
    <w:name w:val="List"/>
    <w:basedOn w:val="1"/>
    <w:semiHidden/>
    <w:uiPriority w:val="0"/>
    <w:pPr>
      <w:ind w:left="360" w:hanging="360"/>
      <w:contextualSpacing/>
    </w:pPr>
  </w:style>
  <w:style w:type="paragraph" w:styleId="67">
    <w:name w:val="footnote text"/>
    <w:basedOn w:val="1"/>
    <w:link w:val="123"/>
    <w:semiHidden/>
    <w:uiPriority w:val="0"/>
    <w:rPr>
      <w:sz w:val="20"/>
    </w:rPr>
  </w:style>
  <w:style w:type="paragraph" w:styleId="68">
    <w:name w:val="toc 6"/>
    <w:basedOn w:val="1"/>
    <w:next w:val="1"/>
    <w:autoRedefine/>
    <w:semiHidden/>
    <w:uiPriority w:val="0"/>
    <w:pPr>
      <w:ind w:left="1200"/>
    </w:pPr>
  </w:style>
  <w:style w:type="paragraph" w:styleId="69">
    <w:name w:val="List 5"/>
    <w:basedOn w:val="1"/>
    <w:semiHidden/>
    <w:uiPriority w:val="0"/>
    <w:pPr>
      <w:ind w:left="1800" w:hanging="360"/>
      <w:contextualSpacing/>
    </w:pPr>
  </w:style>
  <w:style w:type="paragraph" w:styleId="70">
    <w:name w:val="Body Text Indent 3"/>
    <w:basedOn w:val="1"/>
    <w:link w:val="114"/>
    <w:semiHidden/>
    <w:uiPriority w:val="0"/>
    <w:pPr>
      <w:spacing w:after="120"/>
      <w:ind w:left="360"/>
    </w:pPr>
    <w:rPr>
      <w:sz w:val="16"/>
      <w:szCs w:val="16"/>
    </w:rPr>
  </w:style>
  <w:style w:type="paragraph" w:styleId="71">
    <w:name w:val="index 7"/>
    <w:basedOn w:val="1"/>
    <w:next w:val="1"/>
    <w:autoRedefine/>
    <w:semiHidden/>
    <w:uiPriority w:val="0"/>
    <w:pPr>
      <w:ind w:left="1680" w:hanging="240"/>
    </w:pPr>
  </w:style>
  <w:style w:type="paragraph" w:styleId="72">
    <w:name w:val="index 9"/>
    <w:basedOn w:val="1"/>
    <w:next w:val="1"/>
    <w:autoRedefine/>
    <w:semiHidden/>
    <w:uiPriority w:val="0"/>
    <w:pPr>
      <w:ind w:left="2160" w:hanging="240"/>
    </w:pPr>
  </w:style>
  <w:style w:type="paragraph" w:styleId="73">
    <w:name w:val="table of figures"/>
    <w:basedOn w:val="1"/>
    <w:next w:val="1"/>
    <w:semiHidden/>
    <w:uiPriority w:val="0"/>
  </w:style>
  <w:style w:type="paragraph" w:styleId="74">
    <w:name w:val="toc 2"/>
    <w:basedOn w:val="1"/>
    <w:next w:val="1"/>
    <w:autoRedefine/>
    <w:semiHidden/>
    <w:uiPriority w:val="0"/>
    <w:pPr>
      <w:ind w:left="240"/>
    </w:pPr>
  </w:style>
  <w:style w:type="paragraph" w:styleId="75">
    <w:name w:val="toc 9"/>
    <w:basedOn w:val="1"/>
    <w:next w:val="1"/>
    <w:autoRedefine/>
    <w:semiHidden/>
    <w:uiPriority w:val="0"/>
    <w:pPr>
      <w:ind w:left="1920"/>
    </w:pPr>
  </w:style>
  <w:style w:type="paragraph" w:styleId="76">
    <w:name w:val="Body Text 2"/>
    <w:basedOn w:val="1"/>
    <w:link w:val="108"/>
    <w:semiHidden/>
    <w:uiPriority w:val="0"/>
    <w:pPr>
      <w:spacing w:after="120" w:line="480" w:lineRule="auto"/>
    </w:pPr>
  </w:style>
  <w:style w:type="paragraph" w:styleId="77">
    <w:name w:val="List 4"/>
    <w:basedOn w:val="1"/>
    <w:semiHidden/>
    <w:uiPriority w:val="0"/>
    <w:pPr>
      <w:ind w:left="1440" w:hanging="360"/>
      <w:contextualSpacing/>
    </w:pPr>
  </w:style>
  <w:style w:type="paragraph" w:styleId="78">
    <w:name w:val="List Continue 2"/>
    <w:basedOn w:val="1"/>
    <w:semiHidden/>
    <w:uiPriority w:val="0"/>
    <w:pPr>
      <w:spacing w:after="120"/>
      <w:ind w:left="720"/>
      <w:contextualSpacing/>
    </w:pPr>
  </w:style>
  <w:style w:type="paragraph" w:styleId="79">
    <w:name w:val="Message Header"/>
    <w:basedOn w:val="1"/>
    <w:link w:val="131"/>
    <w:semiHidden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hanging="1080"/>
    </w:pPr>
    <w:rPr>
      <w:rFonts w:ascii="Cambria" w:hAnsi="Cambria"/>
      <w:szCs w:val="24"/>
    </w:rPr>
  </w:style>
  <w:style w:type="paragraph" w:styleId="80">
    <w:name w:val="HTML Preformatted"/>
    <w:basedOn w:val="1"/>
    <w:link w:val="126"/>
    <w:semiHidden/>
    <w:uiPriority w:val="0"/>
    <w:rPr>
      <w:rFonts w:ascii="Courier New" w:hAnsi="Courier New" w:cs="Courier New"/>
      <w:sz w:val="20"/>
    </w:rPr>
  </w:style>
  <w:style w:type="paragraph" w:styleId="81">
    <w:name w:val="Normal (Web)"/>
    <w:basedOn w:val="1"/>
    <w:semiHidden/>
    <w:uiPriority w:val="99"/>
    <w:rPr>
      <w:szCs w:val="24"/>
    </w:rPr>
  </w:style>
  <w:style w:type="paragraph" w:styleId="82">
    <w:name w:val="List Continue 3"/>
    <w:basedOn w:val="1"/>
    <w:semiHidden/>
    <w:uiPriority w:val="0"/>
    <w:pPr>
      <w:spacing w:after="120"/>
      <w:ind w:left="1080"/>
      <w:contextualSpacing/>
    </w:pPr>
  </w:style>
  <w:style w:type="paragraph" w:styleId="83">
    <w:name w:val="index 2"/>
    <w:basedOn w:val="1"/>
    <w:next w:val="1"/>
    <w:autoRedefine/>
    <w:semiHidden/>
    <w:uiPriority w:val="0"/>
    <w:pPr>
      <w:ind w:left="480" w:hanging="240"/>
    </w:pPr>
  </w:style>
  <w:style w:type="paragraph" w:styleId="84">
    <w:name w:val="Title"/>
    <w:basedOn w:val="1"/>
    <w:next w:val="1"/>
    <w:link w:val="140"/>
    <w:semiHidden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paragraph" w:styleId="85">
    <w:name w:val="annotation subject"/>
    <w:basedOn w:val="28"/>
    <w:next w:val="28"/>
    <w:link w:val="117"/>
    <w:semiHidden/>
    <w:uiPriority w:val="0"/>
    <w:rPr>
      <w:b/>
      <w:bCs/>
    </w:rPr>
  </w:style>
  <w:style w:type="paragraph" w:styleId="86">
    <w:name w:val="Body Text First Indent"/>
    <w:basedOn w:val="34"/>
    <w:link w:val="110"/>
    <w:semiHidden/>
    <w:uiPriority w:val="0"/>
    <w:pPr>
      <w:ind w:firstLine="210"/>
    </w:pPr>
  </w:style>
  <w:style w:type="paragraph" w:styleId="87">
    <w:name w:val="Body Text First Indent 2"/>
    <w:basedOn w:val="35"/>
    <w:link w:val="112"/>
    <w:semiHidden/>
    <w:uiPriority w:val="0"/>
    <w:pPr>
      <w:ind w:firstLine="210"/>
    </w:pPr>
  </w:style>
  <w:style w:type="character" w:styleId="90">
    <w:name w:val="page number"/>
    <w:basedOn w:val="89"/>
    <w:semiHidden/>
    <w:uiPriority w:val="0"/>
  </w:style>
  <w:style w:type="character" w:styleId="91">
    <w:name w:val="FollowedHyperlink"/>
    <w:semiHidden/>
    <w:unhideWhenUsed/>
    <w:uiPriority w:val="0"/>
    <w:rPr>
      <w:color w:val="800080"/>
      <w:u w:val="single"/>
    </w:rPr>
  </w:style>
  <w:style w:type="character" w:styleId="92">
    <w:name w:val="Hyperlink"/>
    <w:semiHidden/>
    <w:uiPriority w:val="0"/>
    <w:rPr>
      <w:color w:val="0000FF"/>
      <w:u w:val="single"/>
    </w:rPr>
  </w:style>
  <w:style w:type="character" w:styleId="93">
    <w:name w:val="annotation reference"/>
    <w:semiHidden/>
    <w:unhideWhenUsed/>
    <w:uiPriority w:val="0"/>
    <w:rPr>
      <w:sz w:val="16"/>
      <w:szCs w:val="16"/>
    </w:rPr>
  </w:style>
  <w:style w:type="character" w:customStyle="1" w:styleId="94">
    <w:name w:val="标题 1 字符"/>
    <w:link w:val="3"/>
    <w:semiHidden/>
    <w:uiPriority w:val="0"/>
    <w:rPr>
      <w:b/>
      <w:bCs/>
      <w:kern w:val="32"/>
      <w:sz w:val="24"/>
      <w:szCs w:val="24"/>
    </w:rPr>
  </w:style>
  <w:style w:type="character" w:customStyle="1" w:styleId="95">
    <w:name w:val="标题 2 字符"/>
    <w:link w:val="4"/>
    <w:semiHidden/>
    <w:uiPriority w:val="0"/>
    <w:rPr>
      <w:rFonts w:ascii="Cambria" w:hAnsi="Cambria"/>
      <w:b/>
      <w:bCs/>
      <w:i/>
      <w:iCs/>
      <w:sz w:val="28"/>
      <w:szCs w:val="28"/>
    </w:rPr>
  </w:style>
  <w:style w:type="character" w:customStyle="1" w:styleId="96">
    <w:name w:val="标题 5 字符"/>
    <w:link w:val="7"/>
    <w:semiHidden/>
    <w:uiPriority w:val="0"/>
    <w:rPr>
      <w:rFonts w:ascii="Calibri" w:hAnsi="Calibri"/>
      <w:b/>
      <w:bCs/>
      <w:i/>
      <w:iCs/>
      <w:sz w:val="26"/>
      <w:szCs w:val="26"/>
    </w:rPr>
  </w:style>
  <w:style w:type="character" w:customStyle="1" w:styleId="97">
    <w:name w:val="标题 6 字符"/>
    <w:link w:val="8"/>
    <w:semiHidden/>
    <w:uiPriority w:val="0"/>
    <w:rPr>
      <w:rFonts w:ascii="Calibri" w:hAnsi="Calibri"/>
      <w:b/>
      <w:bCs/>
      <w:sz w:val="22"/>
      <w:szCs w:val="22"/>
    </w:rPr>
  </w:style>
  <w:style w:type="character" w:customStyle="1" w:styleId="98">
    <w:name w:val="标题 7 字符"/>
    <w:link w:val="9"/>
    <w:semiHidden/>
    <w:uiPriority w:val="0"/>
    <w:rPr>
      <w:rFonts w:ascii="Calibri" w:hAnsi="Calibri"/>
      <w:sz w:val="24"/>
      <w:szCs w:val="24"/>
    </w:rPr>
  </w:style>
  <w:style w:type="character" w:customStyle="1" w:styleId="99">
    <w:name w:val="标题 8 字符"/>
    <w:link w:val="10"/>
    <w:semiHidden/>
    <w:uiPriority w:val="0"/>
    <w:rPr>
      <w:rFonts w:ascii="Calibri" w:hAnsi="Calibri"/>
      <w:i/>
      <w:iCs/>
      <w:sz w:val="24"/>
      <w:szCs w:val="24"/>
    </w:rPr>
  </w:style>
  <w:style w:type="character" w:customStyle="1" w:styleId="100">
    <w:name w:val="标题 9 字符"/>
    <w:link w:val="11"/>
    <w:semiHidden/>
    <w:uiPriority w:val="0"/>
    <w:rPr>
      <w:rFonts w:ascii="Cambria" w:hAnsi="Cambria"/>
      <w:sz w:val="22"/>
      <w:szCs w:val="22"/>
    </w:rPr>
  </w:style>
  <w:style w:type="paragraph" w:customStyle="1" w:styleId="101">
    <w:name w:val="SM Heading"/>
    <w:basedOn w:val="3"/>
    <w:qFormat/>
    <w:uiPriority w:val="0"/>
  </w:style>
  <w:style w:type="paragraph" w:customStyle="1" w:styleId="102">
    <w:name w:val="SM Subheading"/>
    <w:basedOn w:val="1"/>
    <w:qFormat/>
    <w:uiPriority w:val="0"/>
    <w:rPr>
      <w:u w:val="words"/>
    </w:rPr>
  </w:style>
  <w:style w:type="paragraph" w:customStyle="1" w:styleId="103">
    <w:name w:val="SM Text"/>
    <w:basedOn w:val="1"/>
    <w:qFormat/>
    <w:uiPriority w:val="0"/>
    <w:pPr>
      <w:ind w:firstLine="480"/>
    </w:pPr>
  </w:style>
  <w:style w:type="paragraph" w:customStyle="1" w:styleId="104">
    <w:name w:val="SM caption"/>
    <w:basedOn w:val="103"/>
    <w:qFormat/>
    <w:uiPriority w:val="0"/>
    <w:pPr>
      <w:ind w:firstLine="0"/>
    </w:pPr>
  </w:style>
  <w:style w:type="character" w:customStyle="1" w:styleId="105">
    <w:name w:val="批注框文本 字符"/>
    <w:link w:val="54"/>
    <w:semiHidden/>
    <w:uiPriority w:val="0"/>
    <w:rPr>
      <w:rFonts w:ascii="Tahoma" w:hAnsi="Tahoma" w:cs="Tahoma"/>
      <w:sz w:val="16"/>
      <w:szCs w:val="16"/>
    </w:rPr>
  </w:style>
  <w:style w:type="paragraph" w:customStyle="1" w:styleId="106">
    <w:name w:val="Bibliography"/>
    <w:basedOn w:val="1"/>
    <w:next w:val="1"/>
    <w:semiHidden/>
    <w:uiPriority w:val="37"/>
  </w:style>
  <w:style w:type="character" w:customStyle="1" w:styleId="107">
    <w:name w:val="正文文本 字符"/>
    <w:link w:val="34"/>
    <w:semiHidden/>
    <w:uiPriority w:val="0"/>
    <w:rPr>
      <w:sz w:val="24"/>
    </w:rPr>
  </w:style>
  <w:style w:type="character" w:customStyle="1" w:styleId="108">
    <w:name w:val="正文文本 2 字符"/>
    <w:link w:val="76"/>
    <w:semiHidden/>
    <w:uiPriority w:val="0"/>
    <w:rPr>
      <w:sz w:val="24"/>
    </w:rPr>
  </w:style>
  <w:style w:type="character" w:customStyle="1" w:styleId="109">
    <w:name w:val="正文文本 3 字符"/>
    <w:link w:val="31"/>
    <w:semiHidden/>
    <w:uiPriority w:val="0"/>
    <w:rPr>
      <w:sz w:val="16"/>
      <w:szCs w:val="16"/>
    </w:rPr>
  </w:style>
  <w:style w:type="character" w:customStyle="1" w:styleId="110">
    <w:name w:val="正文文本首行缩进 字符"/>
    <w:link w:val="86"/>
    <w:semiHidden/>
    <w:uiPriority w:val="0"/>
    <w:rPr>
      <w:sz w:val="24"/>
    </w:rPr>
  </w:style>
  <w:style w:type="character" w:customStyle="1" w:styleId="111">
    <w:name w:val="正文文本缩进 字符"/>
    <w:link w:val="35"/>
    <w:semiHidden/>
    <w:uiPriority w:val="0"/>
    <w:rPr>
      <w:sz w:val="24"/>
    </w:rPr>
  </w:style>
  <w:style w:type="character" w:customStyle="1" w:styleId="112">
    <w:name w:val="正文文本首行缩进 2 字符"/>
    <w:link w:val="87"/>
    <w:semiHidden/>
    <w:uiPriority w:val="0"/>
    <w:rPr>
      <w:sz w:val="24"/>
    </w:rPr>
  </w:style>
  <w:style w:type="character" w:customStyle="1" w:styleId="113">
    <w:name w:val="正文文本缩进 2 字符"/>
    <w:link w:val="51"/>
    <w:semiHidden/>
    <w:uiPriority w:val="0"/>
    <w:rPr>
      <w:sz w:val="24"/>
    </w:rPr>
  </w:style>
  <w:style w:type="character" w:customStyle="1" w:styleId="114">
    <w:name w:val="正文文本缩进 3 字符"/>
    <w:link w:val="70"/>
    <w:semiHidden/>
    <w:uiPriority w:val="0"/>
    <w:rPr>
      <w:sz w:val="16"/>
      <w:szCs w:val="16"/>
    </w:rPr>
  </w:style>
  <w:style w:type="character" w:customStyle="1" w:styleId="115">
    <w:name w:val="结束语 字符"/>
    <w:link w:val="32"/>
    <w:semiHidden/>
    <w:uiPriority w:val="0"/>
    <w:rPr>
      <w:sz w:val="24"/>
    </w:rPr>
  </w:style>
  <w:style w:type="character" w:customStyle="1" w:styleId="116">
    <w:name w:val="批注文字 字符"/>
    <w:basedOn w:val="89"/>
    <w:link w:val="28"/>
    <w:semiHidden/>
    <w:uiPriority w:val="0"/>
  </w:style>
  <w:style w:type="character" w:customStyle="1" w:styleId="117">
    <w:name w:val="批注主题 字符"/>
    <w:link w:val="85"/>
    <w:semiHidden/>
    <w:uiPriority w:val="0"/>
    <w:rPr>
      <w:b/>
      <w:bCs/>
    </w:rPr>
  </w:style>
  <w:style w:type="character" w:customStyle="1" w:styleId="118">
    <w:name w:val="日期 字符"/>
    <w:link w:val="50"/>
    <w:semiHidden/>
    <w:uiPriority w:val="0"/>
    <w:rPr>
      <w:sz w:val="24"/>
    </w:rPr>
  </w:style>
  <w:style w:type="character" w:customStyle="1" w:styleId="119">
    <w:name w:val="文档结构图 字符"/>
    <w:link w:val="26"/>
    <w:semiHidden/>
    <w:uiPriority w:val="0"/>
    <w:rPr>
      <w:rFonts w:ascii="Tahoma" w:hAnsi="Tahoma" w:cs="Tahoma"/>
      <w:sz w:val="16"/>
      <w:szCs w:val="16"/>
    </w:rPr>
  </w:style>
  <w:style w:type="character" w:customStyle="1" w:styleId="120">
    <w:name w:val="电子邮件签名 字符"/>
    <w:link w:val="19"/>
    <w:semiHidden/>
    <w:uiPriority w:val="0"/>
    <w:rPr>
      <w:sz w:val="24"/>
    </w:rPr>
  </w:style>
  <w:style w:type="character" w:customStyle="1" w:styleId="121">
    <w:name w:val="尾注文本 字符"/>
    <w:basedOn w:val="89"/>
    <w:link w:val="52"/>
    <w:semiHidden/>
    <w:uiPriority w:val="0"/>
  </w:style>
  <w:style w:type="character" w:customStyle="1" w:styleId="122">
    <w:name w:val="页脚 字符"/>
    <w:link w:val="55"/>
    <w:uiPriority w:val="99"/>
    <w:rPr>
      <w:sz w:val="24"/>
    </w:rPr>
  </w:style>
  <w:style w:type="character" w:customStyle="1" w:styleId="123">
    <w:name w:val="脚注文本 字符"/>
    <w:basedOn w:val="89"/>
    <w:link w:val="67"/>
    <w:semiHidden/>
    <w:uiPriority w:val="0"/>
  </w:style>
  <w:style w:type="character" w:customStyle="1" w:styleId="124">
    <w:name w:val="页眉 字符"/>
    <w:link w:val="57"/>
    <w:uiPriority w:val="99"/>
    <w:rPr>
      <w:sz w:val="24"/>
    </w:rPr>
  </w:style>
  <w:style w:type="character" w:customStyle="1" w:styleId="125">
    <w:name w:val="HTML 地址 字符"/>
    <w:link w:val="41"/>
    <w:semiHidden/>
    <w:uiPriority w:val="0"/>
    <w:rPr>
      <w:i/>
      <w:iCs/>
      <w:sz w:val="24"/>
    </w:rPr>
  </w:style>
  <w:style w:type="character" w:customStyle="1" w:styleId="126">
    <w:name w:val="HTML 预设格式 字符"/>
    <w:link w:val="80"/>
    <w:semiHidden/>
    <w:uiPriority w:val="0"/>
    <w:rPr>
      <w:rFonts w:ascii="Courier New" w:hAnsi="Courier New" w:cs="Courier New"/>
    </w:rPr>
  </w:style>
  <w:style w:type="paragraph" w:styleId="127">
    <w:name w:val="Intense Quote"/>
    <w:basedOn w:val="1"/>
    <w:next w:val="1"/>
    <w:link w:val="128"/>
    <w:semiHidden/>
    <w:qFormat/>
    <w:uiPriority w:val="30"/>
    <w:pPr>
      <w:pBdr>
        <w:bottom w:val="single" w:color="4F81BD" w:sz="4" w:space="4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128">
    <w:name w:val="明显引用 字符"/>
    <w:link w:val="127"/>
    <w:semiHidden/>
    <w:uiPriority w:val="30"/>
    <w:rPr>
      <w:b/>
      <w:bCs/>
      <w:i/>
      <w:iCs/>
      <w:color w:val="4F81BD"/>
      <w:sz w:val="24"/>
    </w:rPr>
  </w:style>
  <w:style w:type="paragraph" w:styleId="129">
    <w:name w:val="List Paragraph"/>
    <w:basedOn w:val="1"/>
    <w:semiHidden/>
    <w:qFormat/>
    <w:uiPriority w:val="34"/>
    <w:pPr>
      <w:ind w:left="720"/>
    </w:pPr>
  </w:style>
  <w:style w:type="character" w:customStyle="1" w:styleId="130">
    <w:name w:val="宏文本 字符"/>
    <w:link w:val="2"/>
    <w:semiHidden/>
    <w:uiPriority w:val="0"/>
    <w:rPr>
      <w:rFonts w:ascii="Courier New" w:hAnsi="Courier New" w:cs="Courier New"/>
      <w:lang w:val="en-US" w:eastAsia="en-US" w:bidi="ar-SA"/>
    </w:rPr>
  </w:style>
  <w:style w:type="character" w:customStyle="1" w:styleId="131">
    <w:name w:val="信息标题 字符"/>
    <w:link w:val="79"/>
    <w:semiHidden/>
    <w:uiPriority w:val="0"/>
    <w:rPr>
      <w:rFonts w:ascii="Cambria" w:hAnsi="Cambria"/>
      <w:sz w:val="24"/>
      <w:szCs w:val="24"/>
      <w:shd w:val="pct20" w:color="auto" w:fill="auto"/>
    </w:rPr>
  </w:style>
  <w:style w:type="paragraph" w:styleId="132">
    <w:name w:val="No Spacing"/>
    <w:semiHidden/>
    <w:qFormat/>
    <w:uiPriority w:val="1"/>
    <w:rPr>
      <w:rFonts w:ascii="Times New Roman" w:hAnsi="Times New Roman" w:cs="Times New Roman" w:eastAsiaTheme="minorEastAsia"/>
      <w:sz w:val="24"/>
      <w:lang w:val="en-US" w:eastAsia="en-US" w:bidi="ar-SA"/>
    </w:rPr>
  </w:style>
  <w:style w:type="character" w:customStyle="1" w:styleId="133">
    <w:name w:val="注释标题 字符"/>
    <w:link w:val="16"/>
    <w:semiHidden/>
    <w:uiPriority w:val="0"/>
    <w:rPr>
      <w:sz w:val="24"/>
    </w:rPr>
  </w:style>
  <w:style w:type="character" w:customStyle="1" w:styleId="134">
    <w:name w:val="纯文本 字符"/>
    <w:link w:val="45"/>
    <w:semiHidden/>
    <w:uiPriority w:val="0"/>
    <w:rPr>
      <w:rFonts w:ascii="Courier New" w:hAnsi="Courier New" w:cs="Courier New"/>
    </w:rPr>
  </w:style>
  <w:style w:type="paragraph" w:styleId="135">
    <w:name w:val="Quote"/>
    <w:basedOn w:val="1"/>
    <w:next w:val="1"/>
    <w:link w:val="136"/>
    <w:semiHidden/>
    <w:qFormat/>
    <w:uiPriority w:val="29"/>
    <w:rPr>
      <w:i/>
      <w:iCs/>
      <w:color w:val="000000"/>
    </w:rPr>
  </w:style>
  <w:style w:type="character" w:customStyle="1" w:styleId="136">
    <w:name w:val="引用 字符"/>
    <w:link w:val="135"/>
    <w:semiHidden/>
    <w:uiPriority w:val="29"/>
    <w:rPr>
      <w:i/>
      <w:iCs/>
      <w:color w:val="000000"/>
      <w:sz w:val="24"/>
    </w:rPr>
  </w:style>
  <w:style w:type="character" w:customStyle="1" w:styleId="137">
    <w:name w:val="称呼 字符"/>
    <w:link w:val="30"/>
    <w:semiHidden/>
    <w:uiPriority w:val="0"/>
    <w:rPr>
      <w:sz w:val="24"/>
    </w:rPr>
  </w:style>
  <w:style w:type="character" w:customStyle="1" w:styleId="138">
    <w:name w:val="签名 字符"/>
    <w:link w:val="58"/>
    <w:semiHidden/>
    <w:uiPriority w:val="0"/>
    <w:rPr>
      <w:sz w:val="24"/>
    </w:rPr>
  </w:style>
  <w:style w:type="character" w:customStyle="1" w:styleId="139">
    <w:name w:val="副标题 字符"/>
    <w:link w:val="64"/>
    <w:semiHidden/>
    <w:uiPriority w:val="0"/>
    <w:rPr>
      <w:rFonts w:ascii="Cambria" w:hAnsi="Cambria"/>
      <w:sz w:val="24"/>
      <w:szCs w:val="24"/>
    </w:rPr>
  </w:style>
  <w:style w:type="character" w:customStyle="1" w:styleId="140">
    <w:name w:val="标题 字符"/>
    <w:link w:val="84"/>
    <w:semiHidden/>
    <w:uiPriority w:val="0"/>
    <w:rPr>
      <w:rFonts w:ascii="Cambria" w:hAnsi="Cambria"/>
      <w:b/>
      <w:bCs/>
      <w:kern w:val="28"/>
      <w:sz w:val="32"/>
      <w:szCs w:val="32"/>
    </w:rPr>
  </w:style>
  <w:style w:type="paragraph" w:customStyle="1" w:styleId="141">
    <w:name w:val="TOC Heading"/>
    <w:basedOn w:val="3"/>
    <w:next w:val="1"/>
    <w:semiHidden/>
    <w:unhideWhenUsed/>
    <w:qFormat/>
    <w:uiPriority w:val="39"/>
    <w:pPr>
      <w:outlineLvl w:val="9"/>
    </w:pPr>
    <w:rPr>
      <w:rFonts w:ascii="Cambria" w:hAnsi="Cambria"/>
      <w:sz w:val="32"/>
      <w:szCs w:val="32"/>
    </w:rPr>
  </w:style>
  <w:style w:type="character" w:customStyle="1" w:styleId="142">
    <w:name w:val="Unresolved Mention"/>
    <w:basedOn w:val="89"/>
    <w:semiHidden/>
    <w:unhideWhenUsed/>
    <w:uiPriority w:val="99"/>
    <w:rPr>
      <w:color w:val="808080"/>
      <w:shd w:val="clear" w:color="auto" w:fill="E6E6E6"/>
    </w:rPr>
  </w:style>
  <w:style w:type="paragraph" w:customStyle="1" w:styleId="143">
    <w:name w:val="PubInfo"/>
    <w:basedOn w:val="1"/>
    <w:qFormat/>
    <w:uiPriority w:val="0"/>
    <w:pPr>
      <w:suppressAutoHyphens/>
      <w:jc w:val="center"/>
    </w:pPr>
    <w:rPr>
      <w:sz w:val="20"/>
      <w:lang w:eastAsia="ar-SA"/>
    </w:rPr>
  </w:style>
  <w:style w:type="paragraph" w:customStyle="1" w:styleId="144">
    <w:name w:val="DoiInfo"/>
    <w:basedOn w:val="1"/>
    <w:qFormat/>
    <w:uiPriority w:val="0"/>
    <w:pPr>
      <w:suppressAutoHyphens/>
      <w:jc w:val="center"/>
    </w:pPr>
    <w:rPr>
      <w:sz w:val="20"/>
      <w:lang w:eastAsia="ar-SA"/>
    </w:rPr>
  </w:style>
  <w:style w:type="paragraph" w:customStyle="1" w:styleId="145">
    <w:name w:val="Paragraph"/>
    <w:basedOn w:val="1"/>
    <w:uiPriority w:val="0"/>
    <w:pPr>
      <w:spacing w:before="120"/>
      <w:ind w:firstLine="720"/>
    </w:pPr>
    <w:rPr>
      <w:rFonts w:eastAsia="Times New Roman"/>
      <w:szCs w:val="24"/>
    </w:rPr>
  </w:style>
  <w:style w:type="paragraph" w:customStyle="1" w:styleId="146">
    <w:name w:val="Head"/>
    <w:basedOn w:val="1"/>
    <w:uiPriority w:val="0"/>
    <w:pPr>
      <w:keepNext/>
      <w:spacing w:before="120" w:after="120"/>
      <w:jc w:val="center"/>
      <w:outlineLvl w:val="0"/>
    </w:pPr>
    <w:rPr>
      <w:rFonts w:eastAsia="Times New Roman"/>
      <w:b/>
      <w:bCs/>
      <w:kern w:val="28"/>
      <w:sz w:val="28"/>
      <w:szCs w:val="28"/>
    </w:rPr>
  </w:style>
  <w:style w:type="paragraph" w:customStyle="1" w:styleId="147">
    <w:name w:val="Teaser"/>
    <w:basedOn w:val="1"/>
    <w:uiPriority w:val="0"/>
    <w:pPr>
      <w:spacing w:before="120"/>
    </w:pPr>
    <w:rPr>
      <w:rFonts w:eastAsia="Times New Roman"/>
      <w:szCs w:val="24"/>
    </w:rPr>
  </w:style>
  <w:style w:type="paragraph" w:customStyle="1" w:styleId="148">
    <w:name w:val="BA_Title"/>
    <w:basedOn w:val="1"/>
    <w:next w:val="149"/>
    <w:uiPriority w:val="0"/>
    <w:pPr>
      <w:spacing w:before="720" w:after="360" w:line="480" w:lineRule="auto"/>
      <w:jc w:val="center"/>
    </w:pPr>
    <w:rPr>
      <w:sz w:val="44"/>
    </w:rPr>
  </w:style>
  <w:style w:type="paragraph" w:customStyle="1" w:styleId="149">
    <w:name w:val="BB_Author_Name"/>
    <w:basedOn w:val="1"/>
    <w:next w:val="150"/>
    <w:uiPriority w:val="0"/>
    <w:pPr>
      <w:spacing w:after="240" w:line="480" w:lineRule="auto"/>
      <w:jc w:val="center"/>
    </w:pPr>
    <w:rPr>
      <w:rFonts w:ascii="Times" w:hAnsi="Times"/>
      <w:i/>
    </w:rPr>
  </w:style>
  <w:style w:type="paragraph" w:customStyle="1" w:styleId="150">
    <w:name w:val="BC_Author_Address"/>
    <w:basedOn w:val="1"/>
    <w:next w:val="1"/>
    <w:uiPriority w:val="0"/>
    <w:pPr>
      <w:spacing w:after="240" w:line="480" w:lineRule="auto"/>
      <w:jc w:val="center"/>
    </w:pPr>
    <w:rPr>
      <w:rFonts w:ascii="Times" w:hAnsi="Times"/>
    </w:rPr>
  </w:style>
  <w:style w:type="paragraph" w:customStyle="1" w:styleId="151">
    <w:name w:val="TE_Supporting_Information"/>
    <w:basedOn w:val="1"/>
    <w:next w:val="1"/>
    <w:uiPriority w:val="0"/>
    <w:pPr>
      <w:spacing w:after="200" w:line="480" w:lineRule="auto"/>
      <w:ind w:firstLine="187"/>
      <w:jc w:val="both"/>
    </w:pPr>
    <w:rPr>
      <w:rFonts w:ascii="Times" w:hAnsi="Times"/>
    </w:rPr>
  </w:style>
  <w:style w:type="paragraph" w:customStyle="1" w:styleId="152">
    <w:name w:val="Title2"/>
    <w:basedOn w:val="1"/>
    <w:uiPriority w:val="0"/>
    <w:rPr>
      <w:rFonts w:eastAsia="MS Mincho"/>
      <w:b/>
      <w:szCs w:val="24"/>
      <w:lang w:eastAsia="ja-JP"/>
    </w:rPr>
  </w:style>
  <w:style w:type="paragraph" w:customStyle="1" w:styleId="153">
    <w:name w:val="BG_Keywords"/>
    <w:basedOn w:val="1"/>
    <w:link w:val="155"/>
    <w:uiPriority w:val="0"/>
    <w:pPr>
      <w:spacing w:after="200" w:line="480" w:lineRule="auto"/>
      <w:jc w:val="both"/>
    </w:pPr>
    <w:rPr>
      <w:rFonts w:ascii="Times" w:hAnsi="Times"/>
      <w14:ligatures w14:val="standardContextual"/>
    </w:rPr>
  </w:style>
  <w:style w:type="paragraph" w:customStyle="1" w:styleId="154">
    <w:name w:val="EndNote Bibliography Title"/>
    <w:basedOn w:val="1"/>
    <w:link w:val="156"/>
    <w:uiPriority w:val="0"/>
    <w:pPr>
      <w:jc w:val="center"/>
    </w:pPr>
  </w:style>
  <w:style w:type="character" w:customStyle="1" w:styleId="155">
    <w:name w:val="BG_Keywords 字符"/>
    <w:basedOn w:val="89"/>
    <w:link w:val="153"/>
    <w:uiPriority w:val="0"/>
    <w:rPr>
      <w:rFonts w:ascii="Times" w:hAnsi="Times"/>
      <w:sz w:val="24"/>
      <w14:ligatures w14:val="standardContextual"/>
    </w:rPr>
  </w:style>
  <w:style w:type="character" w:customStyle="1" w:styleId="156">
    <w:name w:val="EndNote Bibliography Title 字符"/>
    <w:basedOn w:val="155"/>
    <w:link w:val="154"/>
    <w:uiPriority w:val="0"/>
    <w:rPr>
      <w:rFonts w:ascii="Times" w:hAnsi="Times"/>
      <w:sz w:val="24"/>
      <w14:ligatures w14:val="standardContextual"/>
    </w:rPr>
  </w:style>
  <w:style w:type="paragraph" w:customStyle="1" w:styleId="157">
    <w:name w:val="EndNote Bibliography"/>
    <w:basedOn w:val="1"/>
    <w:link w:val="158"/>
    <w:uiPriority w:val="0"/>
  </w:style>
  <w:style w:type="character" w:customStyle="1" w:styleId="158">
    <w:name w:val="EndNote Bibliography 字符"/>
    <w:basedOn w:val="155"/>
    <w:link w:val="157"/>
    <w:uiPriority w:val="0"/>
    <w:rPr>
      <w:rFonts w:ascii="Times" w:hAnsi="Times"/>
      <w:sz w:val="24"/>
      <w14:ligatures w14:val="standardContextual"/>
    </w:rPr>
  </w:style>
  <w:style w:type="paragraph" w:customStyle="1" w:styleId="159">
    <w:name w:val="FA_Corresponding_Author_Footnote"/>
    <w:basedOn w:val="1"/>
    <w:next w:val="1"/>
    <w:uiPriority w:val="0"/>
    <w:pPr>
      <w:spacing w:after="200" w:line="480" w:lineRule="auto"/>
      <w:jc w:val="both"/>
    </w:pPr>
    <w:rPr>
      <w:rFonts w:ascii="Times" w:hAnsi="Times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1" Type="http://schemas.openxmlformats.org/officeDocument/2006/relationships/fontTable" Target="fontTable.xml"/><Relationship Id="rId20" Type="http://schemas.openxmlformats.org/officeDocument/2006/relationships/customXml" Target="../customXml/item3.xml"/><Relationship Id="rId2" Type="http://schemas.openxmlformats.org/officeDocument/2006/relationships/settings" Target="settings.xml"/><Relationship Id="rId19" Type="http://schemas.openxmlformats.org/officeDocument/2006/relationships/customXml" Target="../customXml/item2.xml"/><Relationship Id="rId18" Type="http://schemas.openxmlformats.org/officeDocument/2006/relationships/customXml" Target="../customXml/item1.xml"/><Relationship Id="rId17" Type="http://schemas.openxmlformats.org/officeDocument/2006/relationships/numbering" Target="numbering.xml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emf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ma:contentTypeID="0x0101000C8221A7F0343744B07CC2CED3D6F8EE" ct:_="" ma:_="" ma:contentTypeVersion="12" ma:contentTypeName="Document" ma:versionID="4ed130d46c3bc80f8d043bccdf574eeb" ma:contentTypeScope="" ma:contentTypeDescription="Create a new document.">
  <xsd:schema xmlns:ns3="96858f5b-69cf-4d49-a520-6ae816db1d8d" xmlns:ns4="1867113f-8995-4870-a940-2b72f688d265" xmlns:xsd="http://www.w3.org/2001/XMLSchema" xmlns:xs="http://www.w3.org/2001/XMLSchema" xmlns:p="http://schemas.microsoft.com/office/2006/metadata/properties" ns3:_="" targetNamespace="http://schemas.microsoft.com/office/2006/metadata/properties" ns4:_="" ma:fieldsID="194ceea0314d884e28c6faa81920b7ec" ma:root="true">
    <xsd:import namespace="96858f5b-69cf-4d49-a520-6ae816db1d8d"/>
    <xsd:import namespace="1867113f-8995-4870-a940-2b72f688d26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d="http://www.w3.org/2001/XMLSchema" xmlns:xs="http://www.w3.org/2001/XMLSchema" elementFormDefault="qualified" targetNamespace="96858f5b-69cf-4d49-a520-6ae816db1d8d">
    <xsd:import namespace="http://schemas.microsoft.com/office/2006/documentManagement/types"/>
    <xsd:import namespace="http://schemas.microsoft.com/office/infopath/2007/PartnerControls"/>
    <xsd:element nillable="true" name="MediaServiceMetadata" ma:internalName="MediaServiceMetadata" ma:index="8" ma:displayName="MediaServiceMetadata" ma:readOnly="true" ma:hidden="true">
      <xsd:simpleType>
        <xsd:restriction base="dms:Note"/>
      </xsd:simpleType>
    </xsd:element>
    <xsd:element nillable="true" name="MediaServiceFastMetadata" ma:internalName="MediaServiceFastMetadata" ma:index="9" ma:displayName="MediaServiceFastMetadata" ma:readOnly="true" ma:hidden="true">
      <xsd:simpleType>
        <xsd:restriction base="dms:Note"/>
      </xsd:simpleType>
    </xsd:element>
    <xsd:element nillable="true" name="MediaServiceAutoKeyPoints" ma:internalName="MediaServiceAutoKeyPoints" ma:index="10" ma:displayName="MediaServiceAutoKeyPoints" ma:readOnly="true" ma:hidden="true">
      <xsd:simpleType>
        <xsd:restriction base="dms:Note"/>
      </xsd:simpleType>
    </xsd:element>
    <xsd:element nillable="true" name="MediaServiceKeyPoints" ma:internalName="MediaServiceKeyPoints" ma:index="11" ma:displayName="KeyPoints" ma:readOnly="true">
      <xsd:simpleType>
        <xsd:restriction base="dms:Note">
          <xsd:maxLength value="255"/>
        </xsd:restriction>
      </xsd:simpleType>
    </xsd:element>
    <xsd:element nillable="true" name="MediaServiceDateTaken" ma:internalName="MediaServiceDateTaken" ma:index="15" ma:displayName="MediaServiceDateTaken" ma:readOnly="true" ma:hidden="true">
      <xsd:simpleType>
        <xsd:restriction base="dms:Text"/>
      </xsd:simpleType>
    </xsd:element>
    <xsd:element nillable="true" name="MediaServiceAutoTags" ma:internalName="MediaServiceAutoTags" ma:index="16" ma:displayName="Tags" ma:readOnly="true">
      <xsd:simpleType>
        <xsd:restriction base="dms:Text"/>
      </xsd:simpleType>
    </xsd:element>
    <xsd:element nillable="true" name="MediaServiceGenerationTime" ma:internalName="MediaServiceGenerationTime" ma:index="17" ma:displayName="MediaServiceGenerationTime" ma:readOnly="true" ma:hidden="true">
      <xsd:simpleType>
        <xsd:restriction base="dms:Text"/>
      </xsd:simpleType>
    </xsd:element>
    <xsd:element nillable="true" name="MediaServiceEventHashCode" ma:internalName="MediaServiceEventHashCode" ma:index="18" ma:displayName="MediaServiceEventHashCode" ma:readOnly="true" ma:hidden="true">
      <xsd:simpleType>
        <xsd:restriction base="dms:Text"/>
      </xsd:simpleType>
    </xsd:element>
    <xsd:element nillable="true" name="MediaServiceOCR" ma:internalName="MediaServiceOCR" ma:index="19" ma:displayName="Extracted Text" ma:readOnly="true">
      <xsd:simpleType>
        <xsd:restriction base="dms:Note">
          <xsd:maxLength value="255"/>
        </xsd:restriction>
      </xsd:simpleType>
    </xsd:element>
  </xsd:schema>
  <xsd:schema xmlns:dms="http://schemas.microsoft.com/office/2006/documentManagement/types" xmlns:pc="http://schemas.microsoft.com/office/infopath/2007/PartnerControls" xmlns:xsd="http://www.w3.org/2001/XMLSchema" xmlns:xs="http://www.w3.org/2001/XMLSchema" elementFormDefault="qualified" targetNamespace="1867113f-8995-4870-a940-2b72f688d265">
    <xsd:import namespace="http://schemas.microsoft.com/office/2006/documentManagement/types"/>
    <xsd:import namespace="http://schemas.microsoft.com/office/infopath/2007/PartnerControls"/>
    <xsd:element nillable="true" name="SharedWithUsers" ma:internalName="SharedWithUsers" ma:index="12" ma:displayName="Shared With" ma:readOnly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illable="true"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illable="true" name="SharedWithDetails" ma:internalName="SharedWithDetails" ma:index="13" ma:displayName="Shared With Details" ma:readOnly="true">
      <xsd:simpleType>
        <xsd:restriction base="dms:Note">
          <xsd:maxLength value="255"/>
        </xsd:restriction>
      </xsd:simpleType>
    </xsd:element>
    <xsd:element nillable="true" name="SharingHintHash" ma:internalName="SharingHintHash" ma:index="14" ma:displayName="Sharing Hint Hash" ma:readOnly="true" ma:hidden="true">
      <xsd:simpleType>
        <xsd:restriction base="dms:Text"/>
      </xsd:simpleType>
    </xsd:element>
  </xsd:schema>
  <xsd:schema xmlns:xsi="http://www.w3.org/2001/XMLSchema-instance" xmlns:odoc="http://schemas.microsoft.com/internal/obd" xmlns:dc="http://purl.org/dc/elements/1.1/" xmlns="http://schemas.openxmlformats.org/package/2006/metadata/core-properties" xmlns:dcterms="http://purl.org/dc/terms/" xmlns:xsd="http://www.w3.org/2001/XMLSchema" attributeFormDefault="unqualified" elementFormDefault="qualified" targetNamespace="http://schemas.openxmlformats.org/package/2006/metadata/core-properties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ma:index="0" ma:displayName="Content Type" type="xsd:string" maxOccurs="1" minOccurs="0"/>
        <xsd:element ma:index="4" ma:displayName="Title" ref="dc:title" maxOccurs="1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
                        This value indicates the number of saves or revisions. The application is responsible for updating this value after each revision.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attributeFormDefault="unqualified" elementFormDefault="qualified" targetNamespace="http://schemas.microsoft.com/office/infopath/2007/PartnerControls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06A6A5F-BF35-401C-A3A1-63045C831006}">
  <ds:schemaRefs/>
</ds:datastoreItem>
</file>

<file path=customXml/itemProps2.xml><?xml version="1.0" encoding="utf-8"?>
<ds:datastoreItem xmlns:ds="http://schemas.openxmlformats.org/officeDocument/2006/customXml" ds:itemID="{78F523CB-42AC-406D-90D9-CA3AE16CA9D3}">
  <ds:schemaRefs/>
</ds:datastoreItem>
</file>

<file path=customXml/itemProps3.xml><?xml version="1.0" encoding="utf-8"?>
<ds:datastoreItem xmlns:ds="http://schemas.openxmlformats.org/officeDocument/2006/customXml" ds:itemID="{6876C972-A183-49AB-BF18-FB119101A46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AAAS</Company>
  <Pages>9</Pages>
  <Words>717</Words>
  <Characters>4087</Characters>
  <Lines>34</Lines>
  <Paragraphs>9</Paragraphs>
  <TotalTime>0</TotalTime>
  <ScaleCrop>false</ScaleCrop>
  <LinksUpToDate>false</LinksUpToDate>
  <CharactersWithSpaces>4795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2026-09-12T20:47:00Z</dcterms:created>
  <dc:creator>Brooks Hanson</dc:creator>
  <cp:lastModifiedBy>楠木</cp:lastModifiedBy>
  <cp:lastPrinted>2018-01-13T03:53:00Z</cp:lastPrinted>
  <dcterms:modified xsi:type="dcterms:W3CDTF">2026-09-22T06:36:24Z</dcterms:modified>
  <dc:title>Supporting Online Material for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0x0101000C8221A7F0343744B07CC2CED3D6F8EE</vt:lpwstr>
  </property>
  <property fmtid="{D5CDD505-2E9C-101B-9397-08002B2CF9AE}" pid="3" name="KSOProductBuildVer">
    <vt:lpwstr>2052-12.1.28496.28496</vt:lpwstr>
  </property>
  <property fmtid="{D5CDD505-2E9C-101B-9397-08002B2CF9AE}" pid="4" name="ICV">
    <vt:lpwstr>45D50975BFC2070584B5A76AD5A6C1F7_42</vt:lpwstr>
  </property>
</Properties>
</file>