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91FF65" w14:textId="77777777" w:rsidR="00612D9E" w:rsidRPr="00196AFE" w:rsidRDefault="00612D9E" w:rsidP="00612D9E">
      <w:pPr>
        <w:pStyle w:val="Heading1"/>
        <w:spacing w:before="320" w:after="160"/>
        <w:rPr>
          <w:color w:val="000000" w:themeColor="text1"/>
        </w:rPr>
      </w:pPr>
      <w:r w:rsidRPr="00196AFE">
        <w:rPr>
          <w:color w:val="000000" w:themeColor="text1"/>
        </w:rPr>
        <w:t>Supplementary Information</w:t>
      </w:r>
    </w:p>
    <w:p w14:paraId="2BFFA8AC" w14:textId="77777777" w:rsidR="00612D9E" w:rsidRPr="00196AFE" w:rsidRDefault="00612D9E" w:rsidP="00612D9E">
      <w:pPr>
        <w:spacing w:after="160"/>
        <w:jc w:val="both"/>
        <w:rPr>
          <w:color w:val="000000" w:themeColor="text1"/>
          <w:sz w:val="22"/>
          <w:szCs w:val="22"/>
        </w:rPr>
      </w:pPr>
      <w:r w:rsidRPr="00196AFE">
        <w:rPr>
          <w:color w:val="000000" w:themeColor="text1"/>
          <w:sz w:val="22"/>
          <w:szCs w:val="22"/>
        </w:rPr>
        <w:t>The following supplementary items are represented in the supplied material. Tables S1 and S2 are provided in the supplementary document; Figures S1–S5 are included in the updated figure deck and should be exported as separate publication-ready files before submission.</w:t>
      </w:r>
    </w:p>
    <w:p w14:paraId="09F6A661" w14:textId="77777777" w:rsidR="00612D9E" w:rsidRPr="00196AFE" w:rsidRDefault="00612D9E" w:rsidP="00612D9E">
      <w:pPr>
        <w:pStyle w:val="ListParagraph"/>
        <w:numPr>
          <w:ilvl w:val="0"/>
          <w:numId w:val="1"/>
        </w:numPr>
        <w:spacing w:after="100"/>
        <w:contextualSpacing w:val="0"/>
        <w:jc w:val="both"/>
        <w:rPr>
          <w:color w:val="000000" w:themeColor="text1"/>
          <w:sz w:val="22"/>
          <w:szCs w:val="22"/>
        </w:rPr>
      </w:pPr>
      <w:r w:rsidRPr="00196AFE">
        <w:rPr>
          <w:color w:val="000000" w:themeColor="text1"/>
          <w:sz w:val="22"/>
          <w:szCs w:val="22"/>
        </w:rPr>
        <w:t>Supplementary Table S1. Complete peptide construct list (sequences, modifications, purity, molecular weight, formulation).</w:t>
      </w:r>
    </w:p>
    <w:p w14:paraId="56598D30" w14:textId="77777777" w:rsidR="00612D9E" w:rsidRPr="00196AFE" w:rsidRDefault="00612D9E" w:rsidP="00612D9E">
      <w:pPr>
        <w:pStyle w:val="ListParagraph"/>
        <w:numPr>
          <w:ilvl w:val="0"/>
          <w:numId w:val="1"/>
        </w:numPr>
        <w:spacing w:after="100"/>
        <w:contextualSpacing w:val="0"/>
        <w:jc w:val="both"/>
        <w:rPr>
          <w:color w:val="000000" w:themeColor="text1"/>
          <w:sz w:val="22"/>
          <w:szCs w:val="22"/>
        </w:rPr>
      </w:pPr>
      <w:r w:rsidRPr="00196AFE">
        <w:rPr>
          <w:color w:val="000000" w:themeColor="text1"/>
          <w:sz w:val="22"/>
          <w:szCs w:val="22"/>
        </w:rPr>
        <w:t>Supplementary Table S2. Patient-derived and murine model panel with PTEN/PIP4K2A protein status and current usage.</w:t>
      </w:r>
    </w:p>
    <w:p w14:paraId="448A3BE2" w14:textId="77777777" w:rsidR="00612D9E" w:rsidRPr="00196AFE" w:rsidRDefault="00612D9E" w:rsidP="00612D9E">
      <w:pPr>
        <w:pStyle w:val="ListParagraph"/>
        <w:numPr>
          <w:ilvl w:val="0"/>
          <w:numId w:val="1"/>
        </w:numPr>
        <w:spacing w:after="100"/>
        <w:contextualSpacing w:val="0"/>
        <w:jc w:val="both"/>
        <w:rPr>
          <w:color w:val="000000" w:themeColor="text1"/>
          <w:sz w:val="22"/>
          <w:szCs w:val="22"/>
        </w:rPr>
      </w:pPr>
      <w:r w:rsidRPr="00196AFE">
        <w:rPr>
          <w:color w:val="000000" w:themeColor="text1"/>
          <w:sz w:val="22"/>
          <w:szCs w:val="22"/>
        </w:rPr>
        <w:t>Supplementary Figure S1. Concentration-response curves for PIP12-1, PIP4-2, and PIP11-2 measured by MTT in PDC1.</w:t>
      </w:r>
    </w:p>
    <w:p w14:paraId="062837F4" w14:textId="77777777" w:rsidR="00612D9E" w:rsidRPr="00196AFE" w:rsidRDefault="00612D9E" w:rsidP="00612D9E">
      <w:pPr>
        <w:pStyle w:val="ListParagraph"/>
        <w:numPr>
          <w:ilvl w:val="0"/>
          <w:numId w:val="1"/>
        </w:numPr>
        <w:spacing w:after="100"/>
        <w:contextualSpacing w:val="0"/>
        <w:jc w:val="both"/>
        <w:rPr>
          <w:color w:val="000000" w:themeColor="text1"/>
          <w:sz w:val="22"/>
          <w:szCs w:val="22"/>
        </w:rPr>
      </w:pPr>
      <w:r w:rsidRPr="00196AFE">
        <w:rPr>
          <w:color w:val="000000" w:themeColor="text1"/>
          <w:sz w:val="22"/>
          <w:szCs w:val="22"/>
        </w:rPr>
        <w:t>Supplementary Figure S2. Viability responses to PIP4-1 optimization constructs and controls in PDC4, including cyclized, palmitoylated, shortened, and carrier-only constructs (panels A and B tested at 200 and 40 µg/mL, respectively; panel C at 8 µg/mL. Construct effects were significant by one-way ANOVA at both 200 µg/mL (F(6,32) = 189.3, P &lt; 0.0001, R² = 0.9726) and 40 µg/mL (F(6,32) = 3.536, P = 0.0085, R² = 0.3986).</w:t>
      </w:r>
    </w:p>
    <w:p w14:paraId="4FF73FDD" w14:textId="77777777" w:rsidR="00612D9E" w:rsidRPr="00196AFE" w:rsidRDefault="00612D9E" w:rsidP="00612D9E">
      <w:pPr>
        <w:pStyle w:val="ListParagraph"/>
        <w:numPr>
          <w:ilvl w:val="0"/>
          <w:numId w:val="1"/>
        </w:numPr>
        <w:spacing w:after="100"/>
        <w:contextualSpacing w:val="0"/>
        <w:jc w:val="both"/>
        <w:rPr>
          <w:color w:val="000000" w:themeColor="text1"/>
          <w:sz w:val="22"/>
          <w:szCs w:val="22"/>
        </w:rPr>
      </w:pPr>
      <w:r w:rsidRPr="00196AFE">
        <w:rPr>
          <w:color w:val="000000" w:themeColor="text1"/>
          <w:sz w:val="22"/>
          <w:szCs w:val="22"/>
        </w:rPr>
        <w:t>Supplementary Figure S3. Design, terminal modifications, and documented sequences of the PIP4-1 optimization constructs and controls.</w:t>
      </w:r>
    </w:p>
    <w:p w14:paraId="5B59F247" w14:textId="77777777" w:rsidR="00612D9E" w:rsidRPr="00196AFE" w:rsidRDefault="00612D9E" w:rsidP="00612D9E">
      <w:pPr>
        <w:pStyle w:val="ListParagraph"/>
        <w:numPr>
          <w:ilvl w:val="0"/>
          <w:numId w:val="1"/>
        </w:numPr>
        <w:spacing w:after="100"/>
        <w:contextualSpacing w:val="0"/>
        <w:jc w:val="both"/>
        <w:rPr>
          <w:color w:val="000000" w:themeColor="text1"/>
          <w:sz w:val="22"/>
          <w:szCs w:val="22"/>
        </w:rPr>
      </w:pPr>
      <w:r w:rsidRPr="00196AFE">
        <w:rPr>
          <w:color w:val="000000" w:themeColor="text1"/>
          <w:sz w:val="22"/>
          <w:szCs w:val="22"/>
        </w:rPr>
        <w:t>Supplementary Figure S4. Body weight of mice bearing PDX4 xenografts across the dosing period (vehicle, PIP4-1, PIP8-1, PIP4/12-1; n=3/group).</w:t>
      </w:r>
    </w:p>
    <w:p w14:paraId="24B06456" w14:textId="77777777" w:rsidR="00612D9E" w:rsidRPr="00196AFE" w:rsidRDefault="00612D9E" w:rsidP="00612D9E">
      <w:pPr>
        <w:pStyle w:val="ListParagraph"/>
        <w:numPr>
          <w:ilvl w:val="0"/>
          <w:numId w:val="1"/>
        </w:numPr>
        <w:spacing w:after="0"/>
        <w:contextualSpacing w:val="0"/>
        <w:jc w:val="both"/>
        <w:rPr>
          <w:color w:val="000000" w:themeColor="text1"/>
          <w:sz w:val="22"/>
          <w:szCs w:val="22"/>
        </w:rPr>
      </w:pPr>
      <w:r w:rsidRPr="00196AFE">
        <w:rPr>
          <w:color w:val="000000" w:themeColor="text1"/>
          <w:sz w:val="22"/>
          <w:szCs w:val="22"/>
        </w:rPr>
        <w:t xml:space="preserve">Supplementary Figure S5. </w:t>
      </w:r>
      <w:bookmarkStart w:id="0" w:name="OLE_LINK1"/>
      <w:r w:rsidRPr="00196AFE">
        <w:rPr>
          <w:color w:val="000000" w:themeColor="text1"/>
          <w:sz w:val="22"/>
          <w:szCs w:val="22"/>
        </w:rPr>
        <w:t>Uncropped immunoblot scans for Figure 2A</w:t>
      </w:r>
      <w:bookmarkEnd w:id="0"/>
      <w:r w:rsidRPr="00196AFE">
        <w:rPr>
          <w:color w:val="000000" w:themeColor="text1"/>
          <w:sz w:val="22"/>
          <w:szCs w:val="22"/>
        </w:rPr>
        <w:t>.</w:t>
      </w:r>
      <w:r w:rsidRPr="00196AFE">
        <w:rPr>
          <w:rFonts w:hint="eastAsia"/>
          <w:color w:val="000000" w:themeColor="text1"/>
          <w:sz w:val="22"/>
          <w:szCs w:val="22"/>
        </w:rPr>
        <w:t xml:space="preserve"> </w:t>
      </w:r>
      <w:r w:rsidRPr="00196AFE">
        <w:rPr>
          <w:color w:val="000000" w:themeColor="text1"/>
          <w:sz w:val="22"/>
          <w:szCs w:val="22"/>
        </w:rPr>
        <w:t>Uncropped, raw chemiluminescent scans displaying whole membrane borders for PIP4K2A (47 kDa, AP8041b; Abgent) , PTEN (54 kDa, 9188S; Cell Signaling Technology), and GAPDH (37 kDa, sc-47724; Santa Cruz Biotechnology) across NHA and PDC1–PDC7 cell lysates. Molecular weight marker ladders (kDa) are indicated on the left. Red dashed boxes indicate the precise cropped regions presented in main Figure 2A</w:t>
      </w:r>
    </w:p>
    <w:p w14:paraId="1E060937" w14:textId="77777777" w:rsidR="00612D9E" w:rsidRPr="00CB69C6" w:rsidRDefault="00612D9E" w:rsidP="00612D9E">
      <w:pPr>
        <w:spacing w:after="100"/>
        <w:ind w:left="360"/>
        <w:jc w:val="both"/>
        <w:rPr>
          <w:color w:val="000000" w:themeColor="text1"/>
          <w:sz w:val="22"/>
          <w:szCs w:val="22"/>
        </w:rPr>
      </w:pPr>
    </w:p>
    <w:p w14:paraId="689C51E1" w14:textId="77777777" w:rsidR="00612D9E" w:rsidRPr="00CB69C6" w:rsidRDefault="00612D9E" w:rsidP="00612D9E">
      <w:pPr>
        <w:spacing w:after="0"/>
        <w:rPr>
          <w:color w:val="000000" w:themeColor="text1"/>
          <w:sz w:val="22"/>
          <w:szCs w:val="22"/>
        </w:rPr>
      </w:pPr>
    </w:p>
    <w:p w14:paraId="416F8CCC" w14:textId="77777777" w:rsidR="00F553FF" w:rsidRDefault="00F553FF"/>
    <w:sectPr w:rsidR="00F553FF" w:rsidSect="00612D9E">
      <w:pgSz w:w="12240" w:h="15840"/>
      <w:pgMar w:top="1440" w:right="1440" w:bottom="1440" w:left="1440" w:header="708" w:footer="708" w:gutter="0"/>
      <w:lnNumType w:countBy="1" w:distance="36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493A5A"/>
    <w:multiLevelType w:val="hybridMultilevel"/>
    <w:tmpl w:val="8A7C297C"/>
    <w:lvl w:ilvl="0" w:tplc="C15EC844">
      <w:start w:val="1"/>
      <w:numFmt w:val="bullet"/>
      <w:lvlText w:val="●"/>
      <w:lvlJc w:val="left"/>
      <w:pPr>
        <w:ind w:left="720" w:hanging="360"/>
      </w:pPr>
    </w:lvl>
    <w:lvl w:ilvl="1" w:tplc="78CCC3D0">
      <w:start w:val="1"/>
      <w:numFmt w:val="bullet"/>
      <w:lvlText w:val="○"/>
      <w:lvlJc w:val="left"/>
      <w:pPr>
        <w:ind w:left="1440" w:hanging="360"/>
      </w:pPr>
    </w:lvl>
    <w:lvl w:ilvl="2" w:tplc="AF169092">
      <w:start w:val="1"/>
      <w:numFmt w:val="bullet"/>
      <w:lvlText w:val="■"/>
      <w:lvlJc w:val="left"/>
      <w:pPr>
        <w:ind w:left="2160" w:hanging="360"/>
      </w:pPr>
    </w:lvl>
    <w:lvl w:ilvl="3" w:tplc="9CB2E910">
      <w:start w:val="1"/>
      <w:numFmt w:val="bullet"/>
      <w:lvlText w:val="●"/>
      <w:lvlJc w:val="left"/>
      <w:pPr>
        <w:ind w:left="2880" w:hanging="360"/>
      </w:pPr>
    </w:lvl>
    <w:lvl w:ilvl="4" w:tplc="97E013D6">
      <w:start w:val="1"/>
      <w:numFmt w:val="bullet"/>
      <w:lvlText w:val="○"/>
      <w:lvlJc w:val="left"/>
      <w:pPr>
        <w:ind w:left="3600" w:hanging="360"/>
      </w:pPr>
    </w:lvl>
    <w:lvl w:ilvl="5" w:tplc="7C42808C">
      <w:start w:val="1"/>
      <w:numFmt w:val="bullet"/>
      <w:lvlText w:val="■"/>
      <w:lvlJc w:val="left"/>
      <w:pPr>
        <w:ind w:left="4320" w:hanging="360"/>
      </w:pPr>
    </w:lvl>
    <w:lvl w:ilvl="6" w:tplc="EF7C0BE4">
      <w:start w:val="1"/>
      <w:numFmt w:val="bullet"/>
      <w:lvlText w:val="●"/>
      <w:lvlJc w:val="left"/>
      <w:pPr>
        <w:ind w:left="5040" w:hanging="360"/>
      </w:pPr>
    </w:lvl>
    <w:lvl w:ilvl="7" w:tplc="A3545374">
      <w:start w:val="1"/>
      <w:numFmt w:val="bullet"/>
      <w:lvlText w:val="●"/>
      <w:lvlJc w:val="left"/>
      <w:pPr>
        <w:ind w:left="5760" w:hanging="360"/>
      </w:pPr>
    </w:lvl>
    <w:lvl w:ilvl="8" w:tplc="17DE12F8">
      <w:start w:val="1"/>
      <w:numFmt w:val="bullet"/>
      <w:lvlText w:val="●"/>
      <w:lvlJc w:val="left"/>
      <w:pPr>
        <w:ind w:left="6480" w:hanging="360"/>
      </w:pPr>
    </w:lvl>
  </w:abstractNum>
  <w:num w:numId="1" w16cid:durableId="41767769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2D9E"/>
    <w:rsid w:val="003C2EF4"/>
    <w:rsid w:val="00446799"/>
    <w:rsid w:val="00471820"/>
    <w:rsid w:val="00612D9E"/>
    <w:rsid w:val="006A7E07"/>
    <w:rsid w:val="00701021"/>
    <w:rsid w:val="007925A1"/>
    <w:rsid w:val="00866E40"/>
    <w:rsid w:val="00B74216"/>
    <w:rsid w:val="00CF0FCC"/>
    <w:rsid w:val="00D62F8C"/>
    <w:rsid w:val="00DE06E6"/>
    <w:rsid w:val="00E97CD6"/>
    <w:rsid w:val="00F553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767B99"/>
  <w15:chartTrackingRefBased/>
  <w15:docId w15:val="{AE1957E0-029D-403C-A5DF-17FE2C4E71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2D9E"/>
    <w:pPr>
      <w:spacing w:after="120" w:line="240" w:lineRule="auto"/>
    </w:pPr>
    <w:rPr>
      <w:rFonts w:ascii="Arial" w:eastAsia="Batang" w:hAnsi="Arial" w:cs="Times New Roman"/>
      <w:color w:val="000000"/>
      <w:kern w:val="0"/>
      <w:sz w:val="21"/>
      <w:szCs w:val="20"/>
      <w:lang w:eastAsia="ko-KR"/>
      <w14:ligatures w14:val="none"/>
    </w:rPr>
  </w:style>
  <w:style w:type="paragraph" w:styleId="Heading1">
    <w:name w:val="heading 1"/>
    <w:basedOn w:val="Normal"/>
    <w:next w:val="Normal"/>
    <w:link w:val="Heading1Char"/>
    <w:qFormat/>
    <w:rsid w:val="00612D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12D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12D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12D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12D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12D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12D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12D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12D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2D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12D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12D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12D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12D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12D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2D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2D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2D9E"/>
    <w:rPr>
      <w:rFonts w:eastAsiaTheme="majorEastAsia" w:cstheme="majorBidi"/>
      <w:color w:val="272727" w:themeColor="text1" w:themeTint="D8"/>
    </w:rPr>
  </w:style>
  <w:style w:type="paragraph" w:styleId="Title">
    <w:name w:val="Title"/>
    <w:basedOn w:val="Normal"/>
    <w:next w:val="Normal"/>
    <w:link w:val="TitleChar"/>
    <w:uiPriority w:val="10"/>
    <w:qFormat/>
    <w:rsid w:val="00612D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2D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2D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12D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2D9E"/>
    <w:pPr>
      <w:spacing w:before="160"/>
      <w:jc w:val="center"/>
    </w:pPr>
    <w:rPr>
      <w:i/>
      <w:iCs/>
      <w:color w:val="404040" w:themeColor="text1" w:themeTint="BF"/>
    </w:rPr>
  </w:style>
  <w:style w:type="character" w:customStyle="1" w:styleId="QuoteChar">
    <w:name w:val="Quote Char"/>
    <w:basedOn w:val="DefaultParagraphFont"/>
    <w:link w:val="Quote"/>
    <w:uiPriority w:val="29"/>
    <w:rsid w:val="00612D9E"/>
    <w:rPr>
      <w:i/>
      <w:iCs/>
      <w:color w:val="404040" w:themeColor="text1" w:themeTint="BF"/>
    </w:rPr>
  </w:style>
  <w:style w:type="paragraph" w:styleId="ListParagraph">
    <w:name w:val="List Paragraph"/>
    <w:basedOn w:val="Normal"/>
    <w:qFormat/>
    <w:rsid w:val="00612D9E"/>
    <w:pPr>
      <w:ind w:left="720"/>
      <w:contextualSpacing/>
    </w:pPr>
  </w:style>
  <w:style w:type="character" w:styleId="IntenseEmphasis">
    <w:name w:val="Intense Emphasis"/>
    <w:basedOn w:val="DefaultParagraphFont"/>
    <w:uiPriority w:val="21"/>
    <w:qFormat/>
    <w:rsid w:val="00612D9E"/>
    <w:rPr>
      <w:i/>
      <w:iCs/>
      <w:color w:val="0F4761" w:themeColor="accent1" w:themeShade="BF"/>
    </w:rPr>
  </w:style>
  <w:style w:type="paragraph" w:styleId="IntenseQuote">
    <w:name w:val="Intense Quote"/>
    <w:basedOn w:val="Normal"/>
    <w:next w:val="Normal"/>
    <w:link w:val="IntenseQuoteChar"/>
    <w:uiPriority w:val="30"/>
    <w:qFormat/>
    <w:rsid w:val="00612D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12D9E"/>
    <w:rPr>
      <w:i/>
      <w:iCs/>
      <w:color w:val="0F4761" w:themeColor="accent1" w:themeShade="BF"/>
    </w:rPr>
  </w:style>
  <w:style w:type="character" w:styleId="IntenseReference">
    <w:name w:val="Intense Reference"/>
    <w:basedOn w:val="DefaultParagraphFont"/>
    <w:uiPriority w:val="32"/>
    <w:qFormat/>
    <w:rsid w:val="00612D9E"/>
    <w:rPr>
      <w:b/>
      <w:bCs/>
      <w:smallCaps/>
      <w:color w:val="0F4761" w:themeColor="accent1" w:themeShade="BF"/>
      <w:spacing w:val="5"/>
    </w:rPr>
  </w:style>
  <w:style w:type="character" w:styleId="LineNumber">
    <w:name w:val="line number"/>
    <w:basedOn w:val="DefaultParagraphFont"/>
    <w:uiPriority w:val="99"/>
    <w:semiHidden/>
    <w:unhideWhenUsed/>
    <w:rsid w:val="00612D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271</Words>
  <Characters>1547</Characters>
  <Application>Microsoft Office Word</Application>
  <DocSecurity>0</DocSecurity>
  <Lines>12</Lines>
  <Paragraphs>3</Paragraphs>
  <ScaleCrop>false</ScaleCrop>
  <Company>Springer Nature</Company>
  <LinksUpToDate>false</LinksUpToDate>
  <CharactersWithSpaces>1815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Rizwan Khan</dc:creator>
  <cp:keywords/>
  <dc:description/>
  <cp:lastModifiedBy>Rizwan Khan</cp:lastModifiedBy>
  <cp:revision>1</cp:revision>
  <dcterms:created xsi:type="dcterms:W3CDTF">2026-11-03T15:59:00Z</dcterms:created>
  <dcterms:modified xsi:type="dcterms:W3CDTF">2026-11-03T15:59:00Z</dcterms:modified>
</cp:coreProperties>
</file>