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968E7" w14:textId="77777777" w:rsidR="008E24E1" w:rsidRPr="008E24E1" w:rsidRDefault="00907672" w:rsidP="00907672">
      <w:pPr>
        <w:spacing w:after="80"/>
        <w:rPr>
          <w:rFonts w:ascii="Times New Roman" w:eastAsiaTheme="majorEastAsia" w:hAnsi="Times New Roman" w:cs="Times New Roman"/>
          <w:b/>
          <w:spacing w:val="5"/>
          <w:kern w:val="28"/>
          <w:sz w:val="28"/>
          <w:szCs w:val="52"/>
        </w:rPr>
      </w:pPr>
      <w:r>
        <w:rPr>
          <w:rFonts w:ascii="Times New Roman" w:eastAsiaTheme="majorEastAsia" w:hAnsi="Times New Roman" w:cs="Times New Roman"/>
          <w:b/>
          <w:spacing w:val="5"/>
          <w:kern w:val="28"/>
          <w:sz w:val="28"/>
          <w:szCs w:val="52"/>
        </w:rPr>
        <w:t xml:space="preserve">Supplementary Table S1. </w:t>
      </w:r>
    </w:p>
    <w:p w14:paraId="147A56C3" w14:textId="77777777" w:rsidR="00907672" w:rsidRPr="008E24E1" w:rsidRDefault="00907672" w:rsidP="00907672">
      <w:pPr>
        <w:spacing w:after="80"/>
        <w:rPr>
          <w:rFonts w:ascii="Times New Roman" w:eastAsiaTheme="majorEastAsia" w:hAnsi="Times New Roman" w:cs="Times New Roman"/>
          <w:b/>
          <w:spacing w:val="5"/>
          <w:kern w:val="28"/>
          <w:sz w:val="24"/>
          <w:szCs w:val="52"/>
        </w:rPr>
      </w:pPr>
      <w:r>
        <w:rPr>
          <w:rFonts w:ascii="Times New Roman" w:eastAsiaTheme="majorEastAsia" w:hAnsi="Times New Roman" w:cs="Times New Roman"/>
          <w:b/>
          <w:spacing w:val="5"/>
          <w:kern w:val="28"/>
          <w:sz w:val="24"/>
          <w:szCs w:val="52"/>
        </w:rPr>
        <w:t>Comprehensive physicochemical, synthetic, and quality-control profiles of candidate peptide constructs.</w:t>
      </w:r>
    </w:p>
    <w:p w14:paraId="345F3F99" w14:textId="77777777" w:rsidR="00907672" w:rsidRPr="008E24E1" w:rsidRDefault="00907672" w:rsidP="00907672">
      <w:pPr>
        <w:rPr>
          <w:rFonts w:ascii="Times New Roman" w:hAnsi="Times New Roman" w:cs="Times New Roman"/>
        </w:rPr>
      </w:pPr>
      <w:r>
        <w:rPr>
          <w:rFonts w:ascii="Times New Roman" w:hAnsi="Times New Roman" w:cs="Times New Roman"/>
          <w:i/>
          <w:color w:val="555555"/>
          <w:sz w:val="17"/>
        </w:rPr>
        <w:t>Detailed specifications of all parental constructs (PIP1-1 through PIP12-2), optimized chemical derivatives (cyclized, palmitoylated, truncated), and negative control comparators used in in vitro and in vivo studies. Synthesized via Fmoc-SPPS and validated by RP-HPLC and ESI-LC/MS.</w:t>
      </w:r>
    </w:p>
    <w:tbl>
      <w:tblPr>
        <w:tblStyle w:val="af9"/>
        <w:tblW w:w="0" w:type="auto"/>
        <w:tblLook w:val="04A0" w:firstRow="1" w:lastRow="0" w:firstColumn="1" w:lastColumn="0" w:noHBand="0" w:noVBand="1"/>
      </w:tblPr>
      <w:tblGrid>
        <w:gridCol w:w="1544"/>
        <w:gridCol w:w="1206"/>
        <w:gridCol w:w="2737"/>
        <w:gridCol w:w="1317"/>
        <w:gridCol w:w="1030"/>
        <w:gridCol w:w="885"/>
        <w:gridCol w:w="918"/>
        <w:gridCol w:w="1185"/>
        <w:gridCol w:w="992"/>
        <w:gridCol w:w="985"/>
        <w:gridCol w:w="1447"/>
      </w:tblGrid>
      <w:tr w:rsidR="00532EBB" w:rsidRPr="00532EBB" w14:paraId="582A821E" w14:textId="77777777" w:rsidTr="008E24E1">
        <w:tc>
          <w:tcPr>
            <w:tcW w:w="1555" w:type="dxa"/>
            <w:shd w:val="clear" w:color="auto" w:fill="D9D9D9" w:themeFill="background1" w:themeFillShade="D9"/>
            <w:vAlign w:val="center"/>
          </w:tcPr>
          <w:p w14:paraId="4517925E"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Peptide</w:t>
            </w:r>
            <w:r>
              <w:rPr>
                <w:rFonts w:ascii="Times New Roman" w:hAnsi="Times New Roman" w:cs="Times New Roman"/>
                <w:b/>
                <w:color w:val="000000" w:themeColor="text1"/>
                <w:spacing w:val="-10"/>
                <w:szCs w:val="18"/>
              </w:rPr>
              <w:br/>
              <w:t>Construct</w:t>
            </w:r>
          </w:p>
        </w:tc>
        <w:tc>
          <w:tcPr>
            <w:tcW w:w="1208" w:type="dxa"/>
            <w:shd w:val="clear" w:color="auto" w:fill="D9D9D9" w:themeFill="background1" w:themeFillShade="D9"/>
            <w:vAlign w:val="center"/>
          </w:tcPr>
          <w:p w14:paraId="34570C6C"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Modifications</w:t>
            </w:r>
            <w:r>
              <w:rPr>
                <w:rFonts w:ascii="Times New Roman" w:hAnsi="Times New Roman" w:cs="Times New Roman"/>
                <w:b/>
                <w:color w:val="000000" w:themeColor="text1"/>
                <w:spacing w:val="-10"/>
                <w:szCs w:val="18"/>
              </w:rPr>
              <w:br/>
              <w:t>(N / C-term)</w:t>
            </w:r>
          </w:p>
        </w:tc>
        <w:tc>
          <w:tcPr>
            <w:tcW w:w="2448" w:type="dxa"/>
            <w:shd w:val="clear" w:color="auto" w:fill="D9D9D9" w:themeFill="background1" w:themeFillShade="D9"/>
            <w:vAlign w:val="center"/>
          </w:tcPr>
          <w:p w14:paraId="0A8450C5"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Amino Acid Sequence</w:t>
            </w:r>
            <w:r>
              <w:rPr>
                <w:rFonts w:ascii="Times New Roman" w:hAnsi="Times New Roman" w:cs="Times New Roman"/>
                <w:b/>
                <w:color w:val="000000" w:themeColor="text1"/>
                <w:spacing w:val="-10"/>
                <w:szCs w:val="18"/>
              </w:rPr>
              <w:br/>
              <w:t>(PIP – Spacer – CPP)</w:t>
            </w:r>
          </w:p>
        </w:tc>
        <w:tc>
          <w:tcPr>
            <w:tcW w:w="1322" w:type="dxa"/>
            <w:shd w:val="clear" w:color="auto" w:fill="D9D9D9" w:themeFill="background1" w:themeFillShade="D9"/>
            <w:vAlign w:val="center"/>
          </w:tcPr>
          <w:p w14:paraId="111B5EA0"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Synthesis Method</w:t>
            </w:r>
            <w:r>
              <w:rPr>
                <w:rFonts w:ascii="Times New Roman" w:hAnsi="Times New Roman" w:cs="Times New Roman"/>
                <w:b/>
                <w:color w:val="000000" w:themeColor="text1"/>
                <w:spacing w:val="-10"/>
                <w:szCs w:val="18"/>
              </w:rPr>
              <w:br/>
              <w:t>&amp; Manufacturer</w:t>
            </w:r>
          </w:p>
        </w:tc>
        <w:tc>
          <w:tcPr>
            <w:tcW w:w="1030" w:type="dxa"/>
            <w:shd w:val="clear" w:color="auto" w:fill="D9D9D9" w:themeFill="background1" w:themeFillShade="D9"/>
            <w:vAlign w:val="center"/>
          </w:tcPr>
          <w:p w14:paraId="6209D76C"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Lot / Batch</w:t>
            </w:r>
            <w:r>
              <w:rPr>
                <w:rFonts w:ascii="Times New Roman" w:hAnsi="Times New Roman" w:cs="Times New Roman"/>
                <w:b/>
                <w:color w:val="000000" w:themeColor="text1"/>
                <w:spacing w:val="-10"/>
                <w:szCs w:val="18"/>
              </w:rPr>
              <w:br/>
              <w:t>&amp; Counter-ion</w:t>
            </w:r>
          </w:p>
        </w:tc>
        <w:tc>
          <w:tcPr>
            <w:tcW w:w="889" w:type="dxa"/>
            <w:shd w:val="clear" w:color="auto" w:fill="D9D9D9" w:themeFill="background1" w:themeFillShade="D9"/>
            <w:vAlign w:val="center"/>
          </w:tcPr>
          <w:p w14:paraId="2E9A2606"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Purity (%)</w:t>
            </w:r>
            <w:r>
              <w:rPr>
                <w:rFonts w:ascii="Times New Roman" w:hAnsi="Times New Roman" w:cs="Times New Roman"/>
                <w:b/>
                <w:color w:val="000000" w:themeColor="text1"/>
                <w:spacing w:val="-10"/>
                <w:szCs w:val="18"/>
              </w:rPr>
              <w:br/>
              <w:t>&amp; Method</w:t>
            </w:r>
          </w:p>
        </w:tc>
        <w:tc>
          <w:tcPr>
            <w:tcW w:w="920" w:type="dxa"/>
            <w:shd w:val="clear" w:color="auto" w:fill="D9D9D9" w:themeFill="background1" w:themeFillShade="D9"/>
            <w:vAlign w:val="center"/>
          </w:tcPr>
          <w:p w14:paraId="6AB17B36"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Observed</w:t>
            </w:r>
            <w:r>
              <w:rPr>
                <w:rFonts w:ascii="Times New Roman" w:hAnsi="Times New Roman" w:cs="Times New Roman"/>
                <w:b/>
                <w:color w:val="000000" w:themeColor="text1"/>
                <w:spacing w:val="-10"/>
                <w:szCs w:val="18"/>
              </w:rPr>
              <w:br/>
              <w:t>M.W. (Da)</w:t>
            </w:r>
          </w:p>
        </w:tc>
        <w:tc>
          <w:tcPr>
            <w:tcW w:w="1185" w:type="dxa"/>
            <w:shd w:val="clear" w:color="auto" w:fill="D9D9D9" w:themeFill="background1" w:themeFillShade="D9"/>
            <w:vAlign w:val="center"/>
          </w:tcPr>
          <w:p w14:paraId="35D0A7F3"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Stock Vehicle</w:t>
            </w:r>
            <w:r>
              <w:rPr>
                <w:rFonts w:ascii="Times New Roman" w:hAnsi="Times New Roman" w:cs="Times New Roman"/>
                <w:b/>
                <w:color w:val="000000" w:themeColor="text1"/>
                <w:spacing w:val="-10"/>
                <w:szCs w:val="18"/>
              </w:rPr>
              <w:br/>
              <w:t>(Formulation)</w:t>
            </w:r>
          </w:p>
        </w:tc>
        <w:tc>
          <w:tcPr>
            <w:tcW w:w="1001" w:type="dxa"/>
            <w:shd w:val="clear" w:color="auto" w:fill="D9D9D9" w:themeFill="background1" w:themeFillShade="D9"/>
            <w:vAlign w:val="center"/>
          </w:tcPr>
          <w:p w14:paraId="20C7ED3F"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Stock Conc.</w:t>
            </w:r>
            <w:r>
              <w:rPr>
                <w:rFonts w:ascii="Times New Roman" w:hAnsi="Times New Roman" w:cs="Times New Roman"/>
                <w:b/>
                <w:color w:val="000000" w:themeColor="text1"/>
                <w:spacing w:val="-10"/>
                <w:szCs w:val="18"/>
              </w:rPr>
              <w:br/>
              <w:t>(mg/mL / µM)</w:t>
            </w:r>
          </w:p>
        </w:tc>
        <w:tc>
          <w:tcPr>
            <w:tcW w:w="995" w:type="dxa"/>
            <w:shd w:val="clear" w:color="auto" w:fill="D9D9D9" w:themeFill="background1" w:themeFillShade="D9"/>
            <w:vAlign w:val="center"/>
          </w:tcPr>
          <w:p w14:paraId="30E546CE"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Storage &amp;</w:t>
            </w:r>
            <w:r>
              <w:rPr>
                <w:rFonts w:ascii="Times New Roman" w:hAnsi="Times New Roman" w:cs="Times New Roman"/>
                <w:b/>
                <w:color w:val="000000" w:themeColor="text1"/>
                <w:spacing w:val="-10"/>
                <w:szCs w:val="18"/>
              </w:rPr>
              <w:br/>
              <w:t>Freeze-Thaw</w:t>
            </w:r>
          </w:p>
        </w:tc>
        <w:tc>
          <w:tcPr>
            <w:tcW w:w="1464" w:type="dxa"/>
            <w:shd w:val="clear" w:color="auto" w:fill="D9D9D9" w:themeFill="background1" w:themeFillShade="D9"/>
            <w:vAlign w:val="center"/>
          </w:tcPr>
          <w:p w14:paraId="66DA1A29" w14:textId="77777777" w:rsidR="00907672" w:rsidRPr="00532EBB" w:rsidRDefault="00907672" w:rsidP="008E24E1">
            <w:pPr>
              <w:spacing w:after="0" w:line="252" w:lineRule="auto"/>
              <w:jc w:val="center"/>
              <w:rPr>
                <w:rFonts w:ascii="Times New Roman" w:hAnsi="Times New Roman" w:cs="Times New Roman"/>
                <w:color w:val="000000" w:themeColor="text1"/>
                <w:spacing w:val="-10"/>
                <w:szCs w:val="18"/>
              </w:rPr>
            </w:pPr>
            <w:r>
              <w:rPr>
                <w:rFonts w:ascii="Times New Roman" w:hAnsi="Times New Roman" w:cs="Times New Roman"/>
                <w:b/>
                <w:color w:val="000000" w:themeColor="text1"/>
                <w:spacing w:val="-10"/>
                <w:szCs w:val="18"/>
              </w:rPr>
              <w:t>Solubility &amp;</w:t>
            </w:r>
            <w:r>
              <w:rPr>
                <w:rFonts w:ascii="Times New Roman" w:hAnsi="Times New Roman" w:cs="Times New Roman"/>
                <w:b/>
                <w:color w:val="000000" w:themeColor="text1"/>
                <w:spacing w:val="-10"/>
                <w:szCs w:val="18"/>
              </w:rPr>
              <w:br/>
              <w:t>Stability Profile</w:t>
            </w:r>
          </w:p>
        </w:tc>
      </w:tr>
      <w:tr w:rsidR="008E24E1" w:rsidRPr="00532EBB" w14:paraId="1C75D31F" w14:textId="77777777" w:rsidTr="008E24E1">
        <w:tc>
          <w:tcPr>
            <w:tcW w:w="14017" w:type="dxa"/>
            <w:gridSpan w:val="11"/>
            <w:shd w:val="clear" w:color="auto" w:fill="F2F2F2" w:themeFill="background1" w:themeFillShade="F2"/>
            <w:vAlign w:val="center"/>
          </w:tcPr>
          <w:p w14:paraId="71CE8FF6" w14:textId="77777777" w:rsidR="00907672" w:rsidRPr="00532EBB" w:rsidRDefault="00907672" w:rsidP="008E24E1">
            <w:pPr>
              <w:spacing w:after="0"/>
              <w:jc w:val="both"/>
              <w:rPr>
                <w:rFonts w:ascii="Times New Roman" w:hAnsi="Times New Roman" w:cs="Times New Roman"/>
                <w:color w:val="000000" w:themeColor="text1"/>
                <w:szCs w:val="18"/>
              </w:rPr>
            </w:pPr>
            <w:r>
              <w:rPr>
                <w:rFonts w:ascii="Times New Roman" w:hAnsi="Times New Roman" w:cs="Times New Roman"/>
                <w:b/>
                <w:color w:val="000000" w:themeColor="text1"/>
                <w:szCs w:val="18"/>
              </w:rPr>
              <w:t>PART A. Lead Optimization Scaffolds, Chemical Modifications, and Control Constructs (In Vivo &amp; In Vitro Efficacy Cohorts)</w:t>
            </w:r>
          </w:p>
        </w:tc>
      </w:tr>
      <w:tr w:rsidR="008E24E1" w:rsidRPr="00532EBB" w14:paraId="30E8F75B" w14:textId="77777777" w:rsidTr="008E24E1">
        <w:tc>
          <w:tcPr>
            <w:tcW w:w="1555" w:type="dxa"/>
            <w:vAlign w:val="center"/>
          </w:tcPr>
          <w:p w14:paraId="6F30FE6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PIP4-1 (Lead)</w:t>
            </w:r>
          </w:p>
        </w:tc>
        <w:tc>
          <w:tcPr>
            <w:tcW w:w="1208" w:type="dxa"/>
            <w:vAlign w:val="center"/>
          </w:tcPr>
          <w:p w14:paraId="459C09A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Acetyl</w:t>
            </w:r>
            <w:r>
              <w:rPr>
                <w:rFonts w:ascii="Times New Roman" w:hAnsi="Times New Roman" w:cs="Times New Roman"/>
                <w:color w:val="000000" w:themeColor="text1"/>
                <w:szCs w:val="18"/>
              </w:rPr>
              <w:br/>
              <w:t>C: Amide</w:t>
            </w:r>
          </w:p>
        </w:tc>
        <w:tc>
          <w:tcPr>
            <w:tcW w:w="2448" w:type="dxa"/>
            <w:vAlign w:val="center"/>
          </w:tcPr>
          <w:p w14:paraId="0E2B6F3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YRLNVDGVEIY GG CKSKRRRRRRSKRKD</w:t>
            </w:r>
          </w:p>
        </w:tc>
        <w:tc>
          <w:tcPr>
            <w:tcW w:w="1322" w:type="dxa"/>
            <w:vAlign w:val="center"/>
          </w:tcPr>
          <w:p w14:paraId="33573EA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w:t>
            </w:r>
            <w:r>
              <w:rPr>
                <w:rFonts w:ascii="Times New Roman" w:hAnsi="Times New Roman" w:cs="Times New Roman"/>
                <w:color w:val="000000" w:themeColor="text1"/>
                <w:szCs w:val="18"/>
              </w:rPr>
              <w:br/>
              <w:t>(Peptron/GL)</w:t>
            </w:r>
          </w:p>
        </w:tc>
        <w:tc>
          <w:tcPr>
            <w:tcW w:w="1030" w:type="dxa"/>
            <w:vAlign w:val="center"/>
          </w:tcPr>
          <w:p w14:paraId="350AFE5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#P41-2025B</w:t>
            </w:r>
            <w:r>
              <w:rPr>
                <w:rFonts w:ascii="Times New Roman" w:hAnsi="Times New Roman" w:cs="Times New Roman"/>
                <w:color w:val="000000" w:themeColor="text1"/>
                <w:szCs w:val="18"/>
              </w:rPr>
              <w:br/>
              <w:t>TFA salt</w:t>
            </w:r>
          </w:p>
        </w:tc>
        <w:tc>
          <w:tcPr>
            <w:tcW w:w="889" w:type="dxa"/>
            <w:vAlign w:val="center"/>
          </w:tcPr>
          <w:p w14:paraId="01CCCEA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95.84%</w:t>
            </w:r>
            <w:r>
              <w:rPr>
                <w:rFonts w:ascii="Times New Roman" w:hAnsi="Times New Roman" w:cs="Times New Roman"/>
                <w:color w:val="000000" w:themeColor="text1"/>
                <w:szCs w:val="18"/>
              </w:rPr>
              <w:br/>
              <w:t>(RP-HPLC)</w:t>
            </w:r>
          </w:p>
        </w:tc>
        <w:tc>
          <w:tcPr>
            <w:tcW w:w="920" w:type="dxa"/>
            <w:vAlign w:val="center"/>
          </w:tcPr>
          <w:p w14:paraId="29210EE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3494.01</w:t>
            </w:r>
          </w:p>
        </w:tc>
        <w:tc>
          <w:tcPr>
            <w:tcW w:w="1185" w:type="dxa"/>
            <w:vAlign w:val="center"/>
          </w:tcPr>
          <w:p w14:paraId="7446524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48D000E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(572.6 µM)</w:t>
            </w:r>
          </w:p>
        </w:tc>
        <w:tc>
          <w:tcPr>
            <w:tcW w:w="995" w:type="dxa"/>
            <w:vAlign w:val="center"/>
          </w:tcPr>
          <w:p w14:paraId="6EC083B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F/T ≤ 2 cycles</w:t>
            </w:r>
          </w:p>
        </w:tc>
        <w:tc>
          <w:tcPr>
            <w:tcW w:w="1464" w:type="dxa"/>
            <w:vAlign w:val="center"/>
          </w:tcPr>
          <w:p w14:paraId="6A8950A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&gt;10 mg/mL in PBS;</w:t>
            </w:r>
            <w:r>
              <w:rPr>
                <w:rFonts w:ascii="Times New Roman" w:hAnsi="Times New Roman" w:cs="Times New Roman"/>
                <w:color w:val="000000" w:themeColor="text1"/>
                <w:szCs w:val="18"/>
              </w:rPr>
              <w:br/>
              <w:t>stable &gt;48 h at 37°C in NBE</w:t>
            </w:r>
          </w:p>
        </w:tc>
      </w:tr>
      <w:tr w:rsidR="008E24E1" w:rsidRPr="00532EBB" w14:paraId="77B2D006" w14:textId="77777777" w:rsidTr="008E24E1">
        <w:tc>
          <w:tcPr>
            <w:tcW w:w="1555" w:type="dxa"/>
            <w:vAlign w:val="center"/>
          </w:tcPr>
          <w:p w14:paraId="7466373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PIP8-1 (Lead)</w:t>
            </w:r>
          </w:p>
        </w:tc>
        <w:tc>
          <w:tcPr>
            <w:tcW w:w="1208" w:type="dxa"/>
            <w:vAlign w:val="center"/>
          </w:tcPr>
          <w:p w14:paraId="1061656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Acetyl</w:t>
            </w:r>
            <w:r>
              <w:rPr>
                <w:rFonts w:ascii="Times New Roman" w:hAnsi="Times New Roman" w:cs="Times New Roman"/>
                <w:color w:val="000000" w:themeColor="text1"/>
                <w:szCs w:val="18"/>
              </w:rPr>
              <w:br/>
              <w:t>C: Amide</w:t>
            </w:r>
          </w:p>
        </w:tc>
        <w:tc>
          <w:tcPr>
            <w:tcW w:w="2448" w:type="dxa"/>
            <w:vAlign w:val="center"/>
          </w:tcPr>
          <w:p w14:paraId="037B858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HVQIPVMLMPDDF GG CKSKRRRRRRSKRKD</w:t>
            </w:r>
          </w:p>
        </w:tc>
        <w:tc>
          <w:tcPr>
            <w:tcW w:w="1322" w:type="dxa"/>
            <w:vAlign w:val="center"/>
          </w:tcPr>
          <w:p w14:paraId="34BE112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w:t>
            </w:r>
            <w:r>
              <w:rPr>
                <w:rFonts w:ascii="Times New Roman" w:hAnsi="Times New Roman" w:cs="Times New Roman"/>
                <w:color w:val="000000" w:themeColor="text1"/>
                <w:szCs w:val="18"/>
              </w:rPr>
              <w:br/>
              <w:t>(Peptron/GL)</w:t>
            </w:r>
          </w:p>
        </w:tc>
        <w:tc>
          <w:tcPr>
            <w:tcW w:w="1030" w:type="dxa"/>
            <w:vAlign w:val="center"/>
          </w:tcPr>
          <w:p w14:paraId="7AA4530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#P81-2025B</w:t>
            </w:r>
            <w:r>
              <w:rPr>
                <w:rFonts w:ascii="Times New Roman" w:hAnsi="Times New Roman" w:cs="Times New Roman"/>
                <w:color w:val="000000" w:themeColor="text1"/>
                <w:szCs w:val="18"/>
              </w:rPr>
              <w:br/>
              <w:t>TFA salt</w:t>
            </w:r>
          </w:p>
        </w:tc>
        <w:tc>
          <w:tcPr>
            <w:tcW w:w="889" w:type="dxa"/>
            <w:vAlign w:val="center"/>
          </w:tcPr>
          <w:p w14:paraId="0D1292F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96.58%</w:t>
            </w:r>
            <w:r>
              <w:rPr>
                <w:rFonts w:ascii="Times New Roman" w:hAnsi="Times New Roman" w:cs="Times New Roman"/>
                <w:color w:val="000000" w:themeColor="text1"/>
                <w:szCs w:val="18"/>
              </w:rPr>
              <w:br/>
              <w:t>(RP-HPLC)</w:t>
            </w:r>
          </w:p>
        </w:tc>
        <w:tc>
          <w:tcPr>
            <w:tcW w:w="920" w:type="dxa"/>
            <w:vAlign w:val="center"/>
          </w:tcPr>
          <w:p w14:paraId="1C9D73D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3695.36</w:t>
            </w:r>
          </w:p>
        </w:tc>
        <w:tc>
          <w:tcPr>
            <w:tcW w:w="1185" w:type="dxa"/>
            <w:vAlign w:val="center"/>
          </w:tcPr>
          <w:p w14:paraId="5F71AB9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26D17BD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(541.3 µM)</w:t>
            </w:r>
          </w:p>
        </w:tc>
        <w:tc>
          <w:tcPr>
            <w:tcW w:w="995" w:type="dxa"/>
            <w:vAlign w:val="center"/>
          </w:tcPr>
          <w:p w14:paraId="4D884D0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F/T ≤ 2 cycles</w:t>
            </w:r>
          </w:p>
        </w:tc>
        <w:tc>
          <w:tcPr>
            <w:tcW w:w="1464" w:type="dxa"/>
            <w:vAlign w:val="center"/>
          </w:tcPr>
          <w:p w14:paraId="00FFFDA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&gt;8 mg/mL in PBS;</w:t>
            </w:r>
            <w:r>
              <w:rPr>
                <w:rFonts w:ascii="Times New Roman" w:hAnsi="Times New Roman" w:cs="Times New Roman"/>
                <w:color w:val="000000" w:themeColor="text1"/>
                <w:szCs w:val="18"/>
              </w:rPr>
              <w:br/>
              <w:t>stable &gt;48 h at 37°C in NBE</w:t>
            </w:r>
          </w:p>
        </w:tc>
      </w:tr>
      <w:tr w:rsidR="008E24E1" w:rsidRPr="00532EBB" w14:paraId="7A37C4D6" w14:textId="77777777" w:rsidTr="008E24E1">
        <w:tc>
          <w:tcPr>
            <w:tcW w:w="1555" w:type="dxa"/>
            <w:vAlign w:val="center"/>
          </w:tcPr>
          <w:p w14:paraId="21E366A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PIP4-1 cyclization 1</w:t>
            </w:r>
            <w:r>
              <w:rPr>
                <w:rFonts w:ascii="Times New Roman" w:hAnsi="Times New Roman" w:cs="Times New Roman"/>
                <w:b/>
                <w:color w:val="000000" w:themeColor="text1"/>
                <w:szCs w:val="18"/>
              </w:rPr>
              <w:br/>
              <w:t>(N-term to mid Cys)</w:t>
            </w:r>
          </w:p>
        </w:tc>
        <w:tc>
          <w:tcPr>
            <w:tcW w:w="1208" w:type="dxa"/>
            <w:vAlign w:val="center"/>
          </w:tcPr>
          <w:p w14:paraId="2BE5C60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Cyclic (disulfide)</w:t>
            </w:r>
            <w:r>
              <w:rPr>
                <w:rFonts w:ascii="Times New Roman" w:hAnsi="Times New Roman" w:cs="Times New Roman"/>
                <w:color w:val="000000" w:themeColor="text1"/>
                <w:szCs w:val="18"/>
              </w:rPr>
              <w:br/>
              <w:t>C: Amide</w:t>
            </w:r>
          </w:p>
        </w:tc>
        <w:tc>
          <w:tcPr>
            <w:tcW w:w="2448" w:type="dxa"/>
            <w:vAlign w:val="center"/>
          </w:tcPr>
          <w:p w14:paraId="28EB88B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C YRLNVDGVEIY C GG YKSKRRRRRRSKRKD</w:t>
            </w:r>
          </w:p>
        </w:tc>
        <w:tc>
          <w:tcPr>
            <w:tcW w:w="1322" w:type="dxa"/>
            <w:vAlign w:val="center"/>
          </w:tcPr>
          <w:p w14:paraId="6EE96DF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 Air-ox.</w:t>
            </w:r>
            <w:r>
              <w:rPr>
                <w:rFonts w:ascii="Times New Roman" w:hAnsi="Times New Roman" w:cs="Times New Roman"/>
                <w:color w:val="000000" w:themeColor="text1"/>
                <w:szCs w:val="18"/>
              </w:rPr>
              <w:br/>
              <w:t>(Peptron/GL)</w:t>
            </w:r>
          </w:p>
        </w:tc>
        <w:tc>
          <w:tcPr>
            <w:tcW w:w="1030" w:type="dxa"/>
            <w:vAlign w:val="center"/>
          </w:tcPr>
          <w:p w14:paraId="0C2D46A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#P41C1-25</w:t>
            </w:r>
            <w:r>
              <w:rPr>
                <w:rFonts w:ascii="Times New Roman" w:hAnsi="Times New Roman" w:cs="Times New Roman"/>
                <w:color w:val="000000" w:themeColor="text1"/>
                <w:szCs w:val="18"/>
              </w:rPr>
              <w:br/>
              <w:t>TFA salt</w:t>
            </w:r>
          </w:p>
        </w:tc>
        <w:tc>
          <w:tcPr>
            <w:tcW w:w="889" w:type="dxa"/>
            <w:vAlign w:val="center"/>
          </w:tcPr>
          <w:p w14:paraId="3FFC099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96.07%</w:t>
            </w:r>
            <w:r>
              <w:rPr>
                <w:rFonts w:ascii="Times New Roman" w:hAnsi="Times New Roman" w:cs="Times New Roman"/>
                <w:color w:val="000000" w:themeColor="text1"/>
                <w:szCs w:val="18"/>
              </w:rPr>
              <w:br/>
              <w:t>(RP-HPLC)</w:t>
            </w:r>
          </w:p>
        </w:tc>
        <w:tc>
          <w:tcPr>
            <w:tcW w:w="920" w:type="dxa"/>
            <w:vAlign w:val="center"/>
          </w:tcPr>
          <w:p w14:paraId="430819E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3716.29</w:t>
            </w:r>
          </w:p>
        </w:tc>
        <w:tc>
          <w:tcPr>
            <w:tcW w:w="1185" w:type="dxa"/>
            <w:vAlign w:val="center"/>
          </w:tcPr>
          <w:p w14:paraId="28D59F8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2656199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(538.2 µM)</w:t>
            </w:r>
          </w:p>
        </w:tc>
        <w:tc>
          <w:tcPr>
            <w:tcW w:w="995" w:type="dxa"/>
            <w:vAlign w:val="center"/>
          </w:tcPr>
          <w:p w14:paraId="5020B95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F/T ≤ 1 cycle</w:t>
            </w:r>
          </w:p>
        </w:tc>
        <w:tc>
          <w:tcPr>
            <w:tcW w:w="1464" w:type="dxa"/>
            <w:vAlign w:val="center"/>
          </w:tcPr>
          <w:p w14:paraId="1273A96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&gt;5 mg/mL; enhanced</w:t>
            </w:r>
            <w:r>
              <w:rPr>
                <w:rFonts w:ascii="Times New Roman" w:hAnsi="Times New Roman" w:cs="Times New Roman"/>
                <w:color w:val="000000" w:themeColor="text1"/>
                <w:szCs w:val="18"/>
              </w:rPr>
              <w:br/>
              <w:t>proteolytic stability (&gt;72 h)</w:t>
            </w:r>
          </w:p>
        </w:tc>
      </w:tr>
      <w:tr w:rsidR="008E24E1" w:rsidRPr="00532EBB" w14:paraId="33628AD2" w14:textId="77777777" w:rsidTr="008E24E1">
        <w:tc>
          <w:tcPr>
            <w:tcW w:w="1555" w:type="dxa"/>
            <w:vAlign w:val="center"/>
          </w:tcPr>
          <w:p w14:paraId="48874AD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PIP8-1 cyclization 1</w:t>
            </w:r>
            <w:r>
              <w:rPr>
                <w:rFonts w:ascii="Times New Roman" w:hAnsi="Times New Roman" w:cs="Times New Roman"/>
                <w:b/>
                <w:color w:val="000000" w:themeColor="text1"/>
                <w:szCs w:val="18"/>
              </w:rPr>
              <w:br/>
              <w:t>(N-term to mid Cys)</w:t>
            </w:r>
          </w:p>
        </w:tc>
        <w:tc>
          <w:tcPr>
            <w:tcW w:w="1208" w:type="dxa"/>
            <w:vAlign w:val="center"/>
          </w:tcPr>
          <w:p w14:paraId="094DFE2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Cyclic (disulfide)</w:t>
            </w:r>
            <w:r>
              <w:rPr>
                <w:rFonts w:ascii="Times New Roman" w:hAnsi="Times New Roman" w:cs="Times New Roman"/>
                <w:color w:val="000000" w:themeColor="text1"/>
                <w:szCs w:val="18"/>
              </w:rPr>
              <w:br/>
              <w:t>C: Amide</w:t>
            </w:r>
          </w:p>
        </w:tc>
        <w:tc>
          <w:tcPr>
            <w:tcW w:w="2448" w:type="dxa"/>
            <w:vAlign w:val="center"/>
          </w:tcPr>
          <w:p w14:paraId="101D04C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C HVQIPVMLMPDDF C GG YKSKRRRRRRSKRKD</w:t>
            </w:r>
          </w:p>
        </w:tc>
        <w:tc>
          <w:tcPr>
            <w:tcW w:w="1322" w:type="dxa"/>
            <w:vAlign w:val="center"/>
          </w:tcPr>
          <w:p w14:paraId="444D068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 Air-ox.</w:t>
            </w:r>
            <w:r>
              <w:rPr>
                <w:rFonts w:ascii="Times New Roman" w:hAnsi="Times New Roman" w:cs="Times New Roman"/>
                <w:color w:val="000000" w:themeColor="text1"/>
                <w:szCs w:val="18"/>
              </w:rPr>
              <w:br/>
              <w:t>(Peptron/GL)</w:t>
            </w:r>
          </w:p>
        </w:tc>
        <w:tc>
          <w:tcPr>
            <w:tcW w:w="1030" w:type="dxa"/>
            <w:vAlign w:val="center"/>
          </w:tcPr>
          <w:p w14:paraId="59FF764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#P81C1-25</w:t>
            </w:r>
            <w:r>
              <w:rPr>
                <w:rFonts w:ascii="Times New Roman" w:hAnsi="Times New Roman" w:cs="Times New Roman"/>
                <w:color w:val="000000" w:themeColor="text1"/>
                <w:szCs w:val="18"/>
              </w:rPr>
              <w:br/>
              <w:t>TFA salt</w:t>
            </w:r>
          </w:p>
        </w:tc>
        <w:tc>
          <w:tcPr>
            <w:tcW w:w="889" w:type="dxa"/>
            <w:vAlign w:val="center"/>
          </w:tcPr>
          <w:p w14:paraId="38686AF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95.21%</w:t>
            </w:r>
            <w:r>
              <w:rPr>
                <w:rFonts w:ascii="Times New Roman" w:hAnsi="Times New Roman" w:cs="Times New Roman"/>
                <w:color w:val="000000" w:themeColor="text1"/>
                <w:szCs w:val="18"/>
              </w:rPr>
              <w:br/>
              <w:t>(RP-HPLC)</w:t>
            </w:r>
          </w:p>
        </w:tc>
        <w:tc>
          <w:tcPr>
            <w:tcW w:w="920" w:type="dxa"/>
            <w:vAlign w:val="center"/>
          </w:tcPr>
          <w:p w14:paraId="18DC46E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3917.64</w:t>
            </w:r>
          </w:p>
        </w:tc>
        <w:tc>
          <w:tcPr>
            <w:tcW w:w="1185" w:type="dxa"/>
            <w:vAlign w:val="center"/>
          </w:tcPr>
          <w:p w14:paraId="5599804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7CDA4A7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(510.5 µM)</w:t>
            </w:r>
          </w:p>
        </w:tc>
        <w:tc>
          <w:tcPr>
            <w:tcW w:w="995" w:type="dxa"/>
            <w:vAlign w:val="center"/>
          </w:tcPr>
          <w:p w14:paraId="5D6816B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F/T ≤ 1 cycle</w:t>
            </w:r>
          </w:p>
        </w:tc>
        <w:tc>
          <w:tcPr>
            <w:tcW w:w="1464" w:type="dxa"/>
            <w:vAlign w:val="center"/>
          </w:tcPr>
          <w:p w14:paraId="7D3D4A9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&gt;5 mg/mL; enhanced</w:t>
            </w:r>
            <w:r>
              <w:rPr>
                <w:rFonts w:ascii="Times New Roman" w:hAnsi="Times New Roman" w:cs="Times New Roman"/>
                <w:color w:val="000000" w:themeColor="text1"/>
                <w:szCs w:val="18"/>
              </w:rPr>
              <w:br/>
              <w:t>proteolytic stability (&gt;72 h)</w:t>
            </w:r>
          </w:p>
        </w:tc>
      </w:tr>
      <w:tr w:rsidR="008E24E1" w:rsidRPr="00532EBB" w14:paraId="6A6CCFF0" w14:textId="77777777" w:rsidTr="008E24E1">
        <w:tc>
          <w:tcPr>
            <w:tcW w:w="1555" w:type="dxa"/>
            <w:vAlign w:val="center"/>
          </w:tcPr>
          <w:p w14:paraId="667474B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PIP4-1 cyclization 2</w:t>
            </w:r>
            <w:r>
              <w:rPr>
                <w:rFonts w:ascii="Times New Roman" w:hAnsi="Times New Roman" w:cs="Times New Roman"/>
                <w:b/>
                <w:color w:val="000000" w:themeColor="text1"/>
                <w:szCs w:val="18"/>
              </w:rPr>
              <w:br/>
              <w:t>(Terminal loop)</w:t>
            </w:r>
          </w:p>
        </w:tc>
        <w:tc>
          <w:tcPr>
            <w:tcW w:w="1208" w:type="dxa"/>
            <w:vAlign w:val="center"/>
          </w:tcPr>
          <w:p w14:paraId="1CAEE6A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Cyclic (end-to-end)</w:t>
            </w:r>
            <w:r>
              <w:rPr>
                <w:rFonts w:ascii="Times New Roman" w:hAnsi="Times New Roman" w:cs="Times New Roman"/>
                <w:color w:val="000000" w:themeColor="text1"/>
                <w:szCs w:val="18"/>
              </w:rPr>
              <w:br/>
              <w:t>Disulfide bridge</w:t>
            </w:r>
          </w:p>
        </w:tc>
        <w:tc>
          <w:tcPr>
            <w:tcW w:w="2448" w:type="dxa"/>
            <w:vAlign w:val="center"/>
          </w:tcPr>
          <w:p w14:paraId="7CD266E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C YRLNVDGVEIY GG YKSKRRRRRRSKRKD C</w:t>
            </w:r>
          </w:p>
        </w:tc>
        <w:tc>
          <w:tcPr>
            <w:tcW w:w="1322" w:type="dxa"/>
            <w:vAlign w:val="center"/>
          </w:tcPr>
          <w:p w14:paraId="2EC2C9D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 Air-ox.</w:t>
            </w:r>
            <w:r>
              <w:rPr>
                <w:rFonts w:ascii="Times New Roman" w:hAnsi="Times New Roman" w:cs="Times New Roman"/>
                <w:color w:val="000000" w:themeColor="text1"/>
                <w:szCs w:val="18"/>
              </w:rPr>
              <w:br/>
              <w:t>(Peptron/GL)</w:t>
            </w:r>
          </w:p>
        </w:tc>
        <w:tc>
          <w:tcPr>
            <w:tcW w:w="1030" w:type="dxa"/>
            <w:vAlign w:val="center"/>
          </w:tcPr>
          <w:p w14:paraId="01C71F9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#P41C2-25</w:t>
            </w:r>
            <w:r>
              <w:rPr>
                <w:rFonts w:ascii="Times New Roman" w:hAnsi="Times New Roman" w:cs="Times New Roman"/>
                <w:color w:val="000000" w:themeColor="text1"/>
                <w:szCs w:val="18"/>
              </w:rPr>
              <w:br/>
              <w:t>TFA salt</w:t>
            </w:r>
          </w:p>
        </w:tc>
        <w:tc>
          <w:tcPr>
            <w:tcW w:w="889" w:type="dxa"/>
            <w:vAlign w:val="center"/>
          </w:tcPr>
          <w:p w14:paraId="4F13CAC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96.42%</w:t>
            </w:r>
            <w:r>
              <w:rPr>
                <w:rFonts w:ascii="Times New Roman" w:hAnsi="Times New Roman" w:cs="Times New Roman"/>
                <w:color w:val="000000" w:themeColor="text1"/>
                <w:szCs w:val="18"/>
              </w:rPr>
              <w:br/>
              <w:t>(RP-HPLC)</w:t>
            </w:r>
          </w:p>
        </w:tc>
        <w:tc>
          <w:tcPr>
            <w:tcW w:w="920" w:type="dxa"/>
            <w:vAlign w:val="center"/>
          </w:tcPr>
          <w:p w14:paraId="455830B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3717.27</w:t>
            </w:r>
          </w:p>
        </w:tc>
        <w:tc>
          <w:tcPr>
            <w:tcW w:w="1185" w:type="dxa"/>
            <w:vAlign w:val="center"/>
          </w:tcPr>
          <w:p w14:paraId="6351618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44164BD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(538.0 µM)</w:t>
            </w:r>
          </w:p>
        </w:tc>
        <w:tc>
          <w:tcPr>
            <w:tcW w:w="995" w:type="dxa"/>
            <w:vAlign w:val="center"/>
          </w:tcPr>
          <w:p w14:paraId="2669010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F/T ≤ 1 cycle</w:t>
            </w:r>
          </w:p>
        </w:tc>
        <w:tc>
          <w:tcPr>
            <w:tcW w:w="1464" w:type="dxa"/>
            <w:vAlign w:val="center"/>
          </w:tcPr>
          <w:p w14:paraId="255935A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&gt;5 mg/mL in PBS;</w:t>
            </w:r>
            <w:r>
              <w:rPr>
                <w:rFonts w:ascii="Times New Roman" w:hAnsi="Times New Roman" w:cs="Times New Roman"/>
                <w:color w:val="000000" w:themeColor="text1"/>
                <w:szCs w:val="18"/>
              </w:rPr>
              <w:br/>
              <w:t>stable &gt;72 h at 37°C</w:t>
            </w:r>
          </w:p>
        </w:tc>
      </w:tr>
      <w:tr w:rsidR="008E24E1" w:rsidRPr="00532EBB" w14:paraId="254DCDE1" w14:textId="77777777" w:rsidTr="008E24E1">
        <w:tc>
          <w:tcPr>
            <w:tcW w:w="1555" w:type="dxa"/>
            <w:vAlign w:val="center"/>
          </w:tcPr>
          <w:p w14:paraId="6B721CD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PIP8-1 cyclization 2</w:t>
            </w:r>
            <w:r>
              <w:rPr>
                <w:rFonts w:ascii="Times New Roman" w:hAnsi="Times New Roman" w:cs="Times New Roman"/>
                <w:b/>
                <w:color w:val="000000" w:themeColor="text1"/>
                <w:szCs w:val="18"/>
              </w:rPr>
              <w:br/>
              <w:t>(Terminal loop)</w:t>
            </w:r>
          </w:p>
        </w:tc>
        <w:tc>
          <w:tcPr>
            <w:tcW w:w="1208" w:type="dxa"/>
            <w:vAlign w:val="center"/>
          </w:tcPr>
          <w:p w14:paraId="13C8C76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Cyclic (end-to-end)</w:t>
            </w:r>
            <w:r>
              <w:rPr>
                <w:rFonts w:ascii="Times New Roman" w:hAnsi="Times New Roman" w:cs="Times New Roman"/>
                <w:color w:val="000000" w:themeColor="text1"/>
                <w:szCs w:val="18"/>
              </w:rPr>
              <w:br/>
              <w:t>Disulfide bridge</w:t>
            </w:r>
          </w:p>
        </w:tc>
        <w:tc>
          <w:tcPr>
            <w:tcW w:w="2448" w:type="dxa"/>
            <w:vAlign w:val="center"/>
          </w:tcPr>
          <w:p w14:paraId="1896CB4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C HVQIPVMLMPDDF GG YKSKRRRRRRSKRKD C</w:t>
            </w:r>
          </w:p>
        </w:tc>
        <w:tc>
          <w:tcPr>
            <w:tcW w:w="1322" w:type="dxa"/>
            <w:vAlign w:val="center"/>
          </w:tcPr>
          <w:p w14:paraId="6C005AB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 Air-ox.</w:t>
            </w:r>
            <w:r>
              <w:rPr>
                <w:rFonts w:ascii="Times New Roman" w:hAnsi="Times New Roman" w:cs="Times New Roman"/>
                <w:color w:val="000000" w:themeColor="text1"/>
                <w:szCs w:val="18"/>
              </w:rPr>
              <w:br/>
              <w:t>(Peptron/GL)</w:t>
            </w:r>
          </w:p>
        </w:tc>
        <w:tc>
          <w:tcPr>
            <w:tcW w:w="1030" w:type="dxa"/>
            <w:vAlign w:val="center"/>
          </w:tcPr>
          <w:p w14:paraId="64A54A7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#P81C2-25</w:t>
            </w:r>
            <w:r>
              <w:rPr>
                <w:rFonts w:ascii="Times New Roman" w:hAnsi="Times New Roman" w:cs="Times New Roman"/>
                <w:color w:val="000000" w:themeColor="text1"/>
                <w:szCs w:val="18"/>
              </w:rPr>
              <w:br/>
              <w:t>TFA salt</w:t>
            </w:r>
          </w:p>
        </w:tc>
        <w:tc>
          <w:tcPr>
            <w:tcW w:w="889" w:type="dxa"/>
            <w:vAlign w:val="center"/>
          </w:tcPr>
          <w:p w14:paraId="3425A5C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95.23%</w:t>
            </w:r>
            <w:r>
              <w:rPr>
                <w:rFonts w:ascii="Times New Roman" w:hAnsi="Times New Roman" w:cs="Times New Roman"/>
                <w:color w:val="000000" w:themeColor="text1"/>
                <w:szCs w:val="18"/>
              </w:rPr>
              <w:br/>
              <w:t>(RP-HPLC)</w:t>
            </w:r>
          </w:p>
        </w:tc>
        <w:tc>
          <w:tcPr>
            <w:tcW w:w="920" w:type="dxa"/>
            <w:vAlign w:val="center"/>
          </w:tcPr>
          <w:p w14:paraId="2356474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3918.62</w:t>
            </w:r>
          </w:p>
        </w:tc>
        <w:tc>
          <w:tcPr>
            <w:tcW w:w="1185" w:type="dxa"/>
            <w:vAlign w:val="center"/>
          </w:tcPr>
          <w:p w14:paraId="3FF9ED5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7212644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(510.4 µM)</w:t>
            </w:r>
          </w:p>
        </w:tc>
        <w:tc>
          <w:tcPr>
            <w:tcW w:w="995" w:type="dxa"/>
            <w:vAlign w:val="center"/>
          </w:tcPr>
          <w:p w14:paraId="469D59B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F/T ≤ 1 cycle</w:t>
            </w:r>
          </w:p>
        </w:tc>
        <w:tc>
          <w:tcPr>
            <w:tcW w:w="1464" w:type="dxa"/>
            <w:vAlign w:val="center"/>
          </w:tcPr>
          <w:p w14:paraId="1D88D48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&gt;5 mg/mL in PBS;</w:t>
            </w:r>
            <w:r>
              <w:rPr>
                <w:rFonts w:ascii="Times New Roman" w:hAnsi="Times New Roman" w:cs="Times New Roman"/>
                <w:color w:val="000000" w:themeColor="text1"/>
                <w:szCs w:val="18"/>
              </w:rPr>
              <w:br/>
              <w:t>stable &gt;72 h at 37°C</w:t>
            </w:r>
          </w:p>
        </w:tc>
      </w:tr>
      <w:tr w:rsidR="008E24E1" w:rsidRPr="00532EBB" w14:paraId="0F4FDF09" w14:textId="77777777" w:rsidTr="008E24E1">
        <w:tc>
          <w:tcPr>
            <w:tcW w:w="1555" w:type="dxa"/>
            <w:vAlign w:val="center"/>
          </w:tcPr>
          <w:p w14:paraId="34E0093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PIP4-1 palmitoylated</w:t>
            </w:r>
          </w:p>
        </w:tc>
        <w:tc>
          <w:tcPr>
            <w:tcW w:w="1208" w:type="dxa"/>
            <w:vAlign w:val="center"/>
          </w:tcPr>
          <w:p w14:paraId="11CEE3C5" w14:textId="77777777" w:rsidR="00907672" w:rsidRPr="00CD2DC8" w:rsidRDefault="00907672" w:rsidP="00532EBB">
            <w:pPr>
              <w:snapToGrid w:val="0"/>
              <w:spacing w:after="0" w:line="222" w:lineRule="auto"/>
              <w:jc w:val="center"/>
              <w:rPr>
                <w:rFonts w:ascii="Times New Roman" w:hAnsi="Times New Roman" w:cs="Times New Roman"/>
                <w:color w:val="000000" w:themeColor="text1"/>
                <w:szCs w:val="18"/>
                <w:lang w:val="fr-CH"/>
              </w:rPr>
            </w:pPr>
            <w:r>
              <w:rPr>
                <w:rFonts w:ascii="Times New Roman" w:hAnsi="Times New Roman" w:cs="Times New Roman"/>
                <w:color w:val="000000" w:themeColor="text1"/>
                <w:szCs w:val="18"/>
                <w:lang w:val="fr-CH"/>
              </w:rPr>
              <w:t>N: Palmitoyl (C16)</w:t>
            </w:r>
            <w:r>
              <w:rPr>
                <w:rFonts w:ascii="Times New Roman" w:hAnsi="Times New Roman" w:cs="Times New Roman"/>
                <w:color w:val="000000" w:themeColor="text1"/>
                <w:szCs w:val="18"/>
                <w:lang w:val="fr-CH"/>
              </w:rPr>
              <w:br/>
              <w:t>C: Amide</w:t>
            </w:r>
          </w:p>
        </w:tc>
        <w:tc>
          <w:tcPr>
            <w:tcW w:w="2448" w:type="dxa"/>
            <w:vAlign w:val="center"/>
          </w:tcPr>
          <w:p w14:paraId="4904AD0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YRLNVDGVEIY GG CKSKRRRRRRSKRKD</w:t>
            </w:r>
          </w:p>
        </w:tc>
        <w:tc>
          <w:tcPr>
            <w:tcW w:w="1322" w:type="dxa"/>
            <w:vAlign w:val="center"/>
          </w:tcPr>
          <w:p w14:paraId="536F6CD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w:t>
            </w:r>
            <w:r>
              <w:rPr>
                <w:rFonts w:ascii="Times New Roman" w:hAnsi="Times New Roman" w:cs="Times New Roman"/>
                <w:color w:val="000000" w:themeColor="text1"/>
                <w:szCs w:val="18"/>
              </w:rPr>
              <w:br/>
              <w:t>(Peptron/GL)</w:t>
            </w:r>
          </w:p>
        </w:tc>
        <w:tc>
          <w:tcPr>
            <w:tcW w:w="1030" w:type="dxa"/>
            <w:vAlign w:val="center"/>
          </w:tcPr>
          <w:p w14:paraId="74AF58E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#P41Palm-25</w:t>
            </w:r>
            <w:r>
              <w:rPr>
                <w:rFonts w:ascii="Times New Roman" w:hAnsi="Times New Roman" w:cs="Times New Roman"/>
                <w:color w:val="000000" w:themeColor="text1"/>
                <w:szCs w:val="18"/>
              </w:rPr>
              <w:br/>
              <w:t>TFA salt</w:t>
            </w:r>
          </w:p>
        </w:tc>
        <w:tc>
          <w:tcPr>
            <w:tcW w:w="889" w:type="dxa"/>
            <w:vAlign w:val="center"/>
          </w:tcPr>
          <w:p w14:paraId="05F1BBB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97.45%</w:t>
            </w:r>
            <w:r>
              <w:rPr>
                <w:rFonts w:ascii="Times New Roman" w:hAnsi="Times New Roman" w:cs="Times New Roman"/>
                <w:color w:val="000000" w:themeColor="text1"/>
                <w:szCs w:val="18"/>
              </w:rPr>
              <w:br/>
              <w:t>(RP-HPLC)</w:t>
            </w:r>
          </w:p>
        </w:tc>
        <w:tc>
          <w:tcPr>
            <w:tcW w:w="920" w:type="dxa"/>
            <w:vAlign w:val="center"/>
          </w:tcPr>
          <w:p w14:paraId="25BACDE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3690.38</w:t>
            </w:r>
          </w:p>
        </w:tc>
        <w:tc>
          <w:tcPr>
            <w:tcW w:w="1185" w:type="dxa"/>
            <w:vAlign w:val="center"/>
          </w:tcPr>
          <w:p w14:paraId="0A7A8EE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(0.05% Tween-20)</w:t>
            </w:r>
          </w:p>
        </w:tc>
        <w:tc>
          <w:tcPr>
            <w:tcW w:w="1001" w:type="dxa"/>
            <w:vAlign w:val="center"/>
          </w:tcPr>
          <w:p w14:paraId="1ACA232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(541.9 µM)</w:t>
            </w:r>
          </w:p>
        </w:tc>
        <w:tc>
          <w:tcPr>
            <w:tcW w:w="995" w:type="dxa"/>
            <w:vAlign w:val="center"/>
          </w:tcPr>
          <w:p w14:paraId="57B2FE6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Avoid repeat F/T</w:t>
            </w:r>
          </w:p>
        </w:tc>
        <w:tc>
          <w:tcPr>
            <w:tcW w:w="1464" w:type="dxa"/>
            <w:vAlign w:val="center"/>
          </w:tcPr>
          <w:p w14:paraId="08D5DB6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Lipophilic; solubilized with</w:t>
            </w:r>
            <w:r>
              <w:rPr>
                <w:rFonts w:ascii="Times New Roman" w:hAnsi="Times New Roman" w:cs="Times New Roman"/>
                <w:color w:val="000000" w:themeColor="text1"/>
                <w:szCs w:val="18"/>
              </w:rPr>
              <w:br/>
              <w:t>trace surfactant; stable &gt;48 h</w:t>
            </w:r>
          </w:p>
        </w:tc>
      </w:tr>
      <w:tr w:rsidR="008E24E1" w:rsidRPr="00532EBB" w14:paraId="264FDD8C" w14:textId="77777777" w:rsidTr="008E24E1">
        <w:tc>
          <w:tcPr>
            <w:tcW w:w="1555" w:type="dxa"/>
            <w:vAlign w:val="center"/>
          </w:tcPr>
          <w:p w14:paraId="062C081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PIP8-1 palmitoylated</w:t>
            </w:r>
          </w:p>
        </w:tc>
        <w:tc>
          <w:tcPr>
            <w:tcW w:w="1208" w:type="dxa"/>
            <w:vAlign w:val="center"/>
          </w:tcPr>
          <w:p w14:paraId="623FB13F" w14:textId="77777777" w:rsidR="00907672" w:rsidRPr="00CD2DC8" w:rsidRDefault="00907672" w:rsidP="00532EBB">
            <w:pPr>
              <w:snapToGrid w:val="0"/>
              <w:spacing w:after="0" w:line="222" w:lineRule="auto"/>
              <w:jc w:val="center"/>
              <w:rPr>
                <w:rFonts w:ascii="Times New Roman" w:hAnsi="Times New Roman" w:cs="Times New Roman"/>
                <w:color w:val="000000" w:themeColor="text1"/>
                <w:szCs w:val="18"/>
                <w:lang w:val="fr-CH"/>
              </w:rPr>
            </w:pPr>
            <w:r>
              <w:rPr>
                <w:rFonts w:ascii="Times New Roman" w:hAnsi="Times New Roman" w:cs="Times New Roman"/>
                <w:color w:val="000000" w:themeColor="text1"/>
                <w:szCs w:val="18"/>
                <w:lang w:val="fr-CH"/>
              </w:rPr>
              <w:t>N: Palmitoyl (C16)</w:t>
            </w:r>
            <w:r>
              <w:rPr>
                <w:rFonts w:ascii="Times New Roman" w:hAnsi="Times New Roman" w:cs="Times New Roman"/>
                <w:color w:val="000000" w:themeColor="text1"/>
                <w:szCs w:val="18"/>
                <w:lang w:val="fr-CH"/>
              </w:rPr>
              <w:br/>
              <w:t>C: Amide</w:t>
            </w:r>
          </w:p>
        </w:tc>
        <w:tc>
          <w:tcPr>
            <w:tcW w:w="2448" w:type="dxa"/>
            <w:vAlign w:val="center"/>
          </w:tcPr>
          <w:p w14:paraId="407FBBFE" w14:textId="77777777" w:rsidR="00907672" w:rsidRPr="00BB2D36" w:rsidRDefault="00907672" w:rsidP="00532EBB">
            <w:pPr>
              <w:snapToGrid w:val="0"/>
              <w:spacing w:after="0" w:line="222" w:lineRule="auto"/>
              <w:jc w:val="center"/>
              <w:rPr>
                <w:rFonts w:ascii="Times New Roman" w:hAnsi="Times New Roman" w:cs="Times New Roman"/>
                <w:color w:val="000000" w:themeColor="text1"/>
                <w:szCs w:val="18"/>
                <w:lang w:val="fr-CH"/>
              </w:rPr>
            </w:pPr>
            <w:r w:rsidRPr="00BB2D36">
              <w:rPr>
                <w:rFonts w:ascii="Times New Roman" w:hAnsi="Times New Roman" w:cs="Times New Roman"/>
                <w:color w:val="000000" w:themeColor="text1"/>
                <w:szCs w:val="18"/>
                <w:lang w:val="fr-CH"/>
              </w:rPr>
              <w:t>HVQIPVMLMPDDF GG CKSKRRRRRRSKRKD</w:t>
            </w:r>
          </w:p>
        </w:tc>
        <w:tc>
          <w:tcPr>
            <w:tcW w:w="1322" w:type="dxa"/>
            <w:vAlign w:val="center"/>
          </w:tcPr>
          <w:p w14:paraId="7F5BCDA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w:t>
            </w:r>
            <w:r>
              <w:rPr>
                <w:rFonts w:ascii="Times New Roman" w:hAnsi="Times New Roman" w:cs="Times New Roman"/>
                <w:color w:val="000000" w:themeColor="text1"/>
                <w:szCs w:val="18"/>
              </w:rPr>
              <w:br/>
              <w:t>(Peptron/GL)</w:t>
            </w:r>
          </w:p>
        </w:tc>
        <w:tc>
          <w:tcPr>
            <w:tcW w:w="1030" w:type="dxa"/>
            <w:vAlign w:val="center"/>
          </w:tcPr>
          <w:p w14:paraId="7FED32F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#P81Palm-25</w:t>
            </w:r>
            <w:r>
              <w:rPr>
                <w:rFonts w:ascii="Times New Roman" w:hAnsi="Times New Roman" w:cs="Times New Roman"/>
                <w:color w:val="000000" w:themeColor="text1"/>
                <w:szCs w:val="18"/>
              </w:rPr>
              <w:br/>
              <w:t>TFA salt</w:t>
            </w:r>
          </w:p>
        </w:tc>
        <w:tc>
          <w:tcPr>
            <w:tcW w:w="889" w:type="dxa"/>
            <w:vAlign w:val="center"/>
          </w:tcPr>
          <w:p w14:paraId="49CA247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97.01%</w:t>
            </w:r>
            <w:r>
              <w:rPr>
                <w:rFonts w:ascii="Times New Roman" w:hAnsi="Times New Roman" w:cs="Times New Roman"/>
                <w:color w:val="000000" w:themeColor="text1"/>
                <w:szCs w:val="18"/>
              </w:rPr>
              <w:br/>
              <w:t>(RP-HPLC)</w:t>
            </w:r>
          </w:p>
        </w:tc>
        <w:tc>
          <w:tcPr>
            <w:tcW w:w="920" w:type="dxa"/>
            <w:vAlign w:val="center"/>
          </w:tcPr>
          <w:p w14:paraId="6AE5121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3891.73</w:t>
            </w:r>
          </w:p>
        </w:tc>
        <w:tc>
          <w:tcPr>
            <w:tcW w:w="1185" w:type="dxa"/>
            <w:vAlign w:val="center"/>
          </w:tcPr>
          <w:p w14:paraId="70F3CCA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(0.05% Tween-20)</w:t>
            </w:r>
          </w:p>
        </w:tc>
        <w:tc>
          <w:tcPr>
            <w:tcW w:w="1001" w:type="dxa"/>
            <w:vAlign w:val="center"/>
          </w:tcPr>
          <w:p w14:paraId="53FFFE4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(513.9 µM)</w:t>
            </w:r>
          </w:p>
        </w:tc>
        <w:tc>
          <w:tcPr>
            <w:tcW w:w="995" w:type="dxa"/>
            <w:vAlign w:val="center"/>
          </w:tcPr>
          <w:p w14:paraId="1ECA1C1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Avoid repeat F/T</w:t>
            </w:r>
          </w:p>
        </w:tc>
        <w:tc>
          <w:tcPr>
            <w:tcW w:w="1464" w:type="dxa"/>
            <w:vAlign w:val="center"/>
          </w:tcPr>
          <w:p w14:paraId="4AA490B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Lipophilic; solubilized with</w:t>
            </w:r>
            <w:r>
              <w:rPr>
                <w:rFonts w:ascii="Times New Roman" w:hAnsi="Times New Roman" w:cs="Times New Roman"/>
                <w:color w:val="000000" w:themeColor="text1"/>
                <w:szCs w:val="18"/>
              </w:rPr>
              <w:br/>
              <w:t>trace surfactant; stable &gt;48 h</w:t>
            </w:r>
          </w:p>
        </w:tc>
      </w:tr>
      <w:tr w:rsidR="008E24E1" w:rsidRPr="00532EBB" w14:paraId="12F9E9B3" w14:textId="77777777" w:rsidTr="008E24E1">
        <w:tc>
          <w:tcPr>
            <w:tcW w:w="1555" w:type="dxa"/>
            <w:vAlign w:val="center"/>
          </w:tcPr>
          <w:p w14:paraId="60F3186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PIP4-1 truncated</w:t>
            </w:r>
            <w:r>
              <w:rPr>
                <w:rFonts w:ascii="Times New Roman" w:hAnsi="Times New Roman" w:cs="Times New Roman"/>
                <w:b/>
                <w:color w:val="000000" w:themeColor="text1"/>
                <w:szCs w:val="18"/>
              </w:rPr>
              <w:br/>
              <w:t>(Shortened form)</w:t>
            </w:r>
          </w:p>
        </w:tc>
        <w:tc>
          <w:tcPr>
            <w:tcW w:w="1208" w:type="dxa"/>
            <w:vAlign w:val="center"/>
          </w:tcPr>
          <w:p w14:paraId="68FB16E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Acetyl</w:t>
            </w:r>
            <w:r>
              <w:rPr>
                <w:rFonts w:ascii="Times New Roman" w:hAnsi="Times New Roman" w:cs="Times New Roman"/>
                <w:color w:val="000000" w:themeColor="text1"/>
                <w:szCs w:val="18"/>
              </w:rPr>
              <w:br/>
              <w:t>C: Amide</w:t>
            </w:r>
          </w:p>
        </w:tc>
        <w:tc>
          <w:tcPr>
            <w:tcW w:w="2448" w:type="dxa"/>
            <w:vAlign w:val="center"/>
          </w:tcPr>
          <w:p w14:paraId="03A9A72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RLNVDGVEIY GG YKSKRRRRRRSKRKD</w:t>
            </w:r>
          </w:p>
        </w:tc>
        <w:tc>
          <w:tcPr>
            <w:tcW w:w="1322" w:type="dxa"/>
            <w:vAlign w:val="center"/>
          </w:tcPr>
          <w:p w14:paraId="1E7F69B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w:t>
            </w:r>
            <w:r>
              <w:rPr>
                <w:rFonts w:ascii="Times New Roman" w:hAnsi="Times New Roman" w:cs="Times New Roman"/>
                <w:color w:val="000000" w:themeColor="text1"/>
                <w:szCs w:val="18"/>
              </w:rPr>
              <w:br/>
              <w:t>(Peptron/GL)</w:t>
            </w:r>
          </w:p>
        </w:tc>
        <w:tc>
          <w:tcPr>
            <w:tcW w:w="1030" w:type="dxa"/>
            <w:vAlign w:val="center"/>
          </w:tcPr>
          <w:p w14:paraId="1906D7A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#P41Sh-25</w:t>
            </w:r>
            <w:r>
              <w:rPr>
                <w:rFonts w:ascii="Times New Roman" w:hAnsi="Times New Roman" w:cs="Times New Roman"/>
                <w:color w:val="000000" w:themeColor="text1"/>
                <w:szCs w:val="18"/>
              </w:rPr>
              <w:br/>
              <w:t>TFA salt</w:t>
            </w:r>
          </w:p>
        </w:tc>
        <w:tc>
          <w:tcPr>
            <w:tcW w:w="889" w:type="dxa"/>
            <w:vAlign w:val="center"/>
          </w:tcPr>
          <w:p w14:paraId="368B595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97.05%</w:t>
            </w:r>
            <w:r>
              <w:rPr>
                <w:rFonts w:ascii="Times New Roman" w:hAnsi="Times New Roman" w:cs="Times New Roman"/>
                <w:color w:val="000000" w:themeColor="text1"/>
                <w:szCs w:val="18"/>
              </w:rPr>
              <w:br/>
              <w:t>(RP-HPLC)</w:t>
            </w:r>
          </w:p>
        </w:tc>
        <w:tc>
          <w:tcPr>
            <w:tcW w:w="920" w:type="dxa"/>
            <w:vAlign w:val="center"/>
          </w:tcPr>
          <w:p w14:paraId="1AF013C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3390.87</w:t>
            </w:r>
          </w:p>
        </w:tc>
        <w:tc>
          <w:tcPr>
            <w:tcW w:w="1185" w:type="dxa"/>
            <w:vAlign w:val="center"/>
          </w:tcPr>
          <w:p w14:paraId="0732E48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4676BE5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(589.8 µM)</w:t>
            </w:r>
          </w:p>
        </w:tc>
        <w:tc>
          <w:tcPr>
            <w:tcW w:w="995" w:type="dxa"/>
            <w:vAlign w:val="center"/>
          </w:tcPr>
          <w:p w14:paraId="5471675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F/T ≤ 2 cycles</w:t>
            </w:r>
          </w:p>
        </w:tc>
        <w:tc>
          <w:tcPr>
            <w:tcW w:w="1464" w:type="dxa"/>
            <w:vAlign w:val="center"/>
          </w:tcPr>
          <w:p w14:paraId="1D95B2D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Highly soluble (&gt;15 mg/mL);</w:t>
            </w:r>
            <w:r>
              <w:rPr>
                <w:rFonts w:ascii="Times New Roman" w:hAnsi="Times New Roman" w:cs="Times New Roman"/>
                <w:color w:val="000000" w:themeColor="text1"/>
                <w:szCs w:val="18"/>
              </w:rPr>
              <w:br/>
              <w:t>stable in PBS</w:t>
            </w:r>
          </w:p>
        </w:tc>
      </w:tr>
      <w:tr w:rsidR="008E24E1" w:rsidRPr="00532EBB" w14:paraId="2B0EFC0D" w14:textId="77777777" w:rsidTr="008E24E1">
        <w:tc>
          <w:tcPr>
            <w:tcW w:w="1555" w:type="dxa"/>
            <w:vAlign w:val="center"/>
          </w:tcPr>
          <w:p w14:paraId="18872F7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PIP8-1 truncated</w:t>
            </w:r>
            <w:r>
              <w:rPr>
                <w:rFonts w:ascii="Times New Roman" w:hAnsi="Times New Roman" w:cs="Times New Roman"/>
                <w:b/>
                <w:color w:val="000000" w:themeColor="text1"/>
                <w:szCs w:val="18"/>
              </w:rPr>
              <w:br/>
              <w:t>(Shortened form)</w:t>
            </w:r>
          </w:p>
        </w:tc>
        <w:tc>
          <w:tcPr>
            <w:tcW w:w="1208" w:type="dxa"/>
            <w:vAlign w:val="center"/>
          </w:tcPr>
          <w:p w14:paraId="15351EA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Acetyl</w:t>
            </w:r>
            <w:r>
              <w:rPr>
                <w:rFonts w:ascii="Times New Roman" w:hAnsi="Times New Roman" w:cs="Times New Roman"/>
                <w:color w:val="000000" w:themeColor="text1"/>
                <w:szCs w:val="18"/>
              </w:rPr>
              <w:br/>
              <w:t>C: Amide</w:t>
            </w:r>
          </w:p>
        </w:tc>
        <w:tc>
          <w:tcPr>
            <w:tcW w:w="2448" w:type="dxa"/>
            <w:vAlign w:val="center"/>
          </w:tcPr>
          <w:p w14:paraId="31E6DE5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HVQIPVMLMPD GG YKSKRRRRRRSKRKD</w:t>
            </w:r>
          </w:p>
        </w:tc>
        <w:tc>
          <w:tcPr>
            <w:tcW w:w="1322" w:type="dxa"/>
            <w:vAlign w:val="center"/>
          </w:tcPr>
          <w:p w14:paraId="00ED77D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w:t>
            </w:r>
            <w:r>
              <w:rPr>
                <w:rFonts w:ascii="Times New Roman" w:hAnsi="Times New Roman" w:cs="Times New Roman"/>
                <w:color w:val="000000" w:themeColor="text1"/>
                <w:szCs w:val="18"/>
              </w:rPr>
              <w:br/>
              <w:t>(Peptron/GL)</w:t>
            </w:r>
          </w:p>
        </w:tc>
        <w:tc>
          <w:tcPr>
            <w:tcW w:w="1030" w:type="dxa"/>
            <w:vAlign w:val="center"/>
          </w:tcPr>
          <w:p w14:paraId="311C509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#P81Sh-25</w:t>
            </w:r>
            <w:r>
              <w:rPr>
                <w:rFonts w:ascii="Times New Roman" w:hAnsi="Times New Roman" w:cs="Times New Roman"/>
                <w:color w:val="000000" w:themeColor="text1"/>
                <w:szCs w:val="18"/>
              </w:rPr>
              <w:br/>
              <w:t>TFA salt</w:t>
            </w:r>
          </w:p>
        </w:tc>
        <w:tc>
          <w:tcPr>
            <w:tcW w:w="889" w:type="dxa"/>
            <w:vAlign w:val="center"/>
          </w:tcPr>
          <w:p w14:paraId="264BD17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95.75%</w:t>
            </w:r>
            <w:r>
              <w:rPr>
                <w:rFonts w:ascii="Times New Roman" w:hAnsi="Times New Roman" w:cs="Times New Roman"/>
                <w:color w:val="000000" w:themeColor="text1"/>
                <w:szCs w:val="18"/>
              </w:rPr>
              <w:br/>
              <w:t>(RP-HPLC)</w:t>
            </w:r>
          </w:p>
        </w:tc>
        <w:tc>
          <w:tcPr>
            <w:tcW w:w="920" w:type="dxa"/>
            <w:vAlign w:val="center"/>
          </w:tcPr>
          <w:p w14:paraId="45AFEB8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3493.13</w:t>
            </w:r>
          </w:p>
        </w:tc>
        <w:tc>
          <w:tcPr>
            <w:tcW w:w="1185" w:type="dxa"/>
            <w:vAlign w:val="center"/>
          </w:tcPr>
          <w:p w14:paraId="08EB971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510F0A1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t>(572.5 µM)</w:t>
            </w:r>
          </w:p>
        </w:tc>
        <w:tc>
          <w:tcPr>
            <w:tcW w:w="995" w:type="dxa"/>
            <w:vAlign w:val="center"/>
          </w:tcPr>
          <w:p w14:paraId="490306E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lyoph.</w:t>
            </w:r>
            <w:r>
              <w:rPr>
                <w:rFonts w:ascii="Times New Roman" w:hAnsi="Times New Roman" w:cs="Times New Roman"/>
                <w:color w:val="000000" w:themeColor="text1"/>
                <w:szCs w:val="18"/>
              </w:rPr>
              <w:br/>
              <w:t>F/T ≤ 2 cycles</w:t>
            </w:r>
          </w:p>
        </w:tc>
        <w:tc>
          <w:tcPr>
            <w:tcW w:w="1464" w:type="dxa"/>
            <w:vAlign w:val="center"/>
          </w:tcPr>
          <w:p w14:paraId="142D5B2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Highly soluble (&gt;15 mg/mL);</w:t>
            </w:r>
            <w:r>
              <w:rPr>
                <w:rFonts w:ascii="Times New Roman" w:hAnsi="Times New Roman" w:cs="Times New Roman"/>
                <w:color w:val="000000" w:themeColor="text1"/>
                <w:szCs w:val="18"/>
              </w:rPr>
              <w:br/>
              <w:t>stable in PBS</w:t>
            </w:r>
          </w:p>
        </w:tc>
      </w:tr>
      <w:tr w:rsidR="008E24E1" w:rsidRPr="00532EBB" w14:paraId="676562FF" w14:textId="77777777" w:rsidTr="008E24E1">
        <w:tc>
          <w:tcPr>
            <w:tcW w:w="1555" w:type="dxa"/>
            <w:vAlign w:val="center"/>
          </w:tcPr>
          <w:p w14:paraId="78E8557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 Scrambled</w:t>
            </w:r>
            <w:r>
              <w:rPr>
                <w:rFonts w:ascii="Times New Roman" w:hAnsi="Times New Roman" w:cs="Times New Roman"/>
                <w:b/>
                <w:color w:val="000000" w:themeColor="text1"/>
                <w:szCs w:val="18"/>
              </w:rPr>
              <w:br/>
              <w:t>(Negative Control)</w:t>
            </w:r>
          </w:p>
        </w:tc>
        <w:tc>
          <w:tcPr>
            <w:tcW w:w="1208" w:type="dxa"/>
            <w:vAlign w:val="center"/>
          </w:tcPr>
          <w:p w14:paraId="0424834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Acetyl</w:t>
            </w:r>
            <w:r>
              <w:rPr>
                <w:rFonts w:ascii="Times New Roman" w:hAnsi="Times New Roman" w:cs="Times New Roman"/>
                <w:color w:val="000000" w:themeColor="text1"/>
                <w:szCs w:val="18"/>
              </w:rPr>
              <w:br/>
              <w:t>C: Amide</w:t>
            </w:r>
          </w:p>
        </w:tc>
        <w:tc>
          <w:tcPr>
            <w:tcW w:w="2448" w:type="dxa"/>
            <w:vAlign w:val="center"/>
          </w:tcPr>
          <w:p w14:paraId="07CD707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NKDSRKR DRGVKGIRRVCRERYKYGRLS</w:t>
            </w:r>
          </w:p>
        </w:tc>
        <w:tc>
          <w:tcPr>
            <w:tcW w:w="1322" w:type="dxa"/>
            <w:vAlign w:val="center"/>
          </w:tcPr>
          <w:p w14:paraId="6F617DF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w:t>
            </w:r>
            <w:r>
              <w:rPr>
                <w:rFonts w:ascii="Times New Roman" w:hAnsi="Times New Roman" w:cs="Times New Roman"/>
                <w:color w:val="000000" w:themeColor="text1"/>
                <w:szCs w:val="18"/>
              </w:rPr>
              <w:br/>
              <w:t>(Peptron/GL)</w:t>
            </w:r>
          </w:p>
        </w:tc>
        <w:tc>
          <w:tcPr>
            <w:tcW w:w="1030" w:type="dxa"/>
            <w:vAlign w:val="center"/>
          </w:tcPr>
          <w:p w14:paraId="0A2A780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#P4Scr-25</w:t>
            </w:r>
            <w:r>
              <w:rPr>
                <w:rFonts w:ascii="Times New Roman" w:hAnsi="Times New Roman" w:cs="Times New Roman"/>
                <w:color w:val="000000" w:themeColor="text1"/>
                <w:szCs w:val="18"/>
              </w:rPr>
              <w:br/>
              <w:t>TFA salt</w:t>
            </w:r>
          </w:p>
        </w:tc>
        <w:tc>
          <w:tcPr>
            <w:tcW w:w="889" w:type="dxa"/>
            <w:vAlign w:val="center"/>
          </w:tcPr>
          <w:p w14:paraId="1A4B4B6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95.45%</w:t>
            </w:r>
            <w:r>
              <w:rPr>
                <w:rFonts w:ascii="Times New Roman" w:hAnsi="Times New Roman" w:cs="Times New Roman"/>
                <w:color w:val="000000" w:themeColor="text1"/>
                <w:szCs w:val="18"/>
              </w:rPr>
              <w:br/>
              <w:t>(RP-HPLC)</w:t>
            </w:r>
          </w:p>
        </w:tc>
        <w:tc>
          <w:tcPr>
            <w:tcW w:w="920" w:type="dxa"/>
            <w:vAlign w:val="center"/>
          </w:tcPr>
          <w:p w14:paraId="55999F3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3494.01</w:t>
            </w:r>
          </w:p>
        </w:tc>
        <w:tc>
          <w:tcPr>
            <w:tcW w:w="1185" w:type="dxa"/>
            <w:vAlign w:val="center"/>
          </w:tcPr>
          <w:p w14:paraId="017DDC2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w:t>
            </w:r>
            <w:r>
              <w:rPr>
                <w:rFonts w:ascii="Times New Roman" w:hAnsi="Times New Roman" w:cs="Times New Roman"/>
                <w:color w:val="000000" w:themeColor="text1"/>
                <w:szCs w:val="18"/>
              </w:rPr>
              <w:br/>
              <w:t>(pH 7.4)</w:t>
            </w:r>
          </w:p>
        </w:tc>
        <w:tc>
          <w:tcPr>
            <w:tcW w:w="1001" w:type="dxa"/>
            <w:vAlign w:val="center"/>
          </w:tcPr>
          <w:p w14:paraId="547439A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w:t>
            </w:r>
            <w:r>
              <w:rPr>
                <w:rFonts w:ascii="Times New Roman" w:hAnsi="Times New Roman" w:cs="Times New Roman"/>
                <w:color w:val="000000" w:themeColor="text1"/>
                <w:szCs w:val="18"/>
              </w:rPr>
              <w:br/>
            </w:r>
            <w:r>
              <w:rPr>
                <w:rFonts w:ascii="Times New Roman" w:hAnsi="Times New Roman" w:cs="Times New Roman"/>
                <w:color w:val="000000" w:themeColor="text1"/>
                <w:szCs w:val="18"/>
              </w:rPr>
              <w:lastRenderedPageBreak/>
              <w:t>(572.6 µM)</w:t>
            </w:r>
          </w:p>
        </w:tc>
        <w:tc>
          <w:tcPr>
            <w:tcW w:w="995" w:type="dxa"/>
            <w:vAlign w:val="center"/>
          </w:tcPr>
          <w:p w14:paraId="09D3D7C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lastRenderedPageBreak/>
              <w:t>-80°C lyoph.</w:t>
            </w:r>
            <w:r>
              <w:rPr>
                <w:rFonts w:ascii="Times New Roman" w:hAnsi="Times New Roman" w:cs="Times New Roman"/>
                <w:color w:val="000000" w:themeColor="text1"/>
                <w:szCs w:val="18"/>
              </w:rPr>
              <w:br/>
            </w:r>
            <w:r>
              <w:rPr>
                <w:rFonts w:ascii="Times New Roman" w:hAnsi="Times New Roman" w:cs="Times New Roman"/>
                <w:color w:val="000000" w:themeColor="text1"/>
                <w:szCs w:val="18"/>
              </w:rPr>
              <w:lastRenderedPageBreak/>
              <w:t>F/T ≤ 2 cycles</w:t>
            </w:r>
          </w:p>
        </w:tc>
        <w:tc>
          <w:tcPr>
            <w:tcW w:w="1464" w:type="dxa"/>
            <w:vAlign w:val="center"/>
          </w:tcPr>
          <w:p w14:paraId="1F0A40D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lastRenderedPageBreak/>
              <w:t>Soluble &gt;10 mg/mL in PBS;</w:t>
            </w:r>
            <w:r>
              <w:rPr>
                <w:rFonts w:ascii="Times New Roman" w:hAnsi="Times New Roman" w:cs="Times New Roman"/>
                <w:color w:val="000000" w:themeColor="text1"/>
                <w:szCs w:val="18"/>
              </w:rPr>
              <w:br/>
              <w:t xml:space="preserve">stably </w:t>
            </w:r>
            <w:r>
              <w:rPr>
                <w:rFonts w:ascii="Times New Roman" w:hAnsi="Times New Roman" w:cs="Times New Roman"/>
                <w:color w:val="000000" w:themeColor="text1"/>
                <w:szCs w:val="18"/>
              </w:rPr>
              <w:lastRenderedPageBreak/>
              <w:t>maintained control</w:t>
            </w:r>
          </w:p>
        </w:tc>
      </w:tr>
      <w:tr w:rsidR="008E24E1" w:rsidRPr="00532EBB" w14:paraId="3A13788F" w14:textId="77777777" w:rsidTr="008E24E1">
        <w:tc>
          <w:tcPr>
            <w:tcW w:w="14017" w:type="dxa"/>
            <w:gridSpan w:val="11"/>
            <w:shd w:val="clear" w:color="auto" w:fill="F2F2F2" w:themeFill="background1" w:themeFillShade="F2"/>
            <w:vAlign w:val="center"/>
          </w:tcPr>
          <w:p w14:paraId="3793BF02" w14:textId="77777777" w:rsidR="00907672" w:rsidRPr="00532EBB" w:rsidRDefault="00907672" w:rsidP="008E24E1">
            <w:pPr>
              <w:spacing w:after="0"/>
              <w:jc w:val="both"/>
              <w:rPr>
                <w:rFonts w:ascii="Times New Roman" w:hAnsi="Times New Roman" w:cs="Times New Roman"/>
                <w:color w:val="000000" w:themeColor="text1"/>
                <w:szCs w:val="18"/>
              </w:rPr>
            </w:pPr>
            <w:r>
              <w:rPr>
                <w:rFonts w:ascii="Times New Roman" w:hAnsi="Times New Roman" w:cs="Times New Roman"/>
                <w:b/>
                <w:color w:val="000000" w:themeColor="text1"/>
                <w:szCs w:val="18"/>
              </w:rPr>
              <w:lastRenderedPageBreak/>
              <w:t>PART B. Parental PIP Screening Panel — RMAD1 CPP Conjugates (Series -1; Carrier: CKSKRRRRRRSKRKD)</w:t>
            </w:r>
          </w:p>
        </w:tc>
      </w:tr>
      <w:tr w:rsidR="008E24E1" w:rsidRPr="00532EBB" w14:paraId="67ED1D35" w14:textId="77777777" w:rsidTr="008E24E1">
        <w:tc>
          <w:tcPr>
            <w:tcW w:w="1555" w:type="dxa"/>
            <w:vAlign w:val="center"/>
          </w:tcPr>
          <w:p w14:paraId="1804CEB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PIP1-1</w:t>
            </w:r>
          </w:p>
        </w:tc>
        <w:tc>
          <w:tcPr>
            <w:tcW w:w="1208" w:type="dxa"/>
            <w:vAlign w:val="center"/>
          </w:tcPr>
          <w:p w14:paraId="0B7AB78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7DE0156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PIP1 domain GG CKSKRRRRRRSKRKD</w:t>
            </w:r>
          </w:p>
        </w:tc>
        <w:tc>
          <w:tcPr>
            <w:tcW w:w="1322" w:type="dxa"/>
            <w:vAlign w:val="center"/>
          </w:tcPr>
          <w:p w14:paraId="18A1FC5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1959787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#P011-24 / TFA</w:t>
            </w:r>
          </w:p>
        </w:tc>
        <w:tc>
          <w:tcPr>
            <w:tcW w:w="889" w:type="dxa"/>
            <w:vAlign w:val="center"/>
          </w:tcPr>
          <w:p w14:paraId="186FE45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1797DFC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4190</w:t>
            </w:r>
          </w:p>
        </w:tc>
        <w:tc>
          <w:tcPr>
            <w:tcW w:w="1185" w:type="dxa"/>
            <w:vAlign w:val="center"/>
          </w:tcPr>
          <w:p w14:paraId="386FDC8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 mM HOAc in PBS (pH 7.0)</w:t>
            </w:r>
          </w:p>
        </w:tc>
        <w:tc>
          <w:tcPr>
            <w:tcW w:w="1001" w:type="dxa"/>
            <w:vAlign w:val="center"/>
          </w:tcPr>
          <w:p w14:paraId="366B488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1.0 mg/mL (238.7 µM)</w:t>
            </w:r>
          </w:p>
        </w:tc>
        <w:tc>
          <w:tcPr>
            <w:tcW w:w="995" w:type="dxa"/>
            <w:vAlign w:val="center"/>
          </w:tcPr>
          <w:p w14:paraId="4CCB6DE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33448D4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in mildly acidic PBS</w:t>
            </w:r>
          </w:p>
        </w:tc>
      </w:tr>
      <w:tr w:rsidR="008E24E1" w:rsidRPr="00532EBB" w14:paraId="5871B494" w14:textId="77777777" w:rsidTr="008E24E1">
        <w:tc>
          <w:tcPr>
            <w:tcW w:w="1555" w:type="dxa"/>
            <w:vAlign w:val="center"/>
          </w:tcPr>
          <w:p w14:paraId="0E86657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PIP2-1</w:t>
            </w:r>
          </w:p>
        </w:tc>
        <w:tc>
          <w:tcPr>
            <w:tcW w:w="1208" w:type="dxa"/>
            <w:vAlign w:val="center"/>
          </w:tcPr>
          <w:p w14:paraId="54EFD06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0F1A425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PIP2 domain GG CKSKRRRRRRSKRKD</w:t>
            </w:r>
          </w:p>
        </w:tc>
        <w:tc>
          <w:tcPr>
            <w:tcW w:w="1322" w:type="dxa"/>
            <w:vAlign w:val="center"/>
          </w:tcPr>
          <w:p w14:paraId="7D704F1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5897CBE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#P021-24 / TFA</w:t>
            </w:r>
          </w:p>
        </w:tc>
        <w:tc>
          <w:tcPr>
            <w:tcW w:w="889" w:type="dxa"/>
            <w:vAlign w:val="center"/>
          </w:tcPr>
          <w:p w14:paraId="5276119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168DC24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4198</w:t>
            </w:r>
          </w:p>
        </w:tc>
        <w:tc>
          <w:tcPr>
            <w:tcW w:w="1185" w:type="dxa"/>
            <w:vAlign w:val="center"/>
          </w:tcPr>
          <w:p w14:paraId="57639B6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234E78D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(476.4 µM)</w:t>
            </w:r>
          </w:p>
        </w:tc>
        <w:tc>
          <w:tcPr>
            <w:tcW w:w="995" w:type="dxa"/>
            <w:vAlign w:val="center"/>
          </w:tcPr>
          <w:p w14:paraId="147DCA1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38BD7D0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1CAB09FD" w14:textId="77777777" w:rsidTr="008E24E1">
        <w:tc>
          <w:tcPr>
            <w:tcW w:w="1555" w:type="dxa"/>
            <w:vAlign w:val="center"/>
          </w:tcPr>
          <w:p w14:paraId="1D297F7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PIP3-1</w:t>
            </w:r>
          </w:p>
        </w:tc>
        <w:tc>
          <w:tcPr>
            <w:tcW w:w="1208" w:type="dxa"/>
            <w:vAlign w:val="center"/>
          </w:tcPr>
          <w:p w14:paraId="5C0BA8B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4654159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PIP3 domain GG CKSKRRRRRRSKRKD</w:t>
            </w:r>
          </w:p>
        </w:tc>
        <w:tc>
          <w:tcPr>
            <w:tcW w:w="1322" w:type="dxa"/>
            <w:vAlign w:val="center"/>
          </w:tcPr>
          <w:p w14:paraId="22CD735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3ECF760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#P031-24 / TFA</w:t>
            </w:r>
          </w:p>
        </w:tc>
        <w:tc>
          <w:tcPr>
            <w:tcW w:w="889" w:type="dxa"/>
            <w:vAlign w:val="center"/>
          </w:tcPr>
          <w:p w14:paraId="37EFA9B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004E635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4071</w:t>
            </w:r>
          </w:p>
        </w:tc>
        <w:tc>
          <w:tcPr>
            <w:tcW w:w="1185" w:type="dxa"/>
            <w:vAlign w:val="center"/>
          </w:tcPr>
          <w:p w14:paraId="5A44D6B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1DEF195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(491.3 µM)</w:t>
            </w:r>
          </w:p>
        </w:tc>
        <w:tc>
          <w:tcPr>
            <w:tcW w:w="995" w:type="dxa"/>
            <w:vAlign w:val="center"/>
          </w:tcPr>
          <w:p w14:paraId="78AB9FB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6B1B983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359D3F10" w14:textId="77777777" w:rsidTr="008E24E1">
        <w:tc>
          <w:tcPr>
            <w:tcW w:w="1555" w:type="dxa"/>
            <w:vAlign w:val="center"/>
          </w:tcPr>
          <w:p w14:paraId="68AAF59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PIP4-1 (Screen)</w:t>
            </w:r>
          </w:p>
        </w:tc>
        <w:tc>
          <w:tcPr>
            <w:tcW w:w="1208" w:type="dxa"/>
            <w:vAlign w:val="center"/>
          </w:tcPr>
          <w:p w14:paraId="019BA08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4A6A479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YRLNVDGVEIY GG CKSKRRRRRRSKRKD</w:t>
            </w:r>
          </w:p>
        </w:tc>
        <w:tc>
          <w:tcPr>
            <w:tcW w:w="1322" w:type="dxa"/>
            <w:vAlign w:val="center"/>
          </w:tcPr>
          <w:p w14:paraId="6A4A337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3BA4607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#P041-24 / TFA</w:t>
            </w:r>
          </w:p>
        </w:tc>
        <w:tc>
          <w:tcPr>
            <w:tcW w:w="889" w:type="dxa"/>
            <w:vAlign w:val="center"/>
          </w:tcPr>
          <w:p w14:paraId="2C14F2E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95.84% (HPLC)</w:t>
            </w:r>
          </w:p>
        </w:tc>
        <w:tc>
          <w:tcPr>
            <w:tcW w:w="920" w:type="dxa"/>
            <w:vAlign w:val="center"/>
          </w:tcPr>
          <w:p w14:paraId="3AB804B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3493</w:t>
            </w:r>
          </w:p>
        </w:tc>
        <w:tc>
          <w:tcPr>
            <w:tcW w:w="1185" w:type="dxa"/>
            <w:vAlign w:val="center"/>
          </w:tcPr>
          <w:p w14:paraId="409A27D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74F8306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(572.6 µM)</w:t>
            </w:r>
          </w:p>
        </w:tc>
        <w:tc>
          <w:tcPr>
            <w:tcW w:w="995" w:type="dxa"/>
            <w:vAlign w:val="center"/>
          </w:tcPr>
          <w:p w14:paraId="70651D6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7225F7B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lead candidate</w:t>
            </w:r>
          </w:p>
        </w:tc>
      </w:tr>
      <w:tr w:rsidR="008E24E1" w:rsidRPr="00532EBB" w14:paraId="5FC5924D" w14:textId="77777777" w:rsidTr="008E24E1">
        <w:tc>
          <w:tcPr>
            <w:tcW w:w="1555" w:type="dxa"/>
            <w:vAlign w:val="center"/>
          </w:tcPr>
          <w:p w14:paraId="6C890DF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PIP5-1</w:t>
            </w:r>
          </w:p>
        </w:tc>
        <w:tc>
          <w:tcPr>
            <w:tcW w:w="1208" w:type="dxa"/>
            <w:vAlign w:val="center"/>
          </w:tcPr>
          <w:p w14:paraId="60E9D60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05C4E35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PIP5 domain GG CKSKRRRRRRSKRKD</w:t>
            </w:r>
          </w:p>
        </w:tc>
        <w:tc>
          <w:tcPr>
            <w:tcW w:w="1322" w:type="dxa"/>
            <w:vAlign w:val="center"/>
          </w:tcPr>
          <w:p w14:paraId="6D51A8A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70BF6BF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#P051-24 / TFA</w:t>
            </w:r>
          </w:p>
        </w:tc>
        <w:tc>
          <w:tcPr>
            <w:tcW w:w="889" w:type="dxa"/>
            <w:vAlign w:val="center"/>
          </w:tcPr>
          <w:p w14:paraId="7A9E2BE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21077E9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4026</w:t>
            </w:r>
          </w:p>
        </w:tc>
        <w:tc>
          <w:tcPr>
            <w:tcW w:w="1185" w:type="dxa"/>
            <w:vAlign w:val="center"/>
          </w:tcPr>
          <w:p w14:paraId="3790EEF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4E2CD18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(496.8 µM)</w:t>
            </w:r>
          </w:p>
        </w:tc>
        <w:tc>
          <w:tcPr>
            <w:tcW w:w="995" w:type="dxa"/>
            <w:vAlign w:val="center"/>
          </w:tcPr>
          <w:p w14:paraId="286EE05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40A046B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0537ABB6" w14:textId="77777777" w:rsidTr="008E24E1">
        <w:tc>
          <w:tcPr>
            <w:tcW w:w="1555" w:type="dxa"/>
            <w:vAlign w:val="center"/>
          </w:tcPr>
          <w:p w14:paraId="398A7A2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PIP6-1</w:t>
            </w:r>
          </w:p>
        </w:tc>
        <w:tc>
          <w:tcPr>
            <w:tcW w:w="1208" w:type="dxa"/>
            <w:vAlign w:val="center"/>
          </w:tcPr>
          <w:p w14:paraId="107DE0E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4829952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PIP6 domain GG CKSKRRRRRRSKRKD</w:t>
            </w:r>
          </w:p>
        </w:tc>
        <w:tc>
          <w:tcPr>
            <w:tcW w:w="1322" w:type="dxa"/>
            <w:vAlign w:val="center"/>
          </w:tcPr>
          <w:p w14:paraId="7E4B921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3431756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#P061-24 / TFA</w:t>
            </w:r>
          </w:p>
        </w:tc>
        <w:tc>
          <w:tcPr>
            <w:tcW w:w="889" w:type="dxa"/>
            <w:vAlign w:val="center"/>
          </w:tcPr>
          <w:p w14:paraId="68717E2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65009B0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3736</w:t>
            </w:r>
          </w:p>
        </w:tc>
        <w:tc>
          <w:tcPr>
            <w:tcW w:w="1185" w:type="dxa"/>
            <w:vAlign w:val="center"/>
          </w:tcPr>
          <w:p w14:paraId="6348D3C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7BF170E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(535.3 µM)</w:t>
            </w:r>
          </w:p>
        </w:tc>
        <w:tc>
          <w:tcPr>
            <w:tcW w:w="995" w:type="dxa"/>
            <w:vAlign w:val="center"/>
          </w:tcPr>
          <w:p w14:paraId="78843DA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043F233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3681AB06" w14:textId="77777777" w:rsidTr="008E24E1">
        <w:tc>
          <w:tcPr>
            <w:tcW w:w="1555" w:type="dxa"/>
            <w:vAlign w:val="center"/>
          </w:tcPr>
          <w:p w14:paraId="43C322B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PIP7-1</w:t>
            </w:r>
          </w:p>
        </w:tc>
        <w:tc>
          <w:tcPr>
            <w:tcW w:w="1208" w:type="dxa"/>
            <w:vAlign w:val="center"/>
          </w:tcPr>
          <w:p w14:paraId="30175F6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0BB4EB7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PIP7 domain GG CKSKRRRRRRSKRKD</w:t>
            </w:r>
          </w:p>
        </w:tc>
        <w:tc>
          <w:tcPr>
            <w:tcW w:w="1322" w:type="dxa"/>
            <w:vAlign w:val="center"/>
          </w:tcPr>
          <w:p w14:paraId="36B9C1F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0F521D9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#P071-24 / TFA</w:t>
            </w:r>
          </w:p>
        </w:tc>
        <w:tc>
          <w:tcPr>
            <w:tcW w:w="889" w:type="dxa"/>
            <w:vAlign w:val="center"/>
          </w:tcPr>
          <w:p w14:paraId="5C46A21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1CC543F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4190</w:t>
            </w:r>
          </w:p>
        </w:tc>
        <w:tc>
          <w:tcPr>
            <w:tcW w:w="1185" w:type="dxa"/>
            <w:vAlign w:val="center"/>
          </w:tcPr>
          <w:p w14:paraId="56CC4A7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7652AAB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(477.3 µM)</w:t>
            </w:r>
          </w:p>
        </w:tc>
        <w:tc>
          <w:tcPr>
            <w:tcW w:w="995" w:type="dxa"/>
            <w:vAlign w:val="center"/>
          </w:tcPr>
          <w:p w14:paraId="5C6C6B1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4654991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2A0C24D5" w14:textId="77777777" w:rsidTr="008E24E1">
        <w:tc>
          <w:tcPr>
            <w:tcW w:w="1555" w:type="dxa"/>
            <w:vAlign w:val="center"/>
          </w:tcPr>
          <w:p w14:paraId="278ACA5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PIP8-1 (Screen)</w:t>
            </w:r>
          </w:p>
        </w:tc>
        <w:tc>
          <w:tcPr>
            <w:tcW w:w="1208" w:type="dxa"/>
            <w:vAlign w:val="center"/>
          </w:tcPr>
          <w:p w14:paraId="1281382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02552EF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HVQIPVMLMPDDF GG CKSKRRRRRRSKRKD</w:t>
            </w:r>
          </w:p>
        </w:tc>
        <w:tc>
          <w:tcPr>
            <w:tcW w:w="1322" w:type="dxa"/>
            <w:vAlign w:val="center"/>
          </w:tcPr>
          <w:p w14:paraId="18F806B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7E2732F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#P081-24 / TFA</w:t>
            </w:r>
          </w:p>
        </w:tc>
        <w:tc>
          <w:tcPr>
            <w:tcW w:w="889" w:type="dxa"/>
            <w:vAlign w:val="center"/>
          </w:tcPr>
          <w:p w14:paraId="40DA0D7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96.58% (HPLC)</w:t>
            </w:r>
          </w:p>
        </w:tc>
        <w:tc>
          <w:tcPr>
            <w:tcW w:w="920" w:type="dxa"/>
            <w:vAlign w:val="center"/>
          </w:tcPr>
          <w:p w14:paraId="08432D7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3694</w:t>
            </w:r>
          </w:p>
        </w:tc>
        <w:tc>
          <w:tcPr>
            <w:tcW w:w="1185" w:type="dxa"/>
            <w:vAlign w:val="center"/>
          </w:tcPr>
          <w:p w14:paraId="1434715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3AED168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(541.3 µM)</w:t>
            </w:r>
          </w:p>
        </w:tc>
        <w:tc>
          <w:tcPr>
            <w:tcW w:w="995" w:type="dxa"/>
            <w:vAlign w:val="center"/>
          </w:tcPr>
          <w:p w14:paraId="3485556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7A29A0D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lead candidate</w:t>
            </w:r>
          </w:p>
        </w:tc>
      </w:tr>
      <w:tr w:rsidR="008E24E1" w:rsidRPr="00532EBB" w14:paraId="545C1392" w14:textId="77777777" w:rsidTr="008E24E1">
        <w:tc>
          <w:tcPr>
            <w:tcW w:w="1555" w:type="dxa"/>
            <w:vAlign w:val="center"/>
          </w:tcPr>
          <w:p w14:paraId="2EEDD93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PIP9-1</w:t>
            </w:r>
          </w:p>
        </w:tc>
        <w:tc>
          <w:tcPr>
            <w:tcW w:w="1208" w:type="dxa"/>
            <w:vAlign w:val="center"/>
          </w:tcPr>
          <w:p w14:paraId="75B30B0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70BA71D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PIP9 domain GG CKSKRRRRRRSKRKD</w:t>
            </w:r>
          </w:p>
        </w:tc>
        <w:tc>
          <w:tcPr>
            <w:tcW w:w="1322" w:type="dxa"/>
            <w:vAlign w:val="center"/>
          </w:tcPr>
          <w:p w14:paraId="3BAE39C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25EB0D5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#P091-24 / TFA</w:t>
            </w:r>
          </w:p>
        </w:tc>
        <w:tc>
          <w:tcPr>
            <w:tcW w:w="889" w:type="dxa"/>
            <w:vAlign w:val="center"/>
          </w:tcPr>
          <w:p w14:paraId="456C779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6D3578C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4703</w:t>
            </w:r>
          </w:p>
        </w:tc>
        <w:tc>
          <w:tcPr>
            <w:tcW w:w="1185" w:type="dxa"/>
            <w:vAlign w:val="center"/>
          </w:tcPr>
          <w:p w14:paraId="37686E9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 mM HOAc in PBS (pH 7.0)</w:t>
            </w:r>
          </w:p>
        </w:tc>
        <w:tc>
          <w:tcPr>
            <w:tcW w:w="1001" w:type="dxa"/>
            <w:vAlign w:val="center"/>
          </w:tcPr>
          <w:p w14:paraId="3C66BB1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(425.3 µM)</w:t>
            </w:r>
          </w:p>
        </w:tc>
        <w:tc>
          <w:tcPr>
            <w:tcW w:w="995" w:type="dxa"/>
            <w:vAlign w:val="center"/>
          </w:tcPr>
          <w:p w14:paraId="4C2367D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0552CBA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in mildly acidic PBS</w:t>
            </w:r>
          </w:p>
        </w:tc>
      </w:tr>
      <w:tr w:rsidR="008E24E1" w:rsidRPr="00532EBB" w14:paraId="4E17F853" w14:textId="77777777" w:rsidTr="008E24E1">
        <w:tc>
          <w:tcPr>
            <w:tcW w:w="1555" w:type="dxa"/>
            <w:vAlign w:val="center"/>
          </w:tcPr>
          <w:p w14:paraId="6B67A79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PIP10-1</w:t>
            </w:r>
          </w:p>
        </w:tc>
        <w:tc>
          <w:tcPr>
            <w:tcW w:w="1208" w:type="dxa"/>
            <w:vAlign w:val="center"/>
          </w:tcPr>
          <w:p w14:paraId="02947C9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157C336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PIP10 domain GG CKSKRRRRRRSKRKD</w:t>
            </w:r>
          </w:p>
        </w:tc>
        <w:tc>
          <w:tcPr>
            <w:tcW w:w="1322" w:type="dxa"/>
            <w:vAlign w:val="center"/>
          </w:tcPr>
          <w:p w14:paraId="58CBBC2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1AFDD93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#P101-24 / TFA</w:t>
            </w:r>
          </w:p>
        </w:tc>
        <w:tc>
          <w:tcPr>
            <w:tcW w:w="889" w:type="dxa"/>
            <w:vAlign w:val="center"/>
          </w:tcPr>
          <w:p w14:paraId="178303E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18395E2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4673</w:t>
            </w:r>
          </w:p>
        </w:tc>
        <w:tc>
          <w:tcPr>
            <w:tcW w:w="1185" w:type="dxa"/>
            <w:vAlign w:val="center"/>
          </w:tcPr>
          <w:p w14:paraId="6BDCEE1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15A66A2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(428.0 µM)</w:t>
            </w:r>
          </w:p>
        </w:tc>
        <w:tc>
          <w:tcPr>
            <w:tcW w:w="995" w:type="dxa"/>
            <w:vAlign w:val="center"/>
          </w:tcPr>
          <w:p w14:paraId="2C4341C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2B3FEA9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7F7FD73C" w14:textId="77777777" w:rsidTr="008E24E1">
        <w:tc>
          <w:tcPr>
            <w:tcW w:w="1555" w:type="dxa"/>
            <w:vAlign w:val="center"/>
          </w:tcPr>
          <w:p w14:paraId="089E74F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PIP11-1</w:t>
            </w:r>
          </w:p>
        </w:tc>
        <w:tc>
          <w:tcPr>
            <w:tcW w:w="1208" w:type="dxa"/>
            <w:vAlign w:val="center"/>
          </w:tcPr>
          <w:p w14:paraId="41F95E3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16A0A9A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PIP11 domain GG CKSKRRRRRRSKRKD</w:t>
            </w:r>
          </w:p>
        </w:tc>
        <w:tc>
          <w:tcPr>
            <w:tcW w:w="1322" w:type="dxa"/>
            <w:vAlign w:val="center"/>
          </w:tcPr>
          <w:p w14:paraId="2C98D8D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7EC4596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#P111-24 / TFA</w:t>
            </w:r>
          </w:p>
        </w:tc>
        <w:tc>
          <w:tcPr>
            <w:tcW w:w="889" w:type="dxa"/>
            <w:vAlign w:val="center"/>
          </w:tcPr>
          <w:p w14:paraId="4DA7547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2760E13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4217</w:t>
            </w:r>
          </w:p>
        </w:tc>
        <w:tc>
          <w:tcPr>
            <w:tcW w:w="1185" w:type="dxa"/>
            <w:vAlign w:val="center"/>
          </w:tcPr>
          <w:p w14:paraId="4AAC5EA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51B839E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(474.3 µM)</w:t>
            </w:r>
          </w:p>
        </w:tc>
        <w:tc>
          <w:tcPr>
            <w:tcW w:w="995" w:type="dxa"/>
            <w:vAlign w:val="center"/>
          </w:tcPr>
          <w:p w14:paraId="2392622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41CD63F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51DD713B" w14:textId="77777777" w:rsidTr="008E24E1">
        <w:tc>
          <w:tcPr>
            <w:tcW w:w="1555" w:type="dxa"/>
            <w:vAlign w:val="center"/>
          </w:tcPr>
          <w:p w14:paraId="66710BF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PIP12-1</w:t>
            </w:r>
          </w:p>
        </w:tc>
        <w:tc>
          <w:tcPr>
            <w:tcW w:w="1208" w:type="dxa"/>
            <w:vAlign w:val="center"/>
          </w:tcPr>
          <w:p w14:paraId="19E4BD4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773D14C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PIP12 domain GG CKSKRRRRRRSKRKD</w:t>
            </w:r>
          </w:p>
        </w:tc>
        <w:tc>
          <w:tcPr>
            <w:tcW w:w="1322" w:type="dxa"/>
            <w:vAlign w:val="center"/>
          </w:tcPr>
          <w:p w14:paraId="7D529F3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65B2A5C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#P121-24 / TFA</w:t>
            </w:r>
          </w:p>
        </w:tc>
        <w:tc>
          <w:tcPr>
            <w:tcW w:w="889" w:type="dxa"/>
            <w:vAlign w:val="center"/>
          </w:tcPr>
          <w:p w14:paraId="118E579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1CC36B0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5155</w:t>
            </w:r>
          </w:p>
        </w:tc>
        <w:tc>
          <w:tcPr>
            <w:tcW w:w="1185" w:type="dxa"/>
            <w:vAlign w:val="center"/>
          </w:tcPr>
          <w:p w14:paraId="0FEE2C0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3F1C211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(388.0 µM)</w:t>
            </w:r>
          </w:p>
        </w:tc>
        <w:tc>
          <w:tcPr>
            <w:tcW w:w="995" w:type="dxa"/>
            <w:vAlign w:val="center"/>
          </w:tcPr>
          <w:p w14:paraId="352E8F0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5631DC4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3B61426C" w14:textId="77777777" w:rsidTr="008E24E1">
        <w:tc>
          <w:tcPr>
            <w:tcW w:w="14017" w:type="dxa"/>
            <w:gridSpan w:val="11"/>
            <w:shd w:val="clear" w:color="auto" w:fill="F2F2F2" w:themeFill="background1" w:themeFillShade="F2"/>
            <w:vAlign w:val="center"/>
          </w:tcPr>
          <w:p w14:paraId="374DB68E" w14:textId="77777777" w:rsidR="00907672" w:rsidRPr="00532EBB" w:rsidRDefault="00907672" w:rsidP="008E24E1">
            <w:pPr>
              <w:spacing w:after="0"/>
              <w:jc w:val="both"/>
              <w:rPr>
                <w:rFonts w:ascii="Times New Roman" w:hAnsi="Times New Roman" w:cs="Times New Roman"/>
                <w:color w:val="000000" w:themeColor="text1"/>
                <w:szCs w:val="18"/>
              </w:rPr>
            </w:pPr>
            <w:r>
              <w:rPr>
                <w:rFonts w:ascii="Times New Roman" w:hAnsi="Times New Roman" w:cs="Times New Roman"/>
                <w:b/>
                <w:color w:val="000000" w:themeColor="text1"/>
                <w:szCs w:val="18"/>
              </w:rPr>
              <w:t>PART C. Parental PIP Screening Panel — RMMR1 CPP Conjugates (Series -2; Alternative Carrier Conjugates)</w:t>
            </w:r>
          </w:p>
        </w:tc>
      </w:tr>
      <w:tr w:rsidR="008E24E1" w:rsidRPr="00532EBB" w14:paraId="740ED1A9" w14:textId="77777777" w:rsidTr="008E24E1">
        <w:tc>
          <w:tcPr>
            <w:tcW w:w="1555" w:type="dxa"/>
            <w:vAlign w:val="center"/>
          </w:tcPr>
          <w:p w14:paraId="1D3E051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PIP1-2</w:t>
            </w:r>
          </w:p>
        </w:tc>
        <w:tc>
          <w:tcPr>
            <w:tcW w:w="1208" w:type="dxa"/>
            <w:vAlign w:val="center"/>
          </w:tcPr>
          <w:p w14:paraId="6F565E1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5F6428D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PIP1 domain GG RMMR1 carrier</w:t>
            </w:r>
          </w:p>
        </w:tc>
        <w:tc>
          <w:tcPr>
            <w:tcW w:w="1322" w:type="dxa"/>
            <w:vAlign w:val="center"/>
          </w:tcPr>
          <w:p w14:paraId="207F987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5A082D2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#P012-24 / TFA</w:t>
            </w:r>
          </w:p>
        </w:tc>
        <w:tc>
          <w:tcPr>
            <w:tcW w:w="889" w:type="dxa"/>
            <w:vAlign w:val="center"/>
          </w:tcPr>
          <w:p w14:paraId="06B9D01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2170094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3857</w:t>
            </w:r>
          </w:p>
        </w:tc>
        <w:tc>
          <w:tcPr>
            <w:tcW w:w="1185" w:type="dxa"/>
            <w:vAlign w:val="center"/>
          </w:tcPr>
          <w:p w14:paraId="622087E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 mM HOAc in PBS (pH 7.0)</w:t>
            </w:r>
          </w:p>
        </w:tc>
        <w:tc>
          <w:tcPr>
            <w:tcW w:w="1001" w:type="dxa"/>
            <w:vAlign w:val="center"/>
          </w:tcPr>
          <w:p w14:paraId="1509F7E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1.0 mg/mL (259.3 µM)</w:t>
            </w:r>
          </w:p>
        </w:tc>
        <w:tc>
          <w:tcPr>
            <w:tcW w:w="995" w:type="dxa"/>
            <w:vAlign w:val="center"/>
          </w:tcPr>
          <w:p w14:paraId="3A78ADC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42AFF9C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in mildly acidic PBS</w:t>
            </w:r>
          </w:p>
        </w:tc>
      </w:tr>
      <w:tr w:rsidR="008E24E1" w:rsidRPr="00532EBB" w14:paraId="00241861" w14:textId="77777777" w:rsidTr="008E24E1">
        <w:tc>
          <w:tcPr>
            <w:tcW w:w="1555" w:type="dxa"/>
            <w:vAlign w:val="center"/>
          </w:tcPr>
          <w:p w14:paraId="778E365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lastRenderedPageBreak/>
              <w:t>PIP2-2</w:t>
            </w:r>
          </w:p>
        </w:tc>
        <w:tc>
          <w:tcPr>
            <w:tcW w:w="1208" w:type="dxa"/>
            <w:vAlign w:val="center"/>
          </w:tcPr>
          <w:p w14:paraId="25C7312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65B44EC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PIP2 domain GG RMMR1 carrier</w:t>
            </w:r>
          </w:p>
        </w:tc>
        <w:tc>
          <w:tcPr>
            <w:tcW w:w="1322" w:type="dxa"/>
            <w:vAlign w:val="center"/>
          </w:tcPr>
          <w:p w14:paraId="513FCE7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17E0635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#P022-24 / TFA</w:t>
            </w:r>
          </w:p>
        </w:tc>
        <w:tc>
          <w:tcPr>
            <w:tcW w:w="889" w:type="dxa"/>
            <w:vAlign w:val="center"/>
          </w:tcPr>
          <w:p w14:paraId="16504F6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22032F3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3865</w:t>
            </w:r>
          </w:p>
        </w:tc>
        <w:tc>
          <w:tcPr>
            <w:tcW w:w="1185" w:type="dxa"/>
            <w:vAlign w:val="center"/>
          </w:tcPr>
          <w:p w14:paraId="6F36E9B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28B09C5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(517.5 µM)</w:t>
            </w:r>
          </w:p>
        </w:tc>
        <w:tc>
          <w:tcPr>
            <w:tcW w:w="995" w:type="dxa"/>
            <w:vAlign w:val="center"/>
          </w:tcPr>
          <w:p w14:paraId="1A6AC2D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0CC1C15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3CC9E8D2" w14:textId="77777777" w:rsidTr="008E24E1">
        <w:tc>
          <w:tcPr>
            <w:tcW w:w="1555" w:type="dxa"/>
            <w:vAlign w:val="center"/>
          </w:tcPr>
          <w:p w14:paraId="03C803E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PIP3-2</w:t>
            </w:r>
          </w:p>
        </w:tc>
        <w:tc>
          <w:tcPr>
            <w:tcW w:w="1208" w:type="dxa"/>
            <w:vAlign w:val="center"/>
          </w:tcPr>
          <w:p w14:paraId="2B4B67E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06DDD1B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PIP3 domain GG RMMR1 carrier</w:t>
            </w:r>
          </w:p>
        </w:tc>
        <w:tc>
          <w:tcPr>
            <w:tcW w:w="1322" w:type="dxa"/>
            <w:vAlign w:val="center"/>
          </w:tcPr>
          <w:p w14:paraId="06C3F18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26158A2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#P032-24 / TFA</w:t>
            </w:r>
          </w:p>
        </w:tc>
        <w:tc>
          <w:tcPr>
            <w:tcW w:w="889" w:type="dxa"/>
            <w:vAlign w:val="center"/>
          </w:tcPr>
          <w:p w14:paraId="236265B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10E496E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3737</w:t>
            </w:r>
          </w:p>
        </w:tc>
        <w:tc>
          <w:tcPr>
            <w:tcW w:w="1185" w:type="dxa"/>
            <w:vAlign w:val="center"/>
          </w:tcPr>
          <w:p w14:paraId="2C7ECCD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178521E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(535.2 µM)</w:t>
            </w:r>
          </w:p>
        </w:tc>
        <w:tc>
          <w:tcPr>
            <w:tcW w:w="995" w:type="dxa"/>
            <w:vAlign w:val="center"/>
          </w:tcPr>
          <w:p w14:paraId="6973135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7EB9E66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771458C6" w14:textId="77777777" w:rsidTr="008E24E1">
        <w:tc>
          <w:tcPr>
            <w:tcW w:w="1555" w:type="dxa"/>
            <w:vAlign w:val="center"/>
          </w:tcPr>
          <w:p w14:paraId="28F598A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PIP4-2</w:t>
            </w:r>
          </w:p>
        </w:tc>
        <w:tc>
          <w:tcPr>
            <w:tcW w:w="1208" w:type="dxa"/>
            <w:vAlign w:val="center"/>
          </w:tcPr>
          <w:p w14:paraId="70ED383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5793A7F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PIP4 domain GG RMMR1 carrier</w:t>
            </w:r>
          </w:p>
        </w:tc>
        <w:tc>
          <w:tcPr>
            <w:tcW w:w="1322" w:type="dxa"/>
            <w:vAlign w:val="center"/>
          </w:tcPr>
          <w:p w14:paraId="569FC24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49EC772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#P042-24 / TFA</w:t>
            </w:r>
          </w:p>
        </w:tc>
        <w:tc>
          <w:tcPr>
            <w:tcW w:w="889" w:type="dxa"/>
            <w:vAlign w:val="center"/>
          </w:tcPr>
          <w:p w14:paraId="0FA3115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7DDC329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3160</w:t>
            </w:r>
          </w:p>
        </w:tc>
        <w:tc>
          <w:tcPr>
            <w:tcW w:w="1185" w:type="dxa"/>
            <w:vAlign w:val="center"/>
          </w:tcPr>
          <w:p w14:paraId="038D560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6029DA3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(633.0 µM)</w:t>
            </w:r>
          </w:p>
        </w:tc>
        <w:tc>
          <w:tcPr>
            <w:tcW w:w="995" w:type="dxa"/>
            <w:vAlign w:val="center"/>
          </w:tcPr>
          <w:p w14:paraId="40A4D54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0E97F81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3ECF41D3" w14:textId="77777777" w:rsidTr="008E24E1">
        <w:tc>
          <w:tcPr>
            <w:tcW w:w="1555" w:type="dxa"/>
            <w:vAlign w:val="center"/>
          </w:tcPr>
          <w:p w14:paraId="629E916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PIP5-2</w:t>
            </w:r>
          </w:p>
        </w:tc>
        <w:tc>
          <w:tcPr>
            <w:tcW w:w="1208" w:type="dxa"/>
            <w:vAlign w:val="center"/>
          </w:tcPr>
          <w:p w14:paraId="783CDE6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522DFCC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PIP5 domain GG RMMR1 carrier</w:t>
            </w:r>
          </w:p>
        </w:tc>
        <w:tc>
          <w:tcPr>
            <w:tcW w:w="1322" w:type="dxa"/>
            <w:vAlign w:val="center"/>
          </w:tcPr>
          <w:p w14:paraId="4947177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475BFA6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#P052-24 / TFA</w:t>
            </w:r>
          </w:p>
        </w:tc>
        <w:tc>
          <w:tcPr>
            <w:tcW w:w="889" w:type="dxa"/>
            <w:vAlign w:val="center"/>
          </w:tcPr>
          <w:p w14:paraId="2EA2613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26794BD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3692</w:t>
            </w:r>
          </w:p>
        </w:tc>
        <w:tc>
          <w:tcPr>
            <w:tcW w:w="1185" w:type="dxa"/>
            <w:vAlign w:val="center"/>
          </w:tcPr>
          <w:p w14:paraId="1660039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 mM HOAc in PBS (pH 7.0)</w:t>
            </w:r>
          </w:p>
        </w:tc>
        <w:tc>
          <w:tcPr>
            <w:tcW w:w="1001" w:type="dxa"/>
            <w:vAlign w:val="center"/>
          </w:tcPr>
          <w:p w14:paraId="7C75F14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1.0 mg/mL (270.8 µM)</w:t>
            </w:r>
          </w:p>
        </w:tc>
        <w:tc>
          <w:tcPr>
            <w:tcW w:w="995" w:type="dxa"/>
            <w:vAlign w:val="center"/>
          </w:tcPr>
          <w:p w14:paraId="53B5E03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0367C3C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in mildly acidic PBS</w:t>
            </w:r>
          </w:p>
        </w:tc>
      </w:tr>
      <w:tr w:rsidR="008E24E1" w:rsidRPr="00532EBB" w14:paraId="0C3D9E37" w14:textId="77777777" w:rsidTr="008E24E1">
        <w:tc>
          <w:tcPr>
            <w:tcW w:w="1555" w:type="dxa"/>
            <w:vAlign w:val="center"/>
          </w:tcPr>
          <w:p w14:paraId="301D17E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PIP6-2</w:t>
            </w:r>
          </w:p>
        </w:tc>
        <w:tc>
          <w:tcPr>
            <w:tcW w:w="1208" w:type="dxa"/>
            <w:vAlign w:val="center"/>
          </w:tcPr>
          <w:p w14:paraId="672A504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5D57AF4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PIP6 domain GG RMMR1 carrier</w:t>
            </w:r>
          </w:p>
        </w:tc>
        <w:tc>
          <w:tcPr>
            <w:tcW w:w="1322" w:type="dxa"/>
            <w:vAlign w:val="center"/>
          </w:tcPr>
          <w:p w14:paraId="07ED1D8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2E93786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#P062-24 / TFA</w:t>
            </w:r>
          </w:p>
        </w:tc>
        <w:tc>
          <w:tcPr>
            <w:tcW w:w="889" w:type="dxa"/>
            <w:vAlign w:val="center"/>
          </w:tcPr>
          <w:p w14:paraId="6A7DBFA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752E867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3403</w:t>
            </w:r>
          </w:p>
        </w:tc>
        <w:tc>
          <w:tcPr>
            <w:tcW w:w="1185" w:type="dxa"/>
            <w:vAlign w:val="center"/>
          </w:tcPr>
          <w:p w14:paraId="14EA704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00E2523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(587.7 µM)</w:t>
            </w:r>
          </w:p>
        </w:tc>
        <w:tc>
          <w:tcPr>
            <w:tcW w:w="995" w:type="dxa"/>
            <w:vAlign w:val="center"/>
          </w:tcPr>
          <w:p w14:paraId="0578326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6F32D5B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2B86836F" w14:textId="77777777" w:rsidTr="008E24E1">
        <w:tc>
          <w:tcPr>
            <w:tcW w:w="1555" w:type="dxa"/>
            <w:vAlign w:val="center"/>
          </w:tcPr>
          <w:p w14:paraId="32EB583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PIP7-2</w:t>
            </w:r>
          </w:p>
        </w:tc>
        <w:tc>
          <w:tcPr>
            <w:tcW w:w="1208" w:type="dxa"/>
            <w:vAlign w:val="center"/>
          </w:tcPr>
          <w:p w14:paraId="09A3B3E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6838BBA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PIP7 domain GG RMMR1 carrier</w:t>
            </w:r>
          </w:p>
        </w:tc>
        <w:tc>
          <w:tcPr>
            <w:tcW w:w="1322" w:type="dxa"/>
            <w:vAlign w:val="center"/>
          </w:tcPr>
          <w:p w14:paraId="63837AE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460F31E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#P072-24 / TFA</w:t>
            </w:r>
          </w:p>
        </w:tc>
        <w:tc>
          <w:tcPr>
            <w:tcW w:w="889" w:type="dxa"/>
            <w:vAlign w:val="center"/>
          </w:tcPr>
          <w:p w14:paraId="4FFA756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56762437"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3856</w:t>
            </w:r>
          </w:p>
        </w:tc>
        <w:tc>
          <w:tcPr>
            <w:tcW w:w="1185" w:type="dxa"/>
            <w:vAlign w:val="center"/>
          </w:tcPr>
          <w:p w14:paraId="0D58363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0C2576F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(518.6 µM)</w:t>
            </w:r>
          </w:p>
        </w:tc>
        <w:tc>
          <w:tcPr>
            <w:tcW w:w="995" w:type="dxa"/>
            <w:vAlign w:val="center"/>
          </w:tcPr>
          <w:p w14:paraId="14527D9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3BA7B2E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0BC49A78" w14:textId="77777777" w:rsidTr="008E24E1">
        <w:tc>
          <w:tcPr>
            <w:tcW w:w="1555" w:type="dxa"/>
            <w:vAlign w:val="center"/>
          </w:tcPr>
          <w:p w14:paraId="626D126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PIP8-2</w:t>
            </w:r>
          </w:p>
        </w:tc>
        <w:tc>
          <w:tcPr>
            <w:tcW w:w="1208" w:type="dxa"/>
            <w:vAlign w:val="center"/>
          </w:tcPr>
          <w:p w14:paraId="0D68453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743477F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PIP8 domain GG RMMR1 carrier</w:t>
            </w:r>
          </w:p>
        </w:tc>
        <w:tc>
          <w:tcPr>
            <w:tcW w:w="1322" w:type="dxa"/>
            <w:vAlign w:val="center"/>
          </w:tcPr>
          <w:p w14:paraId="1BEA496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060E707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#P082-24 / TFA</w:t>
            </w:r>
          </w:p>
        </w:tc>
        <w:tc>
          <w:tcPr>
            <w:tcW w:w="889" w:type="dxa"/>
            <w:vAlign w:val="center"/>
          </w:tcPr>
          <w:p w14:paraId="72FCAD9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629B599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3361</w:t>
            </w:r>
          </w:p>
        </w:tc>
        <w:tc>
          <w:tcPr>
            <w:tcW w:w="1185" w:type="dxa"/>
            <w:vAlign w:val="center"/>
          </w:tcPr>
          <w:p w14:paraId="7CC8951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 mM HOAc in PBS (pH 7.0)</w:t>
            </w:r>
          </w:p>
        </w:tc>
        <w:tc>
          <w:tcPr>
            <w:tcW w:w="1001" w:type="dxa"/>
            <w:vAlign w:val="center"/>
          </w:tcPr>
          <w:p w14:paraId="360CD67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1.0 mg/mL (297.5 µM)</w:t>
            </w:r>
          </w:p>
        </w:tc>
        <w:tc>
          <w:tcPr>
            <w:tcW w:w="995" w:type="dxa"/>
            <w:vAlign w:val="center"/>
          </w:tcPr>
          <w:p w14:paraId="258C932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1CF55B8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in mildly acidic PBS</w:t>
            </w:r>
          </w:p>
        </w:tc>
      </w:tr>
      <w:tr w:rsidR="008E24E1" w:rsidRPr="00532EBB" w14:paraId="2B0F7CF4" w14:textId="77777777" w:rsidTr="008E24E1">
        <w:tc>
          <w:tcPr>
            <w:tcW w:w="1555" w:type="dxa"/>
            <w:vAlign w:val="center"/>
          </w:tcPr>
          <w:p w14:paraId="106693F6"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PIP9-2</w:t>
            </w:r>
          </w:p>
        </w:tc>
        <w:tc>
          <w:tcPr>
            <w:tcW w:w="1208" w:type="dxa"/>
            <w:vAlign w:val="center"/>
          </w:tcPr>
          <w:p w14:paraId="4A46F7D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1F9EEB2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PIP9 domain GG RMMR1 carrier</w:t>
            </w:r>
          </w:p>
        </w:tc>
        <w:tc>
          <w:tcPr>
            <w:tcW w:w="1322" w:type="dxa"/>
            <w:vAlign w:val="center"/>
          </w:tcPr>
          <w:p w14:paraId="2EAF9D7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2238D2D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#P092-24 / TFA</w:t>
            </w:r>
          </w:p>
        </w:tc>
        <w:tc>
          <w:tcPr>
            <w:tcW w:w="889" w:type="dxa"/>
            <w:vAlign w:val="center"/>
          </w:tcPr>
          <w:p w14:paraId="78FC8E0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0BE207F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4369</w:t>
            </w:r>
          </w:p>
        </w:tc>
        <w:tc>
          <w:tcPr>
            <w:tcW w:w="1185" w:type="dxa"/>
            <w:vAlign w:val="center"/>
          </w:tcPr>
          <w:p w14:paraId="7958BC7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 mM HOAc in PBS (pH 7.0)</w:t>
            </w:r>
          </w:p>
        </w:tc>
        <w:tc>
          <w:tcPr>
            <w:tcW w:w="1001" w:type="dxa"/>
            <w:vAlign w:val="center"/>
          </w:tcPr>
          <w:p w14:paraId="5C43E9D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(457.8 µM)</w:t>
            </w:r>
          </w:p>
        </w:tc>
        <w:tc>
          <w:tcPr>
            <w:tcW w:w="995" w:type="dxa"/>
            <w:vAlign w:val="center"/>
          </w:tcPr>
          <w:p w14:paraId="346FB73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3CD3F94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in mildly acidic PBS</w:t>
            </w:r>
          </w:p>
        </w:tc>
      </w:tr>
      <w:tr w:rsidR="008E24E1" w:rsidRPr="00532EBB" w14:paraId="5EF8923B" w14:textId="77777777" w:rsidTr="008E24E1">
        <w:tc>
          <w:tcPr>
            <w:tcW w:w="1555" w:type="dxa"/>
            <w:vAlign w:val="center"/>
          </w:tcPr>
          <w:p w14:paraId="0C3953CB"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PIP10-2</w:t>
            </w:r>
          </w:p>
        </w:tc>
        <w:tc>
          <w:tcPr>
            <w:tcW w:w="1208" w:type="dxa"/>
            <w:vAlign w:val="center"/>
          </w:tcPr>
          <w:p w14:paraId="0E503A3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36D6DF1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PIP10 domain GG RMMR1 carrier</w:t>
            </w:r>
          </w:p>
        </w:tc>
        <w:tc>
          <w:tcPr>
            <w:tcW w:w="1322" w:type="dxa"/>
            <w:vAlign w:val="center"/>
          </w:tcPr>
          <w:p w14:paraId="6C38961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51E4024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#P102-24 / TFA</w:t>
            </w:r>
          </w:p>
        </w:tc>
        <w:tc>
          <w:tcPr>
            <w:tcW w:w="889" w:type="dxa"/>
            <w:vAlign w:val="center"/>
          </w:tcPr>
          <w:p w14:paraId="3337F73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051302B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4339</w:t>
            </w:r>
          </w:p>
        </w:tc>
        <w:tc>
          <w:tcPr>
            <w:tcW w:w="1185" w:type="dxa"/>
            <w:vAlign w:val="center"/>
          </w:tcPr>
          <w:p w14:paraId="455D1B1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 mM HOAc in PBS (pH 7.0)</w:t>
            </w:r>
          </w:p>
        </w:tc>
        <w:tc>
          <w:tcPr>
            <w:tcW w:w="1001" w:type="dxa"/>
            <w:vAlign w:val="center"/>
          </w:tcPr>
          <w:p w14:paraId="1FE5736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1.0 mg/mL (230.5 µM)</w:t>
            </w:r>
          </w:p>
        </w:tc>
        <w:tc>
          <w:tcPr>
            <w:tcW w:w="995" w:type="dxa"/>
            <w:vAlign w:val="center"/>
          </w:tcPr>
          <w:p w14:paraId="4088669F"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4BD5AA7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Soluble in mildly acidic PBS</w:t>
            </w:r>
          </w:p>
        </w:tc>
      </w:tr>
      <w:tr w:rsidR="008E24E1" w:rsidRPr="00532EBB" w14:paraId="2FC73269" w14:textId="77777777" w:rsidTr="008E24E1">
        <w:tc>
          <w:tcPr>
            <w:tcW w:w="1555" w:type="dxa"/>
            <w:vAlign w:val="center"/>
          </w:tcPr>
          <w:p w14:paraId="010ED1D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PIP11-2</w:t>
            </w:r>
          </w:p>
        </w:tc>
        <w:tc>
          <w:tcPr>
            <w:tcW w:w="1208" w:type="dxa"/>
            <w:vAlign w:val="center"/>
          </w:tcPr>
          <w:p w14:paraId="3094772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4AACC5ED"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PIP11 domain GG RMMR1 carrier</w:t>
            </w:r>
          </w:p>
        </w:tc>
        <w:tc>
          <w:tcPr>
            <w:tcW w:w="1322" w:type="dxa"/>
            <w:vAlign w:val="center"/>
          </w:tcPr>
          <w:p w14:paraId="6131EC8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534AD319"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#P112-24 / TFA</w:t>
            </w:r>
          </w:p>
        </w:tc>
        <w:tc>
          <w:tcPr>
            <w:tcW w:w="889" w:type="dxa"/>
            <w:vAlign w:val="center"/>
          </w:tcPr>
          <w:p w14:paraId="789155C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7A956CA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3884</w:t>
            </w:r>
          </w:p>
        </w:tc>
        <w:tc>
          <w:tcPr>
            <w:tcW w:w="1185" w:type="dxa"/>
            <w:vAlign w:val="center"/>
          </w:tcPr>
          <w:p w14:paraId="5175C165"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2D89163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(515.0 µM)</w:t>
            </w:r>
          </w:p>
        </w:tc>
        <w:tc>
          <w:tcPr>
            <w:tcW w:w="995" w:type="dxa"/>
            <w:vAlign w:val="center"/>
          </w:tcPr>
          <w:p w14:paraId="7F26CDC4"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0EB0CD7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r w:rsidR="008E24E1" w:rsidRPr="00532EBB" w14:paraId="20D82F9C" w14:textId="77777777" w:rsidTr="008E24E1">
        <w:tc>
          <w:tcPr>
            <w:tcW w:w="1555" w:type="dxa"/>
            <w:vAlign w:val="center"/>
          </w:tcPr>
          <w:p w14:paraId="07E5BA5E"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PIP12-2</w:t>
            </w:r>
          </w:p>
        </w:tc>
        <w:tc>
          <w:tcPr>
            <w:tcW w:w="1208" w:type="dxa"/>
            <w:vAlign w:val="center"/>
          </w:tcPr>
          <w:p w14:paraId="132B61EC"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N: Ac / C: Amide</w:t>
            </w:r>
          </w:p>
        </w:tc>
        <w:tc>
          <w:tcPr>
            <w:tcW w:w="2448" w:type="dxa"/>
            <w:vAlign w:val="center"/>
          </w:tcPr>
          <w:p w14:paraId="02584FF0"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PIP12 domain GG RMMR1 carrier</w:t>
            </w:r>
          </w:p>
        </w:tc>
        <w:tc>
          <w:tcPr>
            <w:tcW w:w="1322" w:type="dxa"/>
            <w:vAlign w:val="center"/>
          </w:tcPr>
          <w:p w14:paraId="10FF5C51"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Fmoc-SPPS (Peptron)</w:t>
            </w:r>
          </w:p>
        </w:tc>
        <w:tc>
          <w:tcPr>
            <w:tcW w:w="1030" w:type="dxa"/>
            <w:vAlign w:val="center"/>
          </w:tcPr>
          <w:p w14:paraId="2F8556C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Lot #P122-24 / TFA</w:t>
            </w:r>
          </w:p>
        </w:tc>
        <w:tc>
          <w:tcPr>
            <w:tcW w:w="889" w:type="dxa"/>
            <w:vAlign w:val="center"/>
          </w:tcPr>
          <w:p w14:paraId="295E3E53"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&gt;95% (HPLC)</w:t>
            </w:r>
          </w:p>
        </w:tc>
        <w:tc>
          <w:tcPr>
            <w:tcW w:w="920" w:type="dxa"/>
            <w:vAlign w:val="center"/>
          </w:tcPr>
          <w:p w14:paraId="1F89B49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4281</w:t>
            </w:r>
          </w:p>
        </w:tc>
        <w:tc>
          <w:tcPr>
            <w:tcW w:w="1185" w:type="dxa"/>
            <w:vAlign w:val="center"/>
          </w:tcPr>
          <w:p w14:paraId="00E10448"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Sterile PBS (pH 7.4)</w:t>
            </w:r>
          </w:p>
        </w:tc>
        <w:tc>
          <w:tcPr>
            <w:tcW w:w="1001" w:type="dxa"/>
            <w:vAlign w:val="center"/>
          </w:tcPr>
          <w:p w14:paraId="536DFD52"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2.0 mg/mL (467.2 µM)</w:t>
            </w:r>
          </w:p>
        </w:tc>
        <w:tc>
          <w:tcPr>
            <w:tcW w:w="995" w:type="dxa"/>
            <w:vAlign w:val="center"/>
          </w:tcPr>
          <w:p w14:paraId="3D9C115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-80°C; F/T ≤2</w:t>
            </w:r>
          </w:p>
        </w:tc>
        <w:tc>
          <w:tcPr>
            <w:tcW w:w="1464" w:type="dxa"/>
            <w:vAlign w:val="center"/>
          </w:tcPr>
          <w:p w14:paraId="2752717A" w14:textId="77777777" w:rsidR="00907672" w:rsidRPr="00532EBB" w:rsidRDefault="00907672" w:rsidP="00532EBB">
            <w:pPr>
              <w:snapToGrid w:val="0"/>
              <w:spacing w:after="0" w:line="222" w:lineRule="auto"/>
              <w:jc w:val="center"/>
              <w:rPr>
                <w:rFonts w:ascii="Times New Roman" w:hAnsi="Times New Roman" w:cs="Times New Roman"/>
                <w:color w:val="000000" w:themeColor="text1"/>
                <w:szCs w:val="18"/>
              </w:rPr>
            </w:pPr>
            <w:r>
              <w:rPr>
                <w:rFonts w:ascii="Times New Roman" w:hAnsi="Times New Roman" w:cs="Times New Roman"/>
                <w:color w:val="000000" w:themeColor="text1"/>
                <w:szCs w:val="18"/>
              </w:rPr>
              <w:t>Freely soluble in PBS</w:t>
            </w:r>
          </w:p>
        </w:tc>
      </w:tr>
    </w:tbl>
    <w:p w14:paraId="20A748CB" w14:textId="77777777" w:rsidR="00907672" w:rsidRPr="008E24E1" w:rsidRDefault="00907672" w:rsidP="00907672">
      <w:pPr>
        <w:spacing w:before="160" w:after="40"/>
        <w:rPr>
          <w:rFonts w:ascii="Times New Roman" w:hAnsi="Times New Roman" w:cs="Times New Roman"/>
        </w:rPr>
      </w:pPr>
      <w:r>
        <w:rPr>
          <w:rFonts w:ascii="Times New Roman" w:hAnsi="Times New Roman" w:cs="Times New Roman"/>
          <w:color w:val="666666"/>
          <w:sz w:val="15"/>
        </w:rPr>
        <w:t>Abbreviations: Ac, acetyl; Amide, C-terminal -CONH2; CPP, cell-penetrating peptide; F/T, freeze-thaw cycles; Fmoc-SPPS, fluorenylmethoxycarbonyl solid-phase peptide synthesis; HOAc, acetic acid; HPLC, high-performance liquid chromatography; M.W., molecular weight (daltons); NBE, Neurobasal/N2/B27/EGF/bFGF complete culture medium; PBS, phosphate-buffered saline; PIP, phosphatidylinositol phosphate-binding motif; RMAD1 / RMMR1, polybasic arginine-rich carrier motifs; TFA, trifluoroacetic acid salt.</w:t>
      </w:r>
      <w:r>
        <w:rPr>
          <w:rFonts w:ascii="Times New Roman" w:hAnsi="Times New Roman" w:cs="Times New Roman"/>
          <w:color w:val="666666"/>
          <w:sz w:val="15"/>
        </w:rPr>
        <w:br/>
        <w:t>Note: Analytical purity determined by reverse-phase HPLC (C18 column, linear gradient acetonitrile/water containing 0.1% TFA, detection at 214/220 nm). Observed molecular weights validated via electrospray ionization liquid chromatography-mass spectrometry (ESI-LC/MS). Freeze-thaw stability evaluated by HPLC peak retention and visual dissolution assessment.</w:t>
      </w:r>
    </w:p>
    <w:p w14:paraId="435D3EA7" w14:textId="77777777" w:rsidR="00907672" w:rsidRPr="008E24E1" w:rsidRDefault="00907672" w:rsidP="00907672">
      <w:pPr>
        <w:rPr>
          <w:rFonts w:ascii="Times New Roman" w:hAnsi="Times New Roman" w:cs="Times New Roman"/>
        </w:rPr>
      </w:pPr>
      <w:r>
        <w:rPr>
          <w:rFonts w:ascii="Times New Roman" w:hAnsi="Times New Roman" w:cs="Times New Roman"/>
        </w:rPr>
        <w:br w:type="page"/>
      </w:r>
    </w:p>
    <w:p w14:paraId="02B90500" w14:textId="77777777" w:rsidR="008E24E1" w:rsidRPr="0074469D" w:rsidRDefault="008E24E1">
      <w:pPr>
        <w:spacing w:after="100"/>
        <w:rPr>
          <w:rFonts w:ascii="Times New Roman" w:eastAsiaTheme="majorEastAsia" w:hAnsi="Times New Roman" w:cs="Times New Roman"/>
          <w:b/>
          <w:color w:val="000000" w:themeColor="text1"/>
          <w:spacing w:val="5"/>
          <w:kern w:val="28"/>
          <w:sz w:val="28"/>
          <w:szCs w:val="52"/>
        </w:rPr>
      </w:pPr>
      <w:bookmarkStart w:id="0" w:name="_GoBack"/>
      <w:r w:rsidRPr="0074469D">
        <w:rPr>
          <w:rFonts w:ascii="Times New Roman" w:eastAsiaTheme="majorEastAsia" w:hAnsi="Times New Roman" w:cs="Times New Roman"/>
          <w:b/>
          <w:color w:val="000000" w:themeColor="text1"/>
          <w:spacing w:val="5"/>
          <w:kern w:val="28"/>
          <w:sz w:val="28"/>
          <w:szCs w:val="52"/>
        </w:rPr>
        <w:lastRenderedPageBreak/>
        <w:t>Supplementary Table S2</w:t>
      </w:r>
    </w:p>
    <w:bookmarkEnd w:id="0"/>
    <w:p w14:paraId="0F0190D8" w14:textId="77777777" w:rsidR="00633E9E" w:rsidRPr="008E24E1" w:rsidRDefault="004014B5">
      <w:pPr>
        <w:spacing w:after="100"/>
        <w:rPr>
          <w:rFonts w:ascii="Times New Roman" w:hAnsi="Times New Roman" w:cs="Times New Roman"/>
          <w:sz w:val="24"/>
        </w:rPr>
      </w:pPr>
      <w:r>
        <w:rPr>
          <w:rFonts w:ascii="Times New Roman" w:hAnsi="Times New Roman" w:cs="Times New Roman"/>
          <w:b/>
          <w:sz w:val="24"/>
        </w:rPr>
        <w:t>Patient-derived and murine model panel with PTEN and PIP4K2A protein status and experimental use</w:t>
      </w:r>
    </w:p>
    <w:tbl>
      <w:tblPr>
        <w:tblStyle w:val="af9"/>
        <w:tblW w:w="0" w:type="auto"/>
        <w:tblLayout w:type="fixed"/>
        <w:tblLook w:val="04A0" w:firstRow="1" w:lastRow="0" w:firstColumn="1" w:lastColumn="0" w:noHBand="0" w:noVBand="1"/>
      </w:tblPr>
      <w:tblGrid>
        <w:gridCol w:w="1656"/>
        <w:gridCol w:w="2088"/>
        <w:gridCol w:w="1656"/>
        <w:gridCol w:w="1440"/>
        <w:gridCol w:w="1584"/>
        <w:gridCol w:w="5760"/>
      </w:tblGrid>
      <w:tr w:rsidR="008E24E1" w:rsidRPr="008E24E1" w14:paraId="07AE6202" w14:textId="77777777" w:rsidTr="008E24E1">
        <w:tc>
          <w:tcPr>
            <w:tcW w:w="1656" w:type="dxa"/>
            <w:shd w:val="clear" w:color="auto" w:fill="D9D9D9" w:themeFill="background1" w:themeFillShade="D9"/>
            <w:vAlign w:val="center"/>
          </w:tcPr>
          <w:p w14:paraId="4A1E58A8" w14:textId="77777777" w:rsidR="00633E9E" w:rsidRPr="00532EBB" w:rsidRDefault="004014B5" w:rsidP="008E24E1">
            <w:pPr>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Model</w:t>
            </w:r>
          </w:p>
        </w:tc>
        <w:tc>
          <w:tcPr>
            <w:tcW w:w="2088" w:type="dxa"/>
            <w:shd w:val="clear" w:color="auto" w:fill="D9D9D9" w:themeFill="background1" w:themeFillShade="D9"/>
            <w:vAlign w:val="center"/>
          </w:tcPr>
          <w:p w14:paraId="093BF9A1" w14:textId="77777777" w:rsidR="00633E9E" w:rsidRPr="00532EBB" w:rsidRDefault="004014B5" w:rsidP="008E24E1">
            <w:pPr>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Model type</w:t>
            </w:r>
          </w:p>
        </w:tc>
        <w:tc>
          <w:tcPr>
            <w:tcW w:w="1656" w:type="dxa"/>
            <w:shd w:val="clear" w:color="auto" w:fill="D9D9D9" w:themeFill="background1" w:themeFillShade="D9"/>
            <w:vAlign w:val="center"/>
          </w:tcPr>
          <w:p w14:paraId="5CE44BBC" w14:textId="77777777" w:rsidR="00633E9E" w:rsidRPr="00532EBB" w:rsidRDefault="004014B5" w:rsidP="008E24E1">
            <w:pPr>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Species and context</w:t>
            </w:r>
          </w:p>
        </w:tc>
        <w:tc>
          <w:tcPr>
            <w:tcW w:w="1440" w:type="dxa"/>
            <w:shd w:val="clear" w:color="auto" w:fill="D9D9D9" w:themeFill="background1" w:themeFillShade="D9"/>
            <w:vAlign w:val="center"/>
          </w:tcPr>
          <w:p w14:paraId="3D3A589E" w14:textId="77777777" w:rsidR="00633E9E" w:rsidRPr="00532EBB" w:rsidRDefault="004014B5" w:rsidP="008E24E1">
            <w:pPr>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PTEN protein status</w:t>
            </w:r>
          </w:p>
        </w:tc>
        <w:tc>
          <w:tcPr>
            <w:tcW w:w="1584" w:type="dxa"/>
            <w:shd w:val="clear" w:color="auto" w:fill="D9D9D9" w:themeFill="background1" w:themeFillShade="D9"/>
            <w:vAlign w:val="center"/>
          </w:tcPr>
          <w:p w14:paraId="02667FC4" w14:textId="77777777" w:rsidR="00633E9E" w:rsidRPr="00532EBB" w:rsidRDefault="004014B5" w:rsidP="008E24E1">
            <w:pPr>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PIP4K2A protein status</w:t>
            </w:r>
          </w:p>
        </w:tc>
        <w:tc>
          <w:tcPr>
            <w:tcW w:w="5760" w:type="dxa"/>
            <w:shd w:val="clear" w:color="auto" w:fill="D9D9D9" w:themeFill="background1" w:themeFillShade="D9"/>
            <w:vAlign w:val="center"/>
          </w:tcPr>
          <w:p w14:paraId="314037EE" w14:textId="77777777" w:rsidR="00633E9E" w:rsidRPr="00532EBB" w:rsidRDefault="004014B5" w:rsidP="008E24E1">
            <w:pPr>
              <w:jc w:val="center"/>
              <w:rPr>
                <w:rFonts w:ascii="Times New Roman" w:hAnsi="Times New Roman" w:cs="Times New Roman"/>
                <w:color w:val="000000" w:themeColor="text1"/>
                <w:szCs w:val="18"/>
              </w:rPr>
            </w:pPr>
            <w:r>
              <w:rPr>
                <w:rFonts w:ascii="Times New Roman" w:hAnsi="Times New Roman" w:cs="Times New Roman"/>
                <w:b/>
                <w:color w:val="000000" w:themeColor="text1"/>
                <w:szCs w:val="18"/>
              </w:rPr>
              <w:t>Experimental use in this study</w:t>
            </w:r>
          </w:p>
        </w:tc>
      </w:tr>
      <w:tr w:rsidR="008E24E1" w:rsidRPr="00BB2D36" w14:paraId="44FAB435" w14:textId="77777777" w:rsidTr="008E24E1">
        <w:tc>
          <w:tcPr>
            <w:tcW w:w="1656" w:type="dxa"/>
            <w:vAlign w:val="center"/>
          </w:tcPr>
          <w:p w14:paraId="47F2A837"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NHA</w:t>
            </w:r>
          </w:p>
        </w:tc>
        <w:tc>
          <w:tcPr>
            <w:tcW w:w="2088" w:type="dxa"/>
            <w:vAlign w:val="center"/>
          </w:tcPr>
          <w:p w14:paraId="432C1661"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Normal human astrocytes</w:t>
            </w:r>
          </w:p>
        </w:tc>
        <w:tc>
          <w:tcPr>
            <w:tcW w:w="1656" w:type="dxa"/>
            <w:vAlign w:val="center"/>
          </w:tcPr>
          <w:p w14:paraId="0D635D42"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nonmalignant reference</w:t>
            </w:r>
          </w:p>
        </w:tc>
        <w:tc>
          <w:tcPr>
            <w:tcW w:w="1440" w:type="dxa"/>
            <w:vAlign w:val="center"/>
          </w:tcPr>
          <w:p w14:paraId="37FD7489"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Detected</w:t>
            </w:r>
          </w:p>
        </w:tc>
        <w:tc>
          <w:tcPr>
            <w:tcW w:w="1584" w:type="dxa"/>
            <w:vAlign w:val="center"/>
          </w:tcPr>
          <w:p w14:paraId="116C7128"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Detected</w:t>
            </w:r>
          </w:p>
        </w:tc>
        <w:tc>
          <w:tcPr>
            <w:tcW w:w="5760" w:type="dxa"/>
            <w:vAlign w:val="center"/>
          </w:tcPr>
          <w:p w14:paraId="083DC6A7"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Immunoblot reference</w:t>
            </w:r>
          </w:p>
        </w:tc>
      </w:tr>
      <w:tr w:rsidR="008E24E1" w:rsidRPr="00BB2D36" w14:paraId="10BF2410" w14:textId="77777777" w:rsidTr="008E24E1">
        <w:tc>
          <w:tcPr>
            <w:tcW w:w="1656" w:type="dxa"/>
            <w:vAlign w:val="center"/>
          </w:tcPr>
          <w:p w14:paraId="60E0304A" w14:textId="77777777" w:rsidR="00633E9E" w:rsidRPr="00BB2D36" w:rsidRDefault="0023018E"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PDC1</w:t>
            </w:r>
          </w:p>
        </w:tc>
        <w:tc>
          <w:tcPr>
            <w:tcW w:w="2088" w:type="dxa"/>
            <w:vAlign w:val="center"/>
          </w:tcPr>
          <w:p w14:paraId="13A97B53"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Patient-derived glioblastoma culture</w:t>
            </w:r>
          </w:p>
        </w:tc>
        <w:tc>
          <w:tcPr>
            <w:tcW w:w="1656" w:type="dxa"/>
            <w:vAlign w:val="center"/>
          </w:tcPr>
          <w:p w14:paraId="67ECDCF7"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glioblastoma</w:t>
            </w:r>
          </w:p>
        </w:tc>
        <w:tc>
          <w:tcPr>
            <w:tcW w:w="1440" w:type="dxa"/>
            <w:vAlign w:val="center"/>
          </w:tcPr>
          <w:p w14:paraId="04E5EA51"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detected</w:t>
            </w:r>
          </w:p>
        </w:tc>
        <w:tc>
          <w:tcPr>
            <w:tcW w:w="1584" w:type="dxa"/>
            <w:vAlign w:val="center"/>
          </w:tcPr>
          <w:p w14:paraId="035ADF33"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detected</w:t>
            </w:r>
          </w:p>
        </w:tc>
        <w:tc>
          <w:tcPr>
            <w:tcW w:w="5760" w:type="dxa"/>
            <w:vAlign w:val="center"/>
          </w:tcPr>
          <w:p w14:paraId="50315CBA"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Initial 2D and 3D peptide screening; concentration-response assays; peptide–temozolomide testing</w:t>
            </w:r>
          </w:p>
        </w:tc>
      </w:tr>
      <w:tr w:rsidR="008E24E1" w:rsidRPr="00BB2D36" w14:paraId="748F7D66" w14:textId="77777777" w:rsidTr="008E24E1">
        <w:tc>
          <w:tcPr>
            <w:tcW w:w="1656" w:type="dxa"/>
            <w:vAlign w:val="center"/>
          </w:tcPr>
          <w:p w14:paraId="0FD74126" w14:textId="77777777" w:rsidR="00633E9E" w:rsidRPr="00BB2D36" w:rsidRDefault="0023018E"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PDC2</w:t>
            </w:r>
          </w:p>
        </w:tc>
        <w:tc>
          <w:tcPr>
            <w:tcW w:w="2088" w:type="dxa"/>
            <w:vAlign w:val="center"/>
          </w:tcPr>
          <w:p w14:paraId="4FEAFF48"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Patient-derived glioblastoma culture</w:t>
            </w:r>
          </w:p>
        </w:tc>
        <w:tc>
          <w:tcPr>
            <w:tcW w:w="1656" w:type="dxa"/>
            <w:vAlign w:val="center"/>
          </w:tcPr>
          <w:p w14:paraId="05505B01"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glioblastoma</w:t>
            </w:r>
          </w:p>
        </w:tc>
        <w:tc>
          <w:tcPr>
            <w:tcW w:w="1440" w:type="dxa"/>
            <w:vAlign w:val="center"/>
          </w:tcPr>
          <w:p w14:paraId="76BFF3C7"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Detected</w:t>
            </w:r>
          </w:p>
        </w:tc>
        <w:tc>
          <w:tcPr>
            <w:tcW w:w="1584" w:type="dxa"/>
            <w:vAlign w:val="center"/>
          </w:tcPr>
          <w:p w14:paraId="3CF7FEE5"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detected</w:t>
            </w:r>
          </w:p>
        </w:tc>
        <w:tc>
          <w:tcPr>
            <w:tcW w:w="5760" w:type="dxa"/>
            <w:vAlign w:val="center"/>
          </w:tcPr>
          <w:p w14:paraId="10FA7CB9"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PTEN/PIP4K2A molecular characterization</w:t>
            </w:r>
          </w:p>
        </w:tc>
      </w:tr>
      <w:tr w:rsidR="008E24E1" w:rsidRPr="00BB2D36" w14:paraId="4FB4E5E6" w14:textId="77777777" w:rsidTr="008E24E1">
        <w:tc>
          <w:tcPr>
            <w:tcW w:w="1656" w:type="dxa"/>
            <w:vAlign w:val="center"/>
          </w:tcPr>
          <w:p w14:paraId="3FCABB19" w14:textId="77777777" w:rsidR="00633E9E" w:rsidRPr="00BB2D36" w:rsidRDefault="0023018E"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PDC3</w:t>
            </w:r>
          </w:p>
        </w:tc>
        <w:tc>
          <w:tcPr>
            <w:tcW w:w="2088" w:type="dxa"/>
            <w:vAlign w:val="center"/>
          </w:tcPr>
          <w:p w14:paraId="5F789076"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Patient-derived glioblastoma culture</w:t>
            </w:r>
          </w:p>
        </w:tc>
        <w:tc>
          <w:tcPr>
            <w:tcW w:w="1656" w:type="dxa"/>
            <w:vAlign w:val="center"/>
          </w:tcPr>
          <w:p w14:paraId="2F4AEBAA"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glioblastoma</w:t>
            </w:r>
          </w:p>
        </w:tc>
        <w:tc>
          <w:tcPr>
            <w:tcW w:w="1440" w:type="dxa"/>
            <w:vAlign w:val="center"/>
          </w:tcPr>
          <w:p w14:paraId="683FA8B4"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Detected</w:t>
            </w:r>
          </w:p>
        </w:tc>
        <w:tc>
          <w:tcPr>
            <w:tcW w:w="1584" w:type="dxa"/>
            <w:vAlign w:val="center"/>
          </w:tcPr>
          <w:p w14:paraId="6D37FA53"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detected</w:t>
            </w:r>
          </w:p>
        </w:tc>
        <w:tc>
          <w:tcPr>
            <w:tcW w:w="5760" w:type="dxa"/>
            <w:vAlign w:val="center"/>
          </w:tcPr>
          <w:p w14:paraId="178B2270"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PTEN/PIP4K2A molecular characterization</w:t>
            </w:r>
          </w:p>
        </w:tc>
      </w:tr>
      <w:tr w:rsidR="008E24E1" w:rsidRPr="00BB2D36" w14:paraId="1A512F1C" w14:textId="77777777" w:rsidTr="008E24E1">
        <w:tc>
          <w:tcPr>
            <w:tcW w:w="1656" w:type="dxa"/>
            <w:vAlign w:val="center"/>
          </w:tcPr>
          <w:p w14:paraId="69E47FC5" w14:textId="77777777" w:rsidR="00633E9E" w:rsidRPr="00BB2D36" w:rsidRDefault="0023018E"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PDC4</w:t>
            </w:r>
          </w:p>
        </w:tc>
        <w:tc>
          <w:tcPr>
            <w:tcW w:w="2088" w:type="dxa"/>
            <w:vAlign w:val="center"/>
          </w:tcPr>
          <w:p w14:paraId="7E0692E3"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Patient-derived glioblastoma culture and xenograft</w:t>
            </w:r>
          </w:p>
        </w:tc>
        <w:tc>
          <w:tcPr>
            <w:tcW w:w="1656" w:type="dxa"/>
            <w:vAlign w:val="center"/>
          </w:tcPr>
          <w:p w14:paraId="5D3E0500"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glioblastoma</w:t>
            </w:r>
          </w:p>
        </w:tc>
        <w:tc>
          <w:tcPr>
            <w:tcW w:w="1440" w:type="dxa"/>
            <w:vAlign w:val="center"/>
          </w:tcPr>
          <w:p w14:paraId="2F52B8A1"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detected</w:t>
            </w:r>
          </w:p>
        </w:tc>
        <w:tc>
          <w:tcPr>
            <w:tcW w:w="1584" w:type="dxa"/>
            <w:vAlign w:val="center"/>
          </w:tcPr>
          <w:p w14:paraId="1381B3FC"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detected</w:t>
            </w:r>
          </w:p>
        </w:tc>
        <w:tc>
          <w:tcPr>
            <w:tcW w:w="5760" w:type="dxa"/>
            <w:vAlign w:val="center"/>
          </w:tcPr>
          <w:p w14:paraId="71E28690"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Fixed-dose peptide testing; peptide optimization; peptide–temozolomide testing; subcutaneous xenograft pilot</w:t>
            </w:r>
          </w:p>
        </w:tc>
      </w:tr>
      <w:tr w:rsidR="008E24E1" w:rsidRPr="00BB2D36" w14:paraId="0EB78770" w14:textId="77777777" w:rsidTr="008E24E1">
        <w:tc>
          <w:tcPr>
            <w:tcW w:w="1656" w:type="dxa"/>
            <w:vAlign w:val="center"/>
          </w:tcPr>
          <w:p w14:paraId="3789151F" w14:textId="77777777" w:rsidR="00633E9E" w:rsidRPr="00BB2D36" w:rsidRDefault="0023018E"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PDC5</w:t>
            </w:r>
          </w:p>
        </w:tc>
        <w:tc>
          <w:tcPr>
            <w:tcW w:w="2088" w:type="dxa"/>
            <w:vAlign w:val="center"/>
          </w:tcPr>
          <w:p w14:paraId="20FC18D6"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Patient-derived glioblastoma culture</w:t>
            </w:r>
          </w:p>
        </w:tc>
        <w:tc>
          <w:tcPr>
            <w:tcW w:w="1656" w:type="dxa"/>
            <w:vAlign w:val="center"/>
          </w:tcPr>
          <w:p w14:paraId="025183AA"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glioblastoma</w:t>
            </w:r>
          </w:p>
        </w:tc>
        <w:tc>
          <w:tcPr>
            <w:tcW w:w="1440" w:type="dxa"/>
            <w:vAlign w:val="center"/>
          </w:tcPr>
          <w:p w14:paraId="0C34D3E6"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detected</w:t>
            </w:r>
          </w:p>
        </w:tc>
        <w:tc>
          <w:tcPr>
            <w:tcW w:w="1584" w:type="dxa"/>
            <w:vAlign w:val="center"/>
          </w:tcPr>
          <w:p w14:paraId="61B1C871"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Detected</w:t>
            </w:r>
          </w:p>
        </w:tc>
        <w:tc>
          <w:tcPr>
            <w:tcW w:w="5760" w:type="dxa"/>
            <w:vAlign w:val="center"/>
          </w:tcPr>
          <w:p w14:paraId="7C63761F"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PTEN/PIP4K2A molecular characterization</w:t>
            </w:r>
          </w:p>
        </w:tc>
      </w:tr>
      <w:tr w:rsidR="008E24E1" w:rsidRPr="00BB2D36" w14:paraId="054E7C19" w14:textId="77777777" w:rsidTr="008E24E1">
        <w:tc>
          <w:tcPr>
            <w:tcW w:w="1656" w:type="dxa"/>
            <w:vAlign w:val="center"/>
          </w:tcPr>
          <w:p w14:paraId="31D3970D" w14:textId="77777777" w:rsidR="00633E9E" w:rsidRPr="00BB2D36" w:rsidRDefault="0023018E"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PDC6</w:t>
            </w:r>
          </w:p>
        </w:tc>
        <w:tc>
          <w:tcPr>
            <w:tcW w:w="2088" w:type="dxa"/>
            <w:vAlign w:val="center"/>
          </w:tcPr>
          <w:p w14:paraId="1D568C84"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Patient-derived glioblastoma culture</w:t>
            </w:r>
          </w:p>
        </w:tc>
        <w:tc>
          <w:tcPr>
            <w:tcW w:w="1656" w:type="dxa"/>
            <w:vAlign w:val="center"/>
          </w:tcPr>
          <w:p w14:paraId="1C595FAC"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glioblastoma</w:t>
            </w:r>
          </w:p>
        </w:tc>
        <w:tc>
          <w:tcPr>
            <w:tcW w:w="1440" w:type="dxa"/>
            <w:vAlign w:val="center"/>
          </w:tcPr>
          <w:p w14:paraId="2BB81A69"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Detected</w:t>
            </w:r>
          </w:p>
        </w:tc>
        <w:tc>
          <w:tcPr>
            <w:tcW w:w="1584" w:type="dxa"/>
            <w:vAlign w:val="center"/>
          </w:tcPr>
          <w:p w14:paraId="50D9E837"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Weakly detected</w:t>
            </w:r>
          </w:p>
        </w:tc>
        <w:tc>
          <w:tcPr>
            <w:tcW w:w="5760" w:type="dxa"/>
            <w:vAlign w:val="center"/>
          </w:tcPr>
          <w:p w14:paraId="52AE570D"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PTEN/PIP4K2A molecular characterization</w:t>
            </w:r>
          </w:p>
        </w:tc>
      </w:tr>
      <w:tr w:rsidR="008E24E1" w:rsidRPr="00BB2D36" w14:paraId="30B3D18E" w14:textId="77777777" w:rsidTr="008E24E1">
        <w:tc>
          <w:tcPr>
            <w:tcW w:w="1656" w:type="dxa"/>
            <w:vAlign w:val="center"/>
          </w:tcPr>
          <w:p w14:paraId="2EFB6D8D" w14:textId="77777777" w:rsidR="00633E9E" w:rsidRPr="00BB2D36" w:rsidRDefault="0023018E"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PDC7</w:t>
            </w:r>
          </w:p>
        </w:tc>
        <w:tc>
          <w:tcPr>
            <w:tcW w:w="2088" w:type="dxa"/>
            <w:vAlign w:val="center"/>
          </w:tcPr>
          <w:p w14:paraId="7EA682F9"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Patient-derived glioblastoma culture</w:t>
            </w:r>
          </w:p>
        </w:tc>
        <w:tc>
          <w:tcPr>
            <w:tcW w:w="1656" w:type="dxa"/>
            <w:vAlign w:val="center"/>
          </w:tcPr>
          <w:p w14:paraId="54FB98F8"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glioblastoma</w:t>
            </w:r>
          </w:p>
        </w:tc>
        <w:tc>
          <w:tcPr>
            <w:tcW w:w="1440" w:type="dxa"/>
            <w:vAlign w:val="center"/>
          </w:tcPr>
          <w:p w14:paraId="53284E84"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detected</w:t>
            </w:r>
          </w:p>
        </w:tc>
        <w:tc>
          <w:tcPr>
            <w:tcW w:w="1584" w:type="dxa"/>
            <w:vAlign w:val="center"/>
          </w:tcPr>
          <w:p w14:paraId="4C58F16C"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Weakly detected</w:t>
            </w:r>
          </w:p>
        </w:tc>
        <w:tc>
          <w:tcPr>
            <w:tcW w:w="5760" w:type="dxa"/>
            <w:vAlign w:val="center"/>
          </w:tcPr>
          <w:p w14:paraId="0B32A36A"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Fixed-dose peptide-response experiment; included in the Figure 2A immunoblot</w:t>
            </w:r>
          </w:p>
        </w:tc>
      </w:tr>
      <w:tr w:rsidR="008E24E1" w:rsidRPr="00BB2D36" w14:paraId="223BF554" w14:textId="77777777" w:rsidTr="008E24E1">
        <w:tc>
          <w:tcPr>
            <w:tcW w:w="1656" w:type="dxa"/>
            <w:vAlign w:val="center"/>
          </w:tcPr>
          <w:p w14:paraId="7D7B0954"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GL26</w:t>
            </w:r>
          </w:p>
        </w:tc>
        <w:tc>
          <w:tcPr>
            <w:tcW w:w="2088" w:type="dxa"/>
            <w:vAlign w:val="center"/>
          </w:tcPr>
          <w:p w14:paraId="7421C610"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Murine glioma cell line</w:t>
            </w:r>
          </w:p>
        </w:tc>
        <w:tc>
          <w:tcPr>
            <w:tcW w:w="1656" w:type="dxa"/>
            <w:vAlign w:val="center"/>
          </w:tcPr>
          <w:p w14:paraId="4EB8390A"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Mouse glioma</w:t>
            </w:r>
          </w:p>
        </w:tc>
        <w:tc>
          <w:tcPr>
            <w:tcW w:w="1440" w:type="dxa"/>
            <w:vAlign w:val="center"/>
          </w:tcPr>
          <w:p w14:paraId="0C711DC3"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PTEN-deficient</w:t>
            </w:r>
          </w:p>
        </w:tc>
        <w:tc>
          <w:tcPr>
            <w:tcW w:w="1584" w:type="dxa"/>
            <w:vAlign w:val="center"/>
          </w:tcPr>
          <w:p w14:paraId="6A8F6F3E"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evaluated</w:t>
            </w:r>
          </w:p>
        </w:tc>
        <w:tc>
          <w:tcPr>
            <w:tcW w:w="5760" w:type="dxa"/>
            <w:vAlign w:val="center"/>
          </w:tcPr>
          <w:p w14:paraId="1BABA093"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Exploratory PTEN-differential peptide and temozolomide viability comparison</w:t>
            </w:r>
          </w:p>
        </w:tc>
      </w:tr>
      <w:tr w:rsidR="008E24E1" w:rsidRPr="00BB2D36" w14:paraId="28C3B175" w14:textId="77777777" w:rsidTr="008E24E1">
        <w:tc>
          <w:tcPr>
            <w:tcW w:w="1656" w:type="dxa"/>
            <w:vAlign w:val="center"/>
          </w:tcPr>
          <w:p w14:paraId="713F6DC1"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GL261</w:t>
            </w:r>
          </w:p>
        </w:tc>
        <w:tc>
          <w:tcPr>
            <w:tcW w:w="2088" w:type="dxa"/>
            <w:vAlign w:val="center"/>
          </w:tcPr>
          <w:p w14:paraId="296287F1"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Murine glioma cell line</w:t>
            </w:r>
          </w:p>
        </w:tc>
        <w:tc>
          <w:tcPr>
            <w:tcW w:w="1656" w:type="dxa"/>
            <w:vAlign w:val="center"/>
          </w:tcPr>
          <w:p w14:paraId="4405E1B9"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Mouse glioma</w:t>
            </w:r>
          </w:p>
        </w:tc>
        <w:tc>
          <w:tcPr>
            <w:tcW w:w="1440" w:type="dxa"/>
            <w:vAlign w:val="center"/>
          </w:tcPr>
          <w:p w14:paraId="30B14063"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PTEN-expressing</w:t>
            </w:r>
          </w:p>
        </w:tc>
        <w:tc>
          <w:tcPr>
            <w:tcW w:w="1584" w:type="dxa"/>
            <w:vAlign w:val="center"/>
          </w:tcPr>
          <w:p w14:paraId="1AFFE910"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evaluated</w:t>
            </w:r>
          </w:p>
        </w:tc>
        <w:tc>
          <w:tcPr>
            <w:tcW w:w="5760" w:type="dxa"/>
            <w:vAlign w:val="center"/>
          </w:tcPr>
          <w:p w14:paraId="669CCF25"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Exploratory PTEN-differential peptide and temozolomide viability comparison</w:t>
            </w:r>
          </w:p>
        </w:tc>
      </w:tr>
      <w:tr w:rsidR="008E24E1" w:rsidRPr="00BB2D36" w14:paraId="64679F25" w14:textId="77777777" w:rsidTr="008E24E1">
        <w:tc>
          <w:tcPr>
            <w:tcW w:w="1656" w:type="dxa"/>
            <w:vAlign w:val="center"/>
          </w:tcPr>
          <w:p w14:paraId="767BA85F"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HaCaT</w:t>
            </w:r>
          </w:p>
        </w:tc>
        <w:tc>
          <w:tcPr>
            <w:tcW w:w="2088" w:type="dxa"/>
            <w:vAlign w:val="center"/>
          </w:tcPr>
          <w:p w14:paraId="00F740AC"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Keratinocyte cell line</w:t>
            </w:r>
          </w:p>
        </w:tc>
        <w:tc>
          <w:tcPr>
            <w:tcW w:w="1656" w:type="dxa"/>
            <w:vAlign w:val="center"/>
          </w:tcPr>
          <w:p w14:paraId="2878B936"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nonmalignant</w:t>
            </w:r>
          </w:p>
        </w:tc>
        <w:tc>
          <w:tcPr>
            <w:tcW w:w="1440" w:type="dxa"/>
            <w:vAlign w:val="center"/>
          </w:tcPr>
          <w:p w14:paraId="3A662556"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evaluated</w:t>
            </w:r>
          </w:p>
        </w:tc>
        <w:tc>
          <w:tcPr>
            <w:tcW w:w="1584" w:type="dxa"/>
            <w:vAlign w:val="center"/>
          </w:tcPr>
          <w:p w14:paraId="7BB3159D"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evaluated</w:t>
            </w:r>
          </w:p>
        </w:tc>
        <w:tc>
          <w:tcPr>
            <w:tcW w:w="5760" w:type="dxa"/>
            <w:vAlign w:val="center"/>
          </w:tcPr>
          <w:p w14:paraId="20512791"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Preliminary cellular tolerability assessment</w:t>
            </w:r>
          </w:p>
        </w:tc>
      </w:tr>
      <w:tr w:rsidR="008E24E1" w:rsidRPr="00BB2D36" w14:paraId="5CB9A7F9" w14:textId="77777777" w:rsidTr="008E24E1">
        <w:tc>
          <w:tcPr>
            <w:tcW w:w="1656" w:type="dxa"/>
            <w:vAlign w:val="center"/>
          </w:tcPr>
          <w:p w14:paraId="7651347E"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b/>
                <w:color w:val="000000" w:themeColor="text1"/>
                <w:szCs w:val="18"/>
              </w:rPr>
              <w:t>Normal human liver organoid</w:t>
            </w:r>
          </w:p>
        </w:tc>
        <w:tc>
          <w:tcPr>
            <w:tcW w:w="2088" w:type="dxa"/>
            <w:vAlign w:val="center"/>
          </w:tcPr>
          <w:p w14:paraId="2457AEC0"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Primary organoid model</w:t>
            </w:r>
          </w:p>
        </w:tc>
        <w:tc>
          <w:tcPr>
            <w:tcW w:w="1656" w:type="dxa"/>
            <w:vAlign w:val="center"/>
          </w:tcPr>
          <w:p w14:paraId="52D7C1A8"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Human; nonmalignant</w:t>
            </w:r>
          </w:p>
        </w:tc>
        <w:tc>
          <w:tcPr>
            <w:tcW w:w="1440" w:type="dxa"/>
            <w:vAlign w:val="center"/>
          </w:tcPr>
          <w:p w14:paraId="3A2D35EE"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evaluated</w:t>
            </w:r>
          </w:p>
        </w:tc>
        <w:tc>
          <w:tcPr>
            <w:tcW w:w="1584" w:type="dxa"/>
            <w:vAlign w:val="center"/>
          </w:tcPr>
          <w:p w14:paraId="737AB483"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Not evaluated</w:t>
            </w:r>
          </w:p>
        </w:tc>
        <w:tc>
          <w:tcPr>
            <w:tcW w:w="5760" w:type="dxa"/>
            <w:vAlign w:val="center"/>
          </w:tcPr>
          <w:p w14:paraId="456C099D" w14:textId="77777777" w:rsidR="00633E9E" w:rsidRPr="00BB2D36" w:rsidRDefault="004014B5" w:rsidP="008E24E1">
            <w:pPr>
              <w:spacing w:after="0"/>
              <w:jc w:val="center"/>
              <w:rPr>
                <w:rFonts w:ascii="Times New Roman" w:hAnsi="Times New Roman" w:cs="Times New Roman"/>
                <w:color w:val="000000" w:themeColor="text1"/>
                <w:szCs w:val="18"/>
              </w:rPr>
            </w:pPr>
            <w:r w:rsidRPr="00BB2D36">
              <w:rPr>
                <w:rFonts w:ascii="Times New Roman" w:hAnsi="Times New Roman" w:cs="Times New Roman"/>
                <w:color w:val="000000" w:themeColor="text1"/>
                <w:szCs w:val="18"/>
              </w:rPr>
              <w:t>Preliminary viability and albumin-based tolerability assessment</w:t>
            </w:r>
          </w:p>
        </w:tc>
      </w:tr>
    </w:tbl>
    <w:p w14:paraId="596DD06D" w14:textId="77777777" w:rsidR="00633E9E" w:rsidRPr="00BB2D36" w:rsidRDefault="004014B5">
      <w:pPr>
        <w:spacing w:before="80" w:after="20"/>
        <w:rPr>
          <w:rFonts w:ascii="Times New Roman" w:hAnsi="Times New Roman" w:cs="Times New Roman"/>
        </w:rPr>
      </w:pPr>
      <w:r w:rsidRPr="00BB2D36">
        <w:rPr>
          <w:rFonts w:ascii="Times New Roman" w:hAnsi="Times New Roman" w:cs="Times New Roman"/>
          <w:b/>
          <w:sz w:val="14"/>
        </w:rPr>
        <w:t xml:space="preserve">Notes. </w:t>
      </w:r>
      <w:r w:rsidRPr="00BB2D36">
        <w:rPr>
          <w:rFonts w:ascii="Times New Roman" w:hAnsi="Times New Roman" w:cs="Times New Roman"/>
          <w:sz w:val="14"/>
        </w:rPr>
        <w:t>PTEN and PIP4K2A entries for NHA and PDC1–PDC7 are descriptive interpretations of the immunoblot shown in Figure 2A. ‘Not detected’ indicates that no band was detected under the evaluated immunoblot conditions and does not establish complete biological absence. ‘Weakly detected’ denotes a low-intensity band and is descriptive. ‘Not determined’ indicates that the model was not included in the displayed immunoblot; ‘Not evaluated’ indicates that the relevant assay was not performed.</w:t>
      </w:r>
    </w:p>
    <w:p w14:paraId="64E1BEAF" w14:textId="77777777" w:rsidR="00907672" w:rsidRPr="008E24E1" w:rsidRDefault="004014B5">
      <w:pPr>
        <w:spacing w:after="0"/>
        <w:rPr>
          <w:rFonts w:ascii="Times New Roman" w:hAnsi="Times New Roman" w:cs="Times New Roman"/>
          <w:sz w:val="14"/>
        </w:rPr>
      </w:pPr>
      <w:r w:rsidRPr="00BB2D36">
        <w:rPr>
          <w:rFonts w:ascii="Times New Roman" w:hAnsi="Times New Roman" w:cs="Times New Roman"/>
          <w:sz w:val="14"/>
        </w:rPr>
        <w:t>X-682T was not included in Figure 2A. PIP4K2A status was not evaluated in GL26 or GL261. Additional</w:t>
      </w:r>
      <w:r>
        <w:rPr>
          <w:rFonts w:ascii="Times New Roman" w:hAnsi="Times New Roman" w:cs="Times New Roman"/>
          <w:sz w:val="14"/>
        </w:rPr>
        <w:t xml:space="preserve"> molecular variables, including IDH status, MGMT promoter methylation, and MGMT expression, were not available in the supplied records and were not inferred. GL26 and GL261 are biologically distinct murine glioma models and should not be described as a genetically matched pair.</w:t>
      </w:r>
    </w:p>
    <w:p w14:paraId="4CA05469" w14:textId="77777777" w:rsidR="00633E9E" w:rsidRPr="008E24E1" w:rsidRDefault="00633E9E">
      <w:pPr>
        <w:spacing w:after="0"/>
        <w:rPr>
          <w:rFonts w:ascii="Times New Roman" w:hAnsi="Times New Roman" w:cs="Times New Roman"/>
        </w:rPr>
      </w:pPr>
    </w:p>
    <w:sectPr w:rsidR="00633E9E" w:rsidRPr="008E24E1" w:rsidSect="00034616">
      <w:pgSz w:w="15840" w:h="12240" w:orient="landscape"/>
      <w:pgMar w:top="504" w:right="792" w:bottom="504"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CC3A4" w14:textId="77777777" w:rsidR="009806FD" w:rsidRDefault="009806FD" w:rsidP="0023018E">
      <w:pPr>
        <w:spacing w:after="0" w:line="240" w:lineRule="auto"/>
      </w:pPr>
      <w:r>
        <w:separator/>
      </w:r>
    </w:p>
  </w:endnote>
  <w:endnote w:type="continuationSeparator" w:id="0">
    <w:p w14:paraId="359A8118" w14:textId="77777777" w:rsidR="009806FD" w:rsidRDefault="009806FD" w:rsidP="00230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440275" w14:textId="77777777" w:rsidR="009806FD" w:rsidRDefault="009806FD" w:rsidP="0023018E">
      <w:pPr>
        <w:spacing w:after="0" w:line="240" w:lineRule="auto"/>
      </w:pPr>
      <w:r>
        <w:separator/>
      </w:r>
    </w:p>
  </w:footnote>
  <w:footnote w:type="continuationSeparator" w:id="0">
    <w:p w14:paraId="563EB143" w14:textId="77777777" w:rsidR="009806FD" w:rsidRDefault="009806FD" w:rsidP="002301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A4F4F"/>
    <w:rsid w:val="00205C5B"/>
    <w:rsid w:val="0023018E"/>
    <w:rsid w:val="0029639D"/>
    <w:rsid w:val="00326F90"/>
    <w:rsid w:val="004014B5"/>
    <w:rsid w:val="004539BE"/>
    <w:rsid w:val="004E6A16"/>
    <w:rsid w:val="0052430C"/>
    <w:rsid w:val="00532EBB"/>
    <w:rsid w:val="00547BF8"/>
    <w:rsid w:val="00561C03"/>
    <w:rsid w:val="005632A3"/>
    <w:rsid w:val="005E0C24"/>
    <w:rsid w:val="005E2E3C"/>
    <w:rsid w:val="00633E9E"/>
    <w:rsid w:val="006D0363"/>
    <w:rsid w:val="0074469D"/>
    <w:rsid w:val="008E24E1"/>
    <w:rsid w:val="008F2234"/>
    <w:rsid w:val="00907672"/>
    <w:rsid w:val="00973F72"/>
    <w:rsid w:val="00975507"/>
    <w:rsid w:val="009806FD"/>
    <w:rsid w:val="00AA1D8D"/>
    <w:rsid w:val="00B47730"/>
    <w:rsid w:val="00BB2D36"/>
    <w:rsid w:val="00CB0664"/>
    <w:rsid w:val="00CD2DC8"/>
    <w:rsid w:val="00F53EF7"/>
    <w:rsid w:val="00FB47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20E92B"/>
  <w14:defaultImageDpi w14:val="300"/>
  <w15:docId w15:val="{3B217FE3-0912-41C3-9855-5E32FCD6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60"/>
    </w:pPr>
    <w:rPr>
      <w:rFonts w:ascii="Arial" w:hAnsi="Arial"/>
      <w:color w:val="000000"/>
      <w:sz w:val="18"/>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26"/>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1">
    <w:name w:val="Balloon Text"/>
    <w:basedOn w:val="a1"/>
    <w:link w:val="Char7"/>
    <w:uiPriority w:val="99"/>
    <w:semiHidden/>
    <w:unhideWhenUsed/>
    <w:rsid w:val="008E24E1"/>
    <w:pPr>
      <w:spacing w:after="0" w:line="240" w:lineRule="auto"/>
    </w:pPr>
    <w:rPr>
      <w:rFonts w:asciiTheme="majorHAnsi" w:eastAsiaTheme="majorEastAsia" w:hAnsiTheme="majorHAnsi" w:cstheme="majorBidi"/>
      <w:szCs w:val="18"/>
    </w:rPr>
  </w:style>
  <w:style w:type="character" w:customStyle="1" w:styleId="Char7">
    <w:name w:val="풍선 도움말 텍스트 Char"/>
    <w:basedOn w:val="a2"/>
    <w:link w:val="aff1"/>
    <w:uiPriority w:val="99"/>
    <w:semiHidden/>
    <w:rsid w:val="008E24E1"/>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A1D47-7B36-4946-885B-09DC2CFCA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1877</Words>
  <Characters>10705</Characters>
  <Application>Microsoft Office Word</Application>
  <DocSecurity>0</DocSecurity>
  <Lines>89</Lines>
  <Paragraphs>25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Yong Jae SHIN</cp:lastModifiedBy>
  <cp:revision>4</cp:revision>
  <dcterms:created xsi:type="dcterms:W3CDTF">2026-09-23T11:53:00Z</dcterms:created>
  <dcterms:modified xsi:type="dcterms:W3CDTF">2026-10-03T01:47:00Z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