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F85D6" w14:textId="77777777" w:rsidR="00B05032" w:rsidRPr="004F0CFB" w:rsidRDefault="00B05032" w:rsidP="00B05032">
      <w:pPr>
        <w:spacing w:before="200" w:after="60"/>
        <w:rPr>
          <w:color w:val="000000" w:themeColor="text1"/>
          <w:lang w:val="en-GB"/>
        </w:rPr>
      </w:pPr>
      <w:r w:rsidRPr="004F0CFB">
        <w:rPr>
          <w:b/>
          <w:color w:val="000000" w:themeColor="text1"/>
          <w:sz w:val="23"/>
          <w:lang w:val="en-GB"/>
        </w:rPr>
        <w:t>Supplementary Tables</w:t>
      </w:r>
    </w:p>
    <w:p w14:paraId="6A5E0EA6" w14:textId="77777777" w:rsidR="00B05032" w:rsidRPr="004F0CFB" w:rsidRDefault="00B05032" w:rsidP="00B05032">
      <w:pPr>
        <w:spacing w:before="240" w:after="60"/>
        <w:rPr>
          <w:color w:val="000000" w:themeColor="text1"/>
          <w:lang w:val="en-GB"/>
        </w:rPr>
      </w:pPr>
      <w:r w:rsidRPr="004F0CFB">
        <w:rPr>
          <w:b/>
          <w:color w:val="000000" w:themeColor="text1"/>
          <w:sz w:val="20"/>
          <w:lang w:val="en-GB"/>
        </w:rPr>
        <w:t xml:space="preserve">Supplementary Table 1.  </w:t>
      </w:r>
      <w:r w:rsidRPr="004F0CFB">
        <w:rPr>
          <w:color w:val="000000" w:themeColor="text1"/>
          <w:sz w:val="20"/>
          <w:lang w:val="en-GB"/>
        </w:rPr>
        <w:t>Baseline characteristics of the photon-counting CT cohort (92 patients, 276 vessels).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2880"/>
        <w:gridCol w:w="2880"/>
      </w:tblGrid>
      <w:tr w:rsidR="00B05032" w:rsidRPr="004F0CFB" w14:paraId="57A00239" w14:textId="77777777" w:rsidTr="008E4149">
        <w:trPr>
          <w:jc w:val="center"/>
        </w:trPr>
        <w:tc>
          <w:tcPr>
            <w:tcW w:w="4320" w:type="dxa"/>
            <w:shd w:val="clear" w:color="auto" w:fill="1F3A5F"/>
          </w:tcPr>
          <w:p w14:paraId="3564E114" w14:textId="77777777" w:rsidR="00B05032" w:rsidRPr="004F0CFB" w:rsidRDefault="00B05032" w:rsidP="008E4149">
            <w:pPr>
              <w:rPr>
                <w:color w:val="FFFFFF" w:themeColor="background1"/>
                <w:lang w:val="en-GB"/>
              </w:rPr>
            </w:pPr>
            <w:r w:rsidRPr="004F0CFB">
              <w:rPr>
                <w:b/>
                <w:color w:val="FFFFFF" w:themeColor="background1"/>
                <w:sz w:val="18"/>
                <w:lang w:val="en-GB"/>
              </w:rPr>
              <w:t>Characteristic</w:t>
            </w:r>
          </w:p>
        </w:tc>
        <w:tc>
          <w:tcPr>
            <w:tcW w:w="2880" w:type="dxa"/>
            <w:shd w:val="clear" w:color="auto" w:fill="1F3A5F"/>
          </w:tcPr>
          <w:p w14:paraId="7A1B8FE2" w14:textId="77777777" w:rsidR="00B05032" w:rsidRPr="004F0CFB" w:rsidRDefault="00B05032" w:rsidP="008E4149">
            <w:pPr>
              <w:rPr>
                <w:color w:val="FFFFFF" w:themeColor="background1"/>
                <w:lang w:val="en-GB"/>
              </w:rPr>
            </w:pPr>
            <w:r w:rsidRPr="004F0CFB">
              <w:rPr>
                <w:b/>
                <w:color w:val="FFFFFF" w:themeColor="background1"/>
                <w:sz w:val="18"/>
                <w:lang w:val="en-GB"/>
              </w:rPr>
              <w:t>Patients (n = 92)</w:t>
            </w:r>
          </w:p>
        </w:tc>
        <w:tc>
          <w:tcPr>
            <w:tcW w:w="2880" w:type="dxa"/>
            <w:shd w:val="clear" w:color="auto" w:fill="1F3A5F"/>
          </w:tcPr>
          <w:p w14:paraId="0E6BC638" w14:textId="77777777" w:rsidR="00B05032" w:rsidRPr="004F0CFB" w:rsidRDefault="00B05032" w:rsidP="008E4149">
            <w:pPr>
              <w:rPr>
                <w:color w:val="FFFFFF" w:themeColor="background1"/>
                <w:lang w:val="en-GB"/>
              </w:rPr>
            </w:pPr>
            <w:r w:rsidRPr="004F0CFB">
              <w:rPr>
                <w:b/>
                <w:color w:val="FFFFFF" w:themeColor="background1"/>
                <w:sz w:val="18"/>
                <w:lang w:val="en-GB"/>
              </w:rPr>
              <w:t>Vessels (n = 276)</w:t>
            </w:r>
          </w:p>
        </w:tc>
      </w:tr>
      <w:tr w:rsidR="00B05032" w:rsidRPr="004F0CFB" w14:paraId="21682B6F" w14:textId="77777777" w:rsidTr="008E4149">
        <w:trPr>
          <w:jc w:val="center"/>
        </w:trPr>
        <w:tc>
          <w:tcPr>
            <w:tcW w:w="4320" w:type="dxa"/>
          </w:tcPr>
          <w:p w14:paraId="3082212B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Age (years)</w:t>
            </w:r>
          </w:p>
        </w:tc>
        <w:tc>
          <w:tcPr>
            <w:tcW w:w="2880" w:type="dxa"/>
          </w:tcPr>
          <w:p w14:paraId="0B3F4E02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63.6 ± 9.7</w:t>
            </w:r>
          </w:p>
        </w:tc>
        <w:tc>
          <w:tcPr>
            <w:tcW w:w="2880" w:type="dxa"/>
          </w:tcPr>
          <w:p w14:paraId="16A05EF9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—</w:t>
            </w:r>
          </w:p>
        </w:tc>
      </w:tr>
      <w:tr w:rsidR="00B05032" w:rsidRPr="004F0CFB" w14:paraId="712E8732" w14:textId="77777777" w:rsidTr="008E4149">
        <w:trPr>
          <w:jc w:val="center"/>
        </w:trPr>
        <w:tc>
          <w:tcPr>
            <w:tcW w:w="4320" w:type="dxa"/>
          </w:tcPr>
          <w:p w14:paraId="345704E9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Male, n (%)</w:t>
            </w:r>
          </w:p>
        </w:tc>
        <w:tc>
          <w:tcPr>
            <w:tcW w:w="2880" w:type="dxa"/>
          </w:tcPr>
          <w:p w14:paraId="09643258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50 (54.3)</w:t>
            </w:r>
          </w:p>
        </w:tc>
        <w:tc>
          <w:tcPr>
            <w:tcW w:w="2880" w:type="dxa"/>
          </w:tcPr>
          <w:p w14:paraId="63EC0952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—</w:t>
            </w:r>
          </w:p>
        </w:tc>
      </w:tr>
      <w:tr w:rsidR="00B05032" w:rsidRPr="004F0CFB" w14:paraId="1CD493A0" w14:textId="77777777" w:rsidTr="008E4149">
        <w:trPr>
          <w:jc w:val="center"/>
        </w:trPr>
        <w:tc>
          <w:tcPr>
            <w:tcW w:w="4320" w:type="dxa"/>
          </w:tcPr>
          <w:p w14:paraId="21058566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Body-mass index (kg m⁻²)</w:t>
            </w:r>
          </w:p>
        </w:tc>
        <w:tc>
          <w:tcPr>
            <w:tcW w:w="2880" w:type="dxa"/>
          </w:tcPr>
          <w:p w14:paraId="6BDB53D2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26.9 (24.5, 31.5)</w:t>
            </w:r>
          </w:p>
        </w:tc>
        <w:tc>
          <w:tcPr>
            <w:tcW w:w="2880" w:type="dxa"/>
          </w:tcPr>
          <w:p w14:paraId="582BA137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—</w:t>
            </w:r>
          </w:p>
        </w:tc>
      </w:tr>
      <w:tr w:rsidR="00B05032" w:rsidRPr="004F0CFB" w14:paraId="7AF4D63C" w14:textId="77777777" w:rsidTr="008E4149">
        <w:trPr>
          <w:jc w:val="center"/>
        </w:trPr>
        <w:tc>
          <w:tcPr>
            <w:tcW w:w="4320" w:type="dxa"/>
          </w:tcPr>
          <w:p w14:paraId="22301008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Hypertension, n (%)</w:t>
            </w:r>
          </w:p>
        </w:tc>
        <w:tc>
          <w:tcPr>
            <w:tcW w:w="2880" w:type="dxa"/>
          </w:tcPr>
          <w:p w14:paraId="28E3D182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66 (71.7)</w:t>
            </w:r>
          </w:p>
        </w:tc>
        <w:tc>
          <w:tcPr>
            <w:tcW w:w="2880" w:type="dxa"/>
          </w:tcPr>
          <w:p w14:paraId="46E93075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—</w:t>
            </w:r>
          </w:p>
        </w:tc>
      </w:tr>
      <w:tr w:rsidR="00B05032" w:rsidRPr="004F0CFB" w14:paraId="6F0E0382" w14:textId="77777777" w:rsidTr="008E4149">
        <w:trPr>
          <w:jc w:val="center"/>
        </w:trPr>
        <w:tc>
          <w:tcPr>
            <w:tcW w:w="4320" w:type="dxa"/>
          </w:tcPr>
          <w:p w14:paraId="1DCBC4EB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Diabetes, n (%)</w:t>
            </w:r>
          </w:p>
        </w:tc>
        <w:tc>
          <w:tcPr>
            <w:tcW w:w="2880" w:type="dxa"/>
          </w:tcPr>
          <w:p w14:paraId="2D4E2E6F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14 (15.2)</w:t>
            </w:r>
          </w:p>
        </w:tc>
        <w:tc>
          <w:tcPr>
            <w:tcW w:w="2880" w:type="dxa"/>
          </w:tcPr>
          <w:p w14:paraId="2B58219B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—</w:t>
            </w:r>
          </w:p>
        </w:tc>
      </w:tr>
      <w:tr w:rsidR="00B05032" w:rsidRPr="004F0CFB" w14:paraId="051D7B91" w14:textId="77777777" w:rsidTr="008E4149">
        <w:trPr>
          <w:jc w:val="center"/>
        </w:trPr>
        <w:tc>
          <w:tcPr>
            <w:tcW w:w="4320" w:type="dxa"/>
          </w:tcPr>
          <w:p w14:paraId="07A98805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Serum uric acid (mg dL⁻¹)</w:t>
            </w:r>
          </w:p>
        </w:tc>
        <w:tc>
          <w:tcPr>
            <w:tcW w:w="2880" w:type="dxa"/>
          </w:tcPr>
          <w:p w14:paraId="0DD3C99D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5.0 ± 1.4</w:t>
            </w:r>
          </w:p>
        </w:tc>
        <w:tc>
          <w:tcPr>
            <w:tcW w:w="2880" w:type="dxa"/>
          </w:tcPr>
          <w:p w14:paraId="10EA3C71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—</w:t>
            </w:r>
          </w:p>
        </w:tc>
      </w:tr>
      <w:tr w:rsidR="00B05032" w:rsidRPr="004F0CFB" w14:paraId="62863E1E" w14:textId="77777777" w:rsidTr="008E4149">
        <w:trPr>
          <w:jc w:val="center"/>
        </w:trPr>
        <w:tc>
          <w:tcPr>
            <w:tcW w:w="4320" w:type="dxa"/>
          </w:tcPr>
          <w:p w14:paraId="571A2C36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Agatston score</w:t>
            </w:r>
          </w:p>
        </w:tc>
        <w:tc>
          <w:tcPr>
            <w:tcW w:w="2880" w:type="dxa"/>
          </w:tcPr>
          <w:p w14:paraId="221EF8D9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32.5 (0, 284.5)</w:t>
            </w:r>
          </w:p>
        </w:tc>
        <w:tc>
          <w:tcPr>
            <w:tcW w:w="2880" w:type="dxa"/>
          </w:tcPr>
          <w:p w14:paraId="193D5F85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0 (0, 59.7)</w:t>
            </w:r>
          </w:p>
        </w:tc>
      </w:tr>
      <w:tr w:rsidR="00B05032" w:rsidRPr="004F0CFB" w14:paraId="4FE26026" w14:textId="77777777" w:rsidTr="008E4149">
        <w:trPr>
          <w:jc w:val="center"/>
        </w:trPr>
        <w:tc>
          <w:tcPr>
            <w:tcW w:w="4320" w:type="dxa"/>
          </w:tcPr>
          <w:p w14:paraId="5309E5B4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Agatston score &gt;100, n (%)</w:t>
            </w:r>
          </w:p>
        </w:tc>
        <w:tc>
          <w:tcPr>
            <w:tcW w:w="2880" w:type="dxa"/>
          </w:tcPr>
          <w:p w14:paraId="3DBE1E4E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—</w:t>
            </w:r>
          </w:p>
        </w:tc>
        <w:tc>
          <w:tcPr>
            <w:tcW w:w="2880" w:type="dxa"/>
          </w:tcPr>
          <w:p w14:paraId="419D701A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56 (20.3)</w:t>
            </w:r>
          </w:p>
        </w:tc>
      </w:tr>
      <w:tr w:rsidR="00B05032" w:rsidRPr="004F0CFB" w14:paraId="1DAD97C3" w14:textId="77777777" w:rsidTr="008E4149">
        <w:trPr>
          <w:jc w:val="center"/>
        </w:trPr>
        <w:tc>
          <w:tcPr>
            <w:tcW w:w="4320" w:type="dxa"/>
          </w:tcPr>
          <w:p w14:paraId="3A8F6F51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Obstructive CAD (≥50%), n (%)</w:t>
            </w:r>
          </w:p>
        </w:tc>
        <w:tc>
          <w:tcPr>
            <w:tcW w:w="2880" w:type="dxa"/>
          </w:tcPr>
          <w:p w14:paraId="2BAE4447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13 (14.1)</w:t>
            </w:r>
          </w:p>
        </w:tc>
        <w:tc>
          <w:tcPr>
            <w:tcW w:w="2880" w:type="dxa"/>
          </w:tcPr>
          <w:p w14:paraId="577E2711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29 (10.5)</w:t>
            </w:r>
          </w:p>
        </w:tc>
      </w:tr>
      <w:tr w:rsidR="00B05032" w:rsidRPr="004F0CFB" w14:paraId="076C062D" w14:textId="77777777" w:rsidTr="008E4149">
        <w:trPr>
          <w:jc w:val="center"/>
        </w:trPr>
        <w:tc>
          <w:tcPr>
            <w:tcW w:w="4320" w:type="dxa"/>
          </w:tcPr>
          <w:p w14:paraId="27A3CC7D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Spotty calcification, n (%)</w:t>
            </w:r>
          </w:p>
        </w:tc>
        <w:tc>
          <w:tcPr>
            <w:tcW w:w="2880" w:type="dxa"/>
          </w:tcPr>
          <w:p w14:paraId="51E8972C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—</w:t>
            </w:r>
          </w:p>
        </w:tc>
        <w:tc>
          <w:tcPr>
            <w:tcW w:w="2880" w:type="dxa"/>
          </w:tcPr>
          <w:p w14:paraId="62FC62ED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62 (22.5)</w:t>
            </w:r>
          </w:p>
        </w:tc>
      </w:tr>
      <w:tr w:rsidR="00B05032" w:rsidRPr="004F0CFB" w14:paraId="019B21C0" w14:textId="77777777" w:rsidTr="008E4149">
        <w:trPr>
          <w:jc w:val="center"/>
        </w:trPr>
        <w:tc>
          <w:tcPr>
            <w:tcW w:w="4320" w:type="dxa"/>
          </w:tcPr>
          <w:p w14:paraId="5635AB49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Low-attenuation plaque, n (%)</w:t>
            </w:r>
          </w:p>
        </w:tc>
        <w:tc>
          <w:tcPr>
            <w:tcW w:w="2880" w:type="dxa"/>
          </w:tcPr>
          <w:p w14:paraId="63F8FF89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—</w:t>
            </w:r>
          </w:p>
        </w:tc>
        <w:tc>
          <w:tcPr>
            <w:tcW w:w="2880" w:type="dxa"/>
          </w:tcPr>
          <w:p w14:paraId="627019D0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10 (3.6)</w:t>
            </w:r>
          </w:p>
        </w:tc>
      </w:tr>
      <w:tr w:rsidR="00B05032" w:rsidRPr="004F0CFB" w14:paraId="0B3E8C2A" w14:textId="77777777" w:rsidTr="008E4149">
        <w:trPr>
          <w:jc w:val="center"/>
        </w:trPr>
        <w:tc>
          <w:tcPr>
            <w:tcW w:w="4320" w:type="dxa"/>
          </w:tcPr>
          <w:p w14:paraId="376A666B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Positive remodelling, n (%)</w:t>
            </w:r>
          </w:p>
        </w:tc>
        <w:tc>
          <w:tcPr>
            <w:tcW w:w="2880" w:type="dxa"/>
          </w:tcPr>
          <w:p w14:paraId="07E7DC09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—</w:t>
            </w:r>
          </w:p>
        </w:tc>
        <w:tc>
          <w:tcPr>
            <w:tcW w:w="2880" w:type="dxa"/>
          </w:tcPr>
          <w:p w14:paraId="64F0F6F2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61 (22.1)</w:t>
            </w:r>
          </w:p>
        </w:tc>
      </w:tr>
      <w:tr w:rsidR="00B05032" w:rsidRPr="004F0CFB" w14:paraId="0E5A3C14" w14:textId="77777777" w:rsidTr="008E4149">
        <w:trPr>
          <w:jc w:val="center"/>
        </w:trPr>
        <w:tc>
          <w:tcPr>
            <w:tcW w:w="4320" w:type="dxa"/>
          </w:tcPr>
          <w:p w14:paraId="7993F076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High-risk plaque, n (%)</w:t>
            </w:r>
          </w:p>
        </w:tc>
        <w:tc>
          <w:tcPr>
            <w:tcW w:w="2880" w:type="dxa"/>
          </w:tcPr>
          <w:p w14:paraId="3B7CCA77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8 (8.7)</w:t>
            </w:r>
          </w:p>
        </w:tc>
        <w:tc>
          <w:tcPr>
            <w:tcW w:w="2880" w:type="dxa"/>
          </w:tcPr>
          <w:p w14:paraId="3D700AC7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9 (3.3)</w:t>
            </w:r>
          </w:p>
        </w:tc>
      </w:tr>
    </w:tbl>
    <w:p w14:paraId="36BF7F31" w14:textId="77777777" w:rsidR="00B05032" w:rsidRPr="004F0CFB" w:rsidRDefault="00B05032" w:rsidP="00B05032">
      <w:pPr>
        <w:spacing w:before="40" w:after="160"/>
        <w:rPr>
          <w:color w:val="000000" w:themeColor="text1"/>
          <w:lang w:val="en-GB"/>
        </w:rPr>
      </w:pPr>
      <w:r w:rsidRPr="004F0CFB">
        <w:rPr>
          <w:i/>
          <w:color w:val="000000" w:themeColor="text1"/>
          <w:sz w:val="17"/>
          <w:lang w:val="en-GB"/>
        </w:rPr>
        <w:t>Data are mean ± s.d., median (IQR) or n (%).</w:t>
      </w:r>
    </w:p>
    <w:p w14:paraId="6B7F4FEB" w14:textId="77777777" w:rsidR="00B05032" w:rsidRPr="004F0CFB" w:rsidRDefault="00B05032" w:rsidP="00B05032">
      <w:pPr>
        <w:spacing w:before="240" w:after="60"/>
        <w:rPr>
          <w:color w:val="000000" w:themeColor="text1"/>
          <w:lang w:val="en-GB"/>
        </w:rPr>
      </w:pPr>
      <w:r w:rsidRPr="004F0CFB">
        <w:rPr>
          <w:b/>
          <w:color w:val="000000" w:themeColor="text1"/>
          <w:sz w:val="20"/>
          <w:lang w:val="en-GB"/>
        </w:rPr>
        <w:br w:type="column"/>
      </w:r>
      <w:r w:rsidRPr="004F0CFB">
        <w:rPr>
          <w:b/>
          <w:color w:val="000000" w:themeColor="text1"/>
          <w:sz w:val="20"/>
          <w:lang w:val="en-GB"/>
        </w:rPr>
        <w:lastRenderedPageBreak/>
        <w:t xml:space="preserve">Supplementary Table 2.  </w:t>
      </w:r>
      <w:r w:rsidRPr="004F0CFB">
        <w:rPr>
          <w:color w:val="000000" w:themeColor="text1"/>
          <w:sz w:val="20"/>
          <w:lang w:val="en-GB"/>
        </w:rPr>
        <w:t>Characteristics by coronary MSU status on photon-counting CT.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2016"/>
        <w:gridCol w:w="1728"/>
        <w:gridCol w:w="2304"/>
        <w:gridCol w:w="1152"/>
      </w:tblGrid>
      <w:tr w:rsidR="00B05032" w:rsidRPr="004F0CFB" w14:paraId="624DEDAE" w14:textId="77777777" w:rsidTr="008E4149">
        <w:trPr>
          <w:jc w:val="center"/>
        </w:trPr>
        <w:tc>
          <w:tcPr>
            <w:tcW w:w="3744" w:type="dxa"/>
            <w:shd w:val="clear" w:color="auto" w:fill="1F3A5F"/>
          </w:tcPr>
          <w:p w14:paraId="0E29D167" w14:textId="77777777" w:rsidR="00B05032" w:rsidRPr="004F0CFB" w:rsidRDefault="00B05032" w:rsidP="008E4149">
            <w:pPr>
              <w:rPr>
                <w:color w:val="FFFFFF" w:themeColor="background1"/>
                <w:lang w:val="en-GB"/>
              </w:rPr>
            </w:pPr>
            <w:r w:rsidRPr="004F0CFB">
              <w:rPr>
                <w:b/>
                <w:color w:val="FFFFFF" w:themeColor="background1"/>
                <w:sz w:val="18"/>
                <w:lang w:val="en-GB"/>
              </w:rPr>
              <w:t>Characteristic</w:t>
            </w:r>
          </w:p>
        </w:tc>
        <w:tc>
          <w:tcPr>
            <w:tcW w:w="2016" w:type="dxa"/>
            <w:shd w:val="clear" w:color="auto" w:fill="1F3A5F"/>
          </w:tcPr>
          <w:p w14:paraId="7553069A" w14:textId="77777777" w:rsidR="00B05032" w:rsidRPr="004F0CFB" w:rsidRDefault="00B05032" w:rsidP="008E4149">
            <w:pPr>
              <w:rPr>
                <w:color w:val="FFFFFF" w:themeColor="background1"/>
                <w:lang w:val="en-GB"/>
              </w:rPr>
            </w:pPr>
            <w:r w:rsidRPr="004F0CFB">
              <w:rPr>
                <w:b/>
                <w:color w:val="FFFFFF" w:themeColor="background1"/>
                <w:sz w:val="18"/>
                <w:lang w:val="en-GB"/>
              </w:rPr>
              <w:t>MSU−</w:t>
            </w:r>
          </w:p>
        </w:tc>
        <w:tc>
          <w:tcPr>
            <w:tcW w:w="1728" w:type="dxa"/>
            <w:shd w:val="clear" w:color="auto" w:fill="1F3A5F"/>
          </w:tcPr>
          <w:p w14:paraId="0D3125E7" w14:textId="77777777" w:rsidR="00B05032" w:rsidRPr="004F0CFB" w:rsidRDefault="00B05032" w:rsidP="008E4149">
            <w:pPr>
              <w:rPr>
                <w:color w:val="FFFFFF" w:themeColor="background1"/>
                <w:lang w:val="en-GB"/>
              </w:rPr>
            </w:pPr>
            <w:r w:rsidRPr="004F0CFB">
              <w:rPr>
                <w:b/>
                <w:color w:val="FFFFFF" w:themeColor="background1"/>
                <w:sz w:val="18"/>
                <w:lang w:val="en-GB"/>
              </w:rPr>
              <w:t>MSU+</w:t>
            </w:r>
          </w:p>
        </w:tc>
        <w:tc>
          <w:tcPr>
            <w:tcW w:w="2304" w:type="dxa"/>
            <w:shd w:val="clear" w:color="auto" w:fill="1F3A5F"/>
          </w:tcPr>
          <w:p w14:paraId="3187CE62" w14:textId="77777777" w:rsidR="00B05032" w:rsidRPr="004F0CFB" w:rsidRDefault="00B05032" w:rsidP="008E4149">
            <w:pPr>
              <w:rPr>
                <w:color w:val="FFFFFF" w:themeColor="background1"/>
                <w:lang w:val="en-GB"/>
              </w:rPr>
            </w:pPr>
            <w:r w:rsidRPr="004F0CFB">
              <w:rPr>
                <w:b/>
                <w:color w:val="FFFFFF" w:themeColor="background1"/>
                <w:sz w:val="18"/>
                <w:lang w:val="en-GB"/>
              </w:rPr>
              <w:t>Indeterminate</w:t>
            </w:r>
          </w:p>
        </w:tc>
        <w:tc>
          <w:tcPr>
            <w:tcW w:w="1152" w:type="dxa"/>
            <w:shd w:val="clear" w:color="auto" w:fill="1F3A5F"/>
          </w:tcPr>
          <w:p w14:paraId="420559AC" w14:textId="77777777" w:rsidR="00B05032" w:rsidRPr="004F0CFB" w:rsidRDefault="00B05032" w:rsidP="008E4149">
            <w:pPr>
              <w:rPr>
                <w:color w:val="FFFFFF" w:themeColor="background1"/>
                <w:lang w:val="en-GB"/>
              </w:rPr>
            </w:pPr>
            <w:r w:rsidRPr="004F0CFB">
              <w:rPr>
                <w:b/>
                <w:color w:val="FFFFFF" w:themeColor="background1"/>
                <w:sz w:val="18"/>
                <w:lang w:val="en-GB"/>
              </w:rPr>
              <w:t>P</w:t>
            </w:r>
          </w:p>
        </w:tc>
      </w:tr>
      <w:tr w:rsidR="00B05032" w:rsidRPr="004F0CFB" w14:paraId="4B074132" w14:textId="77777777" w:rsidTr="008E4149">
        <w:trPr>
          <w:jc w:val="center"/>
        </w:trPr>
        <w:tc>
          <w:tcPr>
            <w:tcW w:w="1152" w:type="dxa"/>
            <w:gridSpan w:val="5"/>
            <w:shd w:val="clear" w:color="auto" w:fill="E9EEF5"/>
          </w:tcPr>
          <w:p w14:paraId="62A41003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b/>
                <w:i/>
                <w:color w:val="000000" w:themeColor="text1"/>
                <w:sz w:val="18"/>
                <w:lang w:val="en-GB"/>
              </w:rPr>
              <w:t>Patients</w:t>
            </w:r>
          </w:p>
        </w:tc>
      </w:tr>
      <w:tr w:rsidR="00B05032" w:rsidRPr="004F0CFB" w14:paraId="2D33D673" w14:textId="77777777" w:rsidTr="008E4149">
        <w:trPr>
          <w:jc w:val="center"/>
        </w:trPr>
        <w:tc>
          <w:tcPr>
            <w:tcW w:w="3744" w:type="dxa"/>
          </w:tcPr>
          <w:p w14:paraId="705CE989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Male, n (%)</w:t>
            </w:r>
          </w:p>
        </w:tc>
        <w:tc>
          <w:tcPr>
            <w:tcW w:w="2016" w:type="dxa"/>
          </w:tcPr>
          <w:p w14:paraId="37782CD3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26 (45.6)</w:t>
            </w:r>
          </w:p>
        </w:tc>
        <w:tc>
          <w:tcPr>
            <w:tcW w:w="1728" w:type="dxa"/>
          </w:tcPr>
          <w:p w14:paraId="185C5E77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7 (58.3)</w:t>
            </w:r>
          </w:p>
        </w:tc>
        <w:tc>
          <w:tcPr>
            <w:tcW w:w="2304" w:type="dxa"/>
          </w:tcPr>
          <w:p w14:paraId="2AA0BD78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17 (73.9)</w:t>
            </w:r>
          </w:p>
        </w:tc>
        <w:tc>
          <w:tcPr>
            <w:tcW w:w="1152" w:type="dxa"/>
          </w:tcPr>
          <w:p w14:paraId="73916DF2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0.53</w:t>
            </w:r>
          </w:p>
        </w:tc>
      </w:tr>
      <w:tr w:rsidR="00B05032" w:rsidRPr="004F0CFB" w14:paraId="48B7B83E" w14:textId="77777777" w:rsidTr="008E4149">
        <w:trPr>
          <w:jc w:val="center"/>
        </w:trPr>
        <w:tc>
          <w:tcPr>
            <w:tcW w:w="3744" w:type="dxa"/>
          </w:tcPr>
          <w:p w14:paraId="38B6C53B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Hypertension, n (%)</w:t>
            </w:r>
          </w:p>
        </w:tc>
        <w:tc>
          <w:tcPr>
            <w:tcW w:w="2016" w:type="dxa"/>
          </w:tcPr>
          <w:p w14:paraId="56B93EE6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34 (59.6)</w:t>
            </w:r>
          </w:p>
        </w:tc>
        <w:tc>
          <w:tcPr>
            <w:tcW w:w="1728" w:type="dxa"/>
          </w:tcPr>
          <w:p w14:paraId="1BAEEEEC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11 (91.7)</w:t>
            </w:r>
          </w:p>
        </w:tc>
        <w:tc>
          <w:tcPr>
            <w:tcW w:w="2304" w:type="dxa"/>
          </w:tcPr>
          <w:p w14:paraId="2110A6C2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21 (91.3)</w:t>
            </w:r>
          </w:p>
        </w:tc>
        <w:tc>
          <w:tcPr>
            <w:tcW w:w="1152" w:type="dxa"/>
          </w:tcPr>
          <w:p w14:paraId="16DA1DD8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0.05</w:t>
            </w:r>
          </w:p>
        </w:tc>
      </w:tr>
      <w:tr w:rsidR="00B05032" w:rsidRPr="004F0CFB" w14:paraId="48114645" w14:textId="77777777" w:rsidTr="008E4149">
        <w:trPr>
          <w:jc w:val="center"/>
        </w:trPr>
        <w:tc>
          <w:tcPr>
            <w:tcW w:w="3744" w:type="dxa"/>
          </w:tcPr>
          <w:p w14:paraId="4B23F505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Diabetes, n (%)</w:t>
            </w:r>
          </w:p>
        </w:tc>
        <w:tc>
          <w:tcPr>
            <w:tcW w:w="2016" w:type="dxa"/>
          </w:tcPr>
          <w:p w14:paraId="3D7B9A22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5 (8.8)</w:t>
            </w:r>
          </w:p>
        </w:tc>
        <w:tc>
          <w:tcPr>
            <w:tcW w:w="1728" w:type="dxa"/>
          </w:tcPr>
          <w:p w14:paraId="49D4D19C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5 (41.7)</w:t>
            </w:r>
          </w:p>
        </w:tc>
        <w:tc>
          <w:tcPr>
            <w:tcW w:w="2304" w:type="dxa"/>
          </w:tcPr>
          <w:p w14:paraId="047A1D8D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4 (17.4)</w:t>
            </w:r>
          </w:p>
        </w:tc>
        <w:tc>
          <w:tcPr>
            <w:tcW w:w="1152" w:type="dxa"/>
          </w:tcPr>
          <w:p w14:paraId="5BCC4F76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&lt;0.05</w:t>
            </w:r>
          </w:p>
        </w:tc>
      </w:tr>
      <w:tr w:rsidR="00B05032" w:rsidRPr="004F0CFB" w14:paraId="2FC22C97" w14:textId="77777777" w:rsidTr="008E4149">
        <w:trPr>
          <w:jc w:val="center"/>
        </w:trPr>
        <w:tc>
          <w:tcPr>
            <w:tcW w:w="3744" w:type="dxa"/>
          </w:tcPr>
          <w:p w14:paraId="59C1AE31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Serum uric acid (mg dL⁻¹)</w:t>
            </w:r>
          </w:p>
        </w:tc>
        <w:tc>
          <w:tcPr>
            <w:tcW w:w="2016" w:type="dxa"/>
          </w:tcPr>
          <w:p w14:paraId="76446191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5.2 ± 1.4</w:t>
            </w:r>
          </w:p>
        </w:tc>
        <w:tc>
          <w:tcPr>
            <w:tcW w:w="1728" w:type="dxa"/>
          </w:tcPr>
          <w:p w14:paraId="385FFABA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4.6 ± 1.6</w:t>
            </w:r>
          </w:p>
        </w:tc>
        <w:tc>
          <w:tcPr>
            <w:tcW w:w="2304" w:type="dxa"/>
          </w:tcPr>
          <w:p w14:paraId="55227F92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4.9 ± 1.2</w:t>
            </w:r>
          </w:p>
        </w:tc>
        <w:tc>
          <w:tcPr>
            <w:tcW w:w="1152" w:type="dxa"/>
          </w:tcPr>
          <w:p w14:paraId="2784E140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0.28</w:t>
            </w:r>
          </w:p>
        </w:tc>
      </w:tr>
      <w:tr w:rsidR="00B05032" w:rsidRPr="004F0CFB" w14:paraId="43903567" w14:textId="77777777" w:rsidTr="008E4149">
        <w:trPr>
          <w:jc w:val="center"/>
        </w:trPr>
        <w:tc>
          <w:tcPr>
            <w:tcW w:w="3744" w:type="dxa"/>
          </w:tcPr>
          <w:p w14:paraId="47357C9D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Agatston score</w:t>
            </w:r>
          </w:p>
        </w:tc>
        <w:tc>
          <w:tcPr>
            <w:tcW w:w="2016" w:type="dxa"/>
          </w:tcPr>
          <w:p w14:paraId="69FA721E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0 (0, 67.2)</w:t>
            </w:r>
          </w:p>
        </w:tc>
        <w:tc>
          <w:tcPr>
            <w:tcW w:w="1728" w:type="dxa"/>
          </w:tcPr>
          <w:p w14:paraId="47F8D5FE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218.2 (39.3, 347.0)</w:t>
            </w:r>
          </w:p>
        </w:tc>
        <w:tc>
          <w:tcPr>
            <w:tcW w:w="2304" w:type="dxa"/>
          </w:tcPr>
          <w:p w14:paraId="30365D19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277.0 (45.1, 536.9)</w:t>
            </w:r>
          </w:p>
        </w:tc>
        <w:tc>
          <w:tcPr>
            <w:tcW w:w="1152" w:type="dxa"/>
          </w:tcPr>
          <w:p w14:paraId="309E4A2C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&lt;0.001</w:t>
            </w:r>
          </w:p>
        </w:tc>
      </w:tr>
      <w:tr w:rsidR="00B05032" w:rsidRPr="004F0CFB" w14:paraId="06BCE925" w14:textId="77777777" w:rsidTr="008E4149">
        <w:trPr>
          <w:jc w:val="center"/>
        </w:trPr>
        <w:tc>
          <w:tcPr>
            <w:tcW w:w="3744" w:type="dxa"/>
          </w:tcPr>
          <w:p w14:paraId="0E5D8BD5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Obstructive CAD, n (%)</w:t>
            </w:r>
          </w:p>
        </w:tc>
        <w:tc>
          <w:tcPr>
            <w:tcW w:w="2016" w:type="dxa"/>
          </w:tcPr>
          <w:p w14:paraId="35CA34EF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2 (3.5)</w:t>
            </w:r>
          </w:p>
        </w:tc>
        <w:tc>
          <w:tcPr>
            <w:tcW w:w="1728" w:type="dxa"/>
          </w:tcPr>
          <w:p w14:paraId="295D8466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3 (25.0)</w:t>
            </w:r>
          </w:p>
        </w:tc>
        <w:tc>
          <w:tcPr>
            <w:tcW w:w="2304" w:type="dxa"/>
          </w:tcPr>
          <w:p w14:paraId="03AD1327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8 (34.8)</w:t>
            </w:r>
          </w:p>
        </w:tc>
        <w:tc>
          <w:tcPr>
            <w:tcW w:w="1152" w:type="dxa"/>
          </w:tcPr>
          <w:p w14:paraId="21C46755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&lt;0.05</w:t>
            </w:r>
          </w:p>
        </w:tc>
      </w:tr>
      <w:tr w:rsidR="00B05032" w:rsidRPr="004F0CFB" w14:paraId="37B2606D" w14:textId="77777777" w:rsidTr="008E4149">
        <w:trPr>
          <w:jc w:val="center"/>
        </w:trPr>
        <w:tc>
          <w:tcPr>
            <w:tcW w:w="3744" w:type="dxa"/>
          </w:tcPr>
          <w:p w14:paraId="1848EBF0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High-risk plaque, n (%)</w:t>
            </w:r>
          </w:p>
        </w:tc>
        <w:tc>
          <w:tcPr>
            <w:tcW w:w="2016" w:type="dxa"/>
          </w:tcPr>
          <w:p w14:paraId="40901235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0 (0.0)</w:t>
            </w:r>
          </w:p>
        </w:tc>
        <w:tc>
          <w:tcPr>
            <w:tcW w:w="1728" w:type="dxa"/>
          </w:tcPr>
          <w:p w14:paraId="721741AF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2 (16.7)</w:t>
            </w:r>
          </w:p>
        </w:tc>
        <w:tc>
          <w:tcPr>
            <w:tcW w:w="2304" w:type="dxa"/>
          </w:tcPr>
          <w:p w14:paraId="013FCCE4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6 (26.1)</w:t>
            </w:r>
          </w:p>
        </w:tc>
        <w:tc>
          <w:tcPr>
            <w:tcW w:w="1152" w:type="dxa"/>
          </w:tcPr>
          <w:p w14:paraId="07A3F31D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0.03</w:t>
            </w:r>
          </w:p>
        </w:tc>
      </w:tr>
      <w:tr w:rsidR="00B05032" w:rsidRPr="004F0CFB" w14:paraId="535337D8" w14:textId="77777777" w:rsidTr="008E4149">
        <w:trPr>
          <w:jc w:val="center"/>
        </w:trPr>
        <w:tc>
          <w:tcPr>
            <w:tcW w:w="1152" w:type="dxa"/>
            <w:gridSpan w:val="5"/>
            <w:shd w:val="clear" w:color="auto" w:fill="E9EEF5"/>
          </w:tcPr>
          <w:p w14:paraId="512A001D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b/>
                <w:i/>
                <w:color w:val="000000" w:themeColor="text1"/>
                <w:sz w:val="18"/>
                <w:lang w:val="en-GB"/>
              </w:rPr>
              <w:t>Vessels</w:t>
            </w:r>
          </w:p>
        </w:tc>
      </w:tr>
      <w:tr w:rsidR="00B05032" w:rsidRPr="004F0CFB" w14:paraId="2CABBEE6" w14:textId="77777777" w:rsidTr="008E4149">
        <w:trPr>
          <w:jc w:val="center"/>
        </w:trPr>
        <w:tc>
          <w:tcPr>
            <w:tcW w:w="3744" w:type="dxa"/>
          </w:tcPr>
          <w:p w14:paraId="3A92351B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Agatston score</w:t>
            </w:r>
          </w:p>
        </w:tc>
        <w:tc>
          <w:tcPr>
            <w:tcW w:w="2016" w:type="dxa"/>
          </w:tcPr>
          <w:p w14:paraId="160C2C45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0 (0, 30.1)</w:t>
            </w:r>
          </w:p>
        </w:tc>
        <w:tc>
          <w:tcPr>
            <w:tcW w:w="1728" w:type="dxa"/>
          </w:tcPr>
          <w:p w14:paraId="6C0B1646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72.8 (7.2, 162.4)</w:t>
            </w:r>
          </w:p>
        </w:tc>
        <w:tc>
          <w:tcPr>
            <w:tcW w:w="2304" w:type="dxa"/>
          </w:tcPr>
          <w:p w14:paraId="00627904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94.0 (23.0, 322.0)</w:t>
            </w:r>
          </w:p>
        </w:tc>
        <w:tc>
          <w:tcPr>
            <w:tcW w:w="1152" w:type="dxa"/>
          </w:tcPr>
          <w:p w14:paraId="5CC92C0C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&lt;0.05</w:t>
            </w:r>
          </w:p>
        </w:tc>
      </w:tr>
      <w:tr w:rsidR="00B05032" w:rsidRPr="004F0CFB" w14:paraId="559BF86B" w14:textId="77777777" w:rsidTr="008E4149">
        <w:trPr>
          <w:jc w:val="center"/>
        </w:trPr>
        <w:tc>
          <w:tcPr>
            <w:tcW w:w="3744" w:type="dxa"/>
          </w:tcPr>
          <w:p w14:paraId="53C74D0D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Agatston score &gt;100, n (%)</w:t>
            </w:r>
          </w:p>
        </w:tc>
        <w:tc>
          <w:tcPr>
            <w:tcW w:w="2016" w:type="dxa"/>
          </w:tcPr>
          <w:p w14:paraId="1FE3E136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39 (16.3)</w:t>
            </w:r>
          </w:p>
        </w:tc>
        <w:tc>
          <w:tcPr>
            <w:tcW w:w="1728" w:type="dxa"/>
          </w:tcPr>
          <w:p w14:paraId="0443A744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6 (50.0)</w:t>
            </w:r>
          </w:p>
        </w:tc>
        <w:tc>
          <w:tcPr>
            <w:tcW w:w="2304" w:type="dxa"/>
          </w:tcPr>
          <w:p w14:paraId="32749C98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11 (44.0)</w:t>
            </w:r>
          </w:p>
        </w:tc>
        <w:tc>
          <w:tcPr>
            <w:tcW w:w="1152" w:type="dxa"/>
          </w:tcPr>
          <w:p w14:paraId="3EA8323C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&lt;0.05</w:t>
            </w:r>
          </w:p>
        </w:tc>
      </w:tr>
      <w:tr w:rsidR="00B05032" w:rsidRPr="004F0CFB" w14:paraId="641A4E2A" w14:textId="77777777" w:rsidTr="008E4149">
        <w:trPr>
          <w:jc w:val="center"/>
        </w:trPr>
        <w:tc>
          <w:tcPr>
            <w:tcW w:w="3744" w:type="dxa"/>
          </w:tcPr>
          <w:p w14:paraId="5B960BCB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Spotty calcification, n (%)</w:t>
            </w:r>
          </w:p>
        </w:tc>
        <w:tc>
          <w:tcPr>
            <w:tcW w:w="2016" w:type="dxa"/>
          </w:tcPr>
          <w:p w14:paraId="264F4C4E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46 (19.2)</w:t>
            </w:r>
          </w:p>
        </w:tc>
        <w:tc>
          <w:tcPr>
            <w:tcW w:w="1728" w:type="dxa"/>
          </w:tcPr>
          <w:p w14:paraId="4B2F12D8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6 (50.0)</w:t>
            </w:r>
          </w:p>
        </w:tc>
        <w:tc>
          <w:tcPr>
            <w:tcW w:w="2304" w:type="dxa"/>
          </w:tcPr>
          <w:p w14:paraId="67F2BF62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10 (40.0)</w:t>
            </w:r>
          </w:p>
        </w:tc>
        <w:tc>
          <w:tcPr>
            <w:tcW w:w="1152" w:type="dxa"/>
          </w:tcPr>
          <w:p w14:paraId="66A5076A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&lt;0.05</w:t>
            </w:r>
          </w:p>
        </w:tc>
      </w:tr>
      <w:tr w:rsidR="00B05032" w:rsidRPr="004F0CFB" w14:paraId="0BB44A14" w14:textId="77777777" w:rsidTr="008E4149">
        <w:trPr>
          <w:jc w:val="center"/>
        </w:trPr>
        <w:tc>
          <w:tcPr>
            <w:tcW w:w="3744" w:type="dxa"/>
          </w:tcPr>
          <w:p w14:paraId="6035873C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High-risk plaque, n (%)</w:t>
            </w:r>
          </w:p>
        </w:tc>
        <w:tc>
          <w:tcPr>
            <w:tcW w:w="2016" w:type="dxa"/>
          </w:tcPr>
          <w:p w14:paraId="0091EACF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4 (1.7)</w:t>
            </w:r>
          </w:p>
        </w:tc>
        <w:tc>
          <w:tcPr>
            <w:tcW w:w="1728" w:type="dxa"/>
          </w:tcPr>
          <w:p w14:paraId="78E9AAC9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1 (8.3)</w:t>
            </w:r>
          </w:p>
        </w:tc>
        <w:tc>
          <w:tcPr>
            <w:tcW w:w="2304" w:type="dxa"/>
          </w:tcPr>
          <w:p w14:paraId="3749EBF0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4 (16.0)</w:t>
            </w:r>
          </w:p>
        </w:tc>
        <w:tc>
          <w:tcPr>
            <w:tcW w:w="1152" w:type="dxa"/>
          </w:tcPr>
          <w:p w14:paraId="29ED326D" w14:textId="77777777" w:rsidR="00B05032" w:rsidRPr="004F0CFB" w:rsidRDefault="00B05032" w:rsidP="008E4149">
            <w:pPr>
              <w:rPr>
                <w:color w:val="000000" w:themeColor="text1"/>
                <w:lang w:val="en-GB"/>
              </w:rPr>
            </w:pPr>
            <w:r w:rsidRPr="004F0CFB">
              <w:rPr>
                <w:color w:val="000000" w:themeColor="text1"/>
                <w:sz w:val="18"/>
                <w:lang w:val="en-GB"/>
              </w:rPr>
              <w:t>0.22</w:t>
            </w:r>
          </w:p>
        </w:tc>
      </w:tr>
    </w:tbl>
    <w:p w14:paraId="1E8AA9E0" w14:textId="77777777" w:rsidR="00B05032" w:rsidRPr="004F0CFB" w:rsidRDefault="00B05032" w:rsidP="00B05032">
      <w:pPr>
        <w:spacing w:before="40" w:after="160"/>
        <w:rPr>
          <w:color w:val="000000" w:themeColor="text1"/>
          <w:lang w:val="en-GB"/>
        </w:rPr>
      </w:pPr>
      <w:r w:rsidRPr="004F0CFB">
        <w:rPr>
          <w:i/>
          <w:color w:val="000000" w:themeColor="text1"/>
          <w:sz w:val="17"/>
          <w:lang w:val="en-GB"/>
        </w:rPr>
        <w:t>Data are mean ± s.d., median (IQR) or n (%). Indeterminate, lesions that the current workflow could not confidently assign as MSU or calcium.</w:t>
      </w:r>
    </w:p>
    <w:p w14:paraId="48A3AA3A" w14:textId="77777777" w:rsidR="00B05032" w:rsidRPr="004F0CFB" w:rsidRDefault="00B05032" w:rsidP="00B05032">
      <w:pPr>
        <w:spacing w:before="280" w:after="80"/>
        <w:rPr>
          <w:color w:val="000000" w:themeColor="text1"/>
          <w:sz w:val="24"/>
          <w:szCs w:val="24"/>
          <w:lang w:val="en-GB"/>
        </w:rPr>
      </w:pPr>
    </w:p>
    <w:p w14:paraId="49C64138" w14:textId="77777777" w:rsidR="00B05032" w:rsidRPr="004F0CFB" w:rsidRDefault="00B05032" w:rsidP="00B05032">
      <w:pPr>
        <w:spacing w:after="60"/>
        <w:ind w:left="432" w:hanging="432"/>
        <w:rPr>
          <w:color w:val="000000" w:themeColor="text1"/>
          <w:sz w:val="24"/>
          <w:szCs w:val="24"/>
          <w:lang w:val="en-GB"/>
        </w:rPr>
      </w:pPr>
    </w:p>
    <w:p w14:paraId="56022042" w14:textId="77777777" w:rsidR="008B07A6" w:rsidRDefault="008B07A6"/>
    <w:sectPr w:rsidR="008B07A6" w:rsidSect="00B05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032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A74464"/>
    <w:rsid w:val="00B05032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89F7D"/>
  <w15:chartTrackingRefBased/>
  <w15:docId w15:val="{00F7EC82-D892-4EFB-90D7-A0AA08C6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032"/>
    <w:pPr>
      <w:spacing w:after="120" w:line="312" w:lineRule="auto"/>
    </w:pPr>
    <w:rPr>
      <w:rFonts w:ascii="Calibri" w:eastAsiaTheme="minorEastAsia" w:hAnsi="Calibri"/>
      <w:color w:val="111111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50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0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0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0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0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03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03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03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03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03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5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03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5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03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50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032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5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0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0503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2026-10-05T04:12:00Z</dcterms:created>
  <dcterms:modified xsi:type="dcterms:W3CDTF">2026-10-05T04:12:00Z</dcterms:modified>
</cp:coreProperties>
</file>