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D09E6">
      <w:pPr>
        <w:jc w:val="center"/>
      </w:pPr>
      <w:r>
        <w:rPr>
          <w:rFonts w:ascii="Arial" w:hAnsi="Arial"/>
          <w:b/>
          <w:color w:val="000000"/>
          <w:sz w:val="28"/>
        </w:rPr>
        <w:t>Research Highlights</w:t>
      </w:r>
    </w:p>
    <w:p w14:paraId="2F0017A5">
      <w:pPr>
        <w:jc w:val="center"/>
      </w:pPr>
      <w:r>
        <w:rPr>
          <w:color w:val="000000"/>
        </w:rPr>
        <w:t>From Hospital Costing to Public Tariffs: A Systematic Evidence Map of Step-Down and Activity-Based Costing</w:t>
      </w:r>
    </w:p>
    <w:p w14:paraId="48D8DA5F">
      <w:pPr>
        <w:pStyle w:val="23"/>
        <w:spacing w:after="120"/>
      </w:pPr>
      <w:r>
        <w:rPr>
          <w:color w:val="000000"/>
        </w:rPr>
        <w:t>Only 15 of 46 substantive sources directly linked costs to tariff decisions.</w:t>
      </w:r>
    </w:p>
    <w:p w14:paraId="5406576E">
      <w:pPr>
        <w:pStyle w:val="23"/>
        <w:spacing w:after="120"/>
      </w:pPr>
      <w:r>
        <w:rPr>
          <w:color w:val="000000"/>
        </w:rPr>
        <w:t>TDABC evidence was far more common than step-down or top-down costing evidence.</w:t>
      </w:r>
    </w:p>
    <w:p w14:paraId="1FB66B41">
      <w:pPr>
        <w:pStyle w:val="23"/>
        <w:spacing w:after="120"/>
      </w:pPr>
      <w:r>
        <w:rPr>
          <w:color w:val="000000"/>
        </w:rPr>
        <w:t>Cost measurement and public tariff setting emerge as distinct analytical stages.</w:t>
      </w:r>
    </w:p>
    <w:p w14:paraId="78481790">
      <w:pPr>
        <w:pStyle w:val="23"/>
        <w:spacing w:after="120"/>
      </w:pPr>
      <w:r>
        <w:rPr>
          <w:color w:val="000000"/>
        </w:rPr>
        <w:t>A two-layer step-down plus selective ABC/TDABC framework remains unproven.</w:t>
      </w:r>
    </w:p>
    <w:p w14:paraId="4C1DBBB0">
      <w:pPr>
        <w:pStyle w:val="23"/>
        <w:spacing w:after="120"/>
      </w:pPr>
      <w:r>
        <w:rPr>
          <w:color w:val="000000"/>
        </w:rPr>
        <w:t>Prospective pilots should test accuracy, burden, access and provider responses.</w:t>
      </w:r>
    </w:p>
    <w:p w14:paraId="62440CC5">
      <w:pPr>
        <w:rPr>
          <w:sz w:val="22"/>
          <w:szCs w:val="22"/>
        </w:rPr>
      </w:pPr>
      <w:r>
        <w:rPr>
          <w:i/>
          <w:color w:val="000000"/>
          <w:sz w:val="22"/>
          <w:szCs w:val="22"/>
        </w:rPr>
        <w:t>Review regis</w:t>
      </w:r>
      <w:bookmarkStart w:id="0" w:name="_GoBack"/>
      <w:bookmarkEnd w:id="0"/>
      <w:r>
        <w:rPr>
          <w:i/>
          <w:color w:val="000000"/>
          <w:sz w:val="22"/>
          <w:szCs w:val="22"/>
        </w:rPr>
        <w:t>tration: PROSPERO CRD420261497000.</w:t>
      </w:r>
    </w:p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1683C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9AA13"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A5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492</Characters>
  <Lines>0</Lines>
  <Paragraphs>0</Paragraphs>
  <TotalTime>0</TotalTime>
  <ScaleCrop>false</ScaleCrop>
  <LinksUpToDate>false</LinksUpToDate>
  <CharactersWithSpaces>559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USER</cp:lastModifiedBy>
  <dcterms:modified xsi:type="dcterms:W3CDTF">2026-09-28T08:13:14Z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eyJoZGlkIjoiZTI3ZGY5YWFhNjZiMmI5N2UxMTkwNDQ5NGQ3MTY0ZWEiLCJ1c2VySWQiOiIxMzA1NjcwNjY1MTAwNiJ9</vt:lpwstr>
  </property>
  <property fmtid="{D5CDD505-2E9C-101B-9397-08002B2CF9AE}" pid="3" name="KSOProductBuildVer">
    <vt:lpwstr>1033-12.1.0.28485</vt:lpwstr>
  </property>
  <property fmtid="{D5CDD505-2E9C-101B-9397-08002B2CF9AE}" pid="4" name="ICV">
    <vt:lpwstr>568E6D866F3B42D98B7502DDA85F3F97_12</vt:lpwstr>
  </property>
</Properties>
</file>