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F361E">
      <w:pPr>
        <w:spacing w:after="80" w:line="276" w:lineRule="auto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Additional file 1: Supplementary review materials</w:t>
      </w:r>
      <w:bookmarkStart w:id="0" w:name="_GoBack"/>
      <w:bookmarkEnd w:id="0"/>
    </w:p>
    <w:p w14:paraId="4754B8CB">
      <w:pPr>
        <w:spacing w:after="80" w:line="276" w:lineRule="auto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From Hospital Costing to Public Tariffs: A Systematic Evidence Map of Step-Down and Activity-Based Costing</w:t>
      </w:r>
    </w:p>
    <w:p w14:paraId="7CECADE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PROSPERO registration: CRD420261497000.</w:t>
      </w:r>
    </w:p>
    <w:p w14:paraId="074BE893">
      <w:pPr>
        <w:pStyle w:val="2"/>
        <w:spacing w:before="120" w:after="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Supplementary Methods S1. Review design, registration and review-question framework</w:t>
      </w:r>
    </w:p>
    <w:p w14:paraId="03DEF1D3">
      <w:pPr>
        <w:spacing w:after="80" w:line="276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This study was designed as a systematic evidence map with narrative synthesis and was reported with reference to PRISMA 2020 principles [15]. The purpose was to characterize the distribution, role, and tariff relevance of a heterogeneous evidence base rather than to estimate a pooled intervention effect. The review is registered in PROSPERO (CRD420261497000). Eligibility criteria, search logic, extraction domains, and synthesis categories were specified before the final synthesis.</w:t>
      </w:r>
    </w:p>
    <w:p w14:paraId="07735981">
      <w:pPr>
        <w:spacing w:after="80" w:line="276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The review used a PCC-style framework: population/context = public hospitals, hospital services and public healthcare systems; concept = step-down costing, ABC, TDABC, micro-costing, cost centers, service-line costing and tariff development; consequences/outcomes = unit cost, full cost, charge reform, reimbursement, provider payment, public tariff, case-based payment, cost recovery and value-based purchasing.</w:t>
      </w:r>
    </w:p>
    <w:p w14:paraId="3BE38BE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Primary review question: What evidence directly or indirectly informs the use of step-down costing and ABC/TDABC in public hospital tariff development? Secondary questions examined: (1) which source types directly inform tariff design or use; (2) which costing functions are supported only indirectly; (3) what governance and data conditions are reported; (4) where measured costs end and policy adjustment begins; and (5) which outcomes should be evaluated before any integrated framework is scaled.</w:t>
      </w:r>
    </w:p>
    <w:p w14:paraId="1E2188F2">
      <w:pPr>
        <w:pStyle w:val="2"/>
        <w:spacing w:before="120" w:after="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Supplementary Table S1. Database- and source-specific search strategies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3"/>
        <w:gridCol w:w="5887"/>
        <w:gridCol w:w="2247"/>
        <w:gridCol w:w="1650"/>
        <w:gridCol w:w="2729"/>
      </w:tblGrid>
      <w:tr w14:paraId="7F931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B8959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Source</w:t>
            </w:r>
          </w:p>
        </w:tc>
        <w:tc>
          <w:tcPr>
            <w:tcW w:w="62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581AF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Search syntax / approach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C9955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Coverage / final update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ACC86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Records identified</w:t>
            </w:r>
          </w:p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81CF6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Notes</w:t>
            </w:r>
          </w:p>
        </w:tc>
      </w:tr>
      <w:tr w14:paraId="696C5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B2FBB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Scopus</w:t>
            </w:r>
          </w:p>
        </w:tc>
        <w:tc>
          <w:tcPr>
            <w:tcW w:w="62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D1889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TITLE-ABS-KEY(("hospital charges" OR tariff* OR "provider payment" OR reimbursement OR "price setting") AND ("step-down costing" OR "activity-based costing" OR TDABC OR "time-driven activity-based costing" OR microcosting OR "cost accounting") AND (hospital* OR "public healthcare" OR "public health system")) AND PUBYEAR &gt; 2019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F46DE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Primary emphasis 2020–2026; final update 15 June 2026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52F20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214</w:t>
            </w:r>
          </w:p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9F214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Broad interdisciplinary coverage of health policy, accounting and management journals.</w:t>
            </w:r>
          </w:p>
        </w:tc>
      </w:tr>
      <w:tr w14:paraId="488CC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0F723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Web of Science Core Collection</w:t>
            </w:r>
          </w:p>
        </w:tc>
        <w:tc>
          <w:tcPr>
            <w:tcW w:w="62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5BF21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TS=(("hospital charges" OR tariff* OR reimbursement OR "provider payment") AND ("step-down costing" OR "activity-based costing" OR TDABC OR microcosting) AND (hospital* OR "health system")) Refined by 2020–2026, article/review.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2F7EB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Primary emphasis 2020–2026; final update 15 June 2026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01794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149</w:t>
            </w:r>
          </w:p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4809D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Citation-sensitive search across health services and economics journals.</w:t>
            </w:r>
          </w:p>
        </w:tc>
      </w:tr>
      <w:tr w14:paraId="623B4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E1396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PubMed/MEDLINE</w:t>
            </w:r>
          </w:p>
        </w:tc>
        <w:tc>
          <w:tcPr>
            <w:tcW w:w="62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0FBAC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("activity-based costing"[Title/Abstract] OR "time-driven activity-based costing"[Title/Abstract] OR "cost accounting"[Title/Abstract] OR microcosting[Title/Abstract]) AND (hospital[Title/Abstract] OR healthcare[Title/Abstract]) AND (tariff[Title/Abstract] OR reimbursement[Title/Abstract] OR payment[Title/Abstract] OR charge*[Title/Abstract])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84DFC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Primary emphasis 2020–2026; final update 15 June 2026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2429A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37060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Biomedical and health economic empirical records.</w:t>
            </w:r>
          </w:p>
        </w:tc>
      </w:tr>
      <w:tr w14:paraId="4216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01D5E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Embase, CINAHL and EconLit</w:t>
            </w:r>
          </w:p>
        </w:tc>
        <w:tc>
          <w:tcPr>
            <w:tcW w:w="62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BA170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("hospital cost*" OR "cost accounting" OR "provider payment") AND ("activity based" OR TDABC OR "step-down") AND (tariff OR reimbursement OR price*)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369F0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Primary emphasis 2020–2026; final update 15 June 2026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D15E3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Not separately available</w:t>
            </w:r>
          </w:p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3DED0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Captures nursing, economics and policy studies not indexed in PubMed.</w:t>
            </w:r>
          </w:p>
        </w:tc>
      </w:tr>
      <w:tr w14:paraId="77B52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70032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Targeted journal websites</w:t>
            </w:r>
          </w:p>
        </w:tc>
        <w:tc>
          <w:tcPr>
            <w:tcW w:w="62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9791F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BMJ Open, BMC Health Services Research, Health Policy, Value in Health, Health Policy and Planning, Applied Health Economics and Health Policy, Journal of Health Organization and Management.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437C2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Primary emphasis 2020–2026; final update 15 June 2026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67AB7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Not separately available</w:t>
            </w:r>
          </w:p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CC81F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Manual confirmation of DOI/stable records and full-text access.</w:t>
            </w:r>
          </w:p>
        </w:tc>
      </w:tr>
      <w:tr w14:paraId="5F9B8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84608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Institutional sources</w:t>
            </w:r>
          </w:p>
        </w:tc>
        <w:tc>
          <w:tcPr>
            <w:tcW w:w="62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D429A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NHS England costing guidance, NHS Digital PLICS, WHO price regulation, World Bank provider payment, Joint Learning Network costing manual.</w:t>
            </w:r>
          </w:p>
        </w:tc>
        <w:tc>
          <w:tcPr>
            <w:tcW w:w="23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8BE2E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Primary emphasis 2020–2026; final update 15 June 2026</w:t>
            </w:r>
          </w:p>
        </w:tc>
        <w:tc>
          <w:tcPr>
            <w:tcW w:w="1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CA7D7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Not separately available</w:t>
            </w:r>
          </w:p>
        </w:tc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A135F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Public tariff development requires policy documents and official costing standards.</w:t>
            </w:r>
          </w:p>
        </w:tc>
      </w:tr>
    </w:tbl>
    <w:p w14:paraId="6DFC591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18"/>
          <w14:textFill>
            <w14:solidFill>
              <w14:schemeClr w14:val="tx1"/>
            </w14:solidFill>
          </w14:textFill>
        </w:rPr>
        <w:t>Note: Embase, CINAHL, EconLit, targeted journal websites, and institutional sources contributed to the combined “other databases/websites” total of 103 records in the reconciled flow. A source-level split for these 103 records was not available from the retained exports used during manuscript revision.</w:t>
      </w:r>
    </w:p>
    <w:p w14:paraId="5B8C26F3">
      <w:pPr>
        <w:pStyle w:val="2"/>
        <w:spacing w:before="120" w:after="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Supplementary Table S2. Eligibility criteria and operational definitions</w:t>
      </w:r>
    </w:p>
    <w:tbl>
      <w:tblPr>
        <w:tblStyle w:val="12"/>
        <w:tblW w:w="0" w:type="auto"/>
        <w:tblInd w:w="0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1"/>
        <w:gridCol w:w="3573"/>
        <w:gridCol w:w="3312"/>
      </w:tblGrid>
      <w:tr w14:paraId="19AB1D6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051" w:type="dxa"/>
            <w:vAlign w:val="center"/>
          </w:tcPr>
          <w:p w14:paraId="2C419B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Domain</w:t>
            </w:r>
          </w:p>
        </w:tc>
        <w:tc>
          <w:tcPr>
            <w:tcW w:w="3573" w:type="dxa"/>
            <w:vAlign w:val="center"/>
          </w:tcPr>
          <w:p w14:paraId="6C06B3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Inclusion criteria</w:t>
            </w:r>
          </w:p>
        </w:tc>
        <w:tc>
          <w:tcPr>
            <w:tcW w:w="3312" w:type="dxa"/>
            <w:vAlign w:val="center"/>
          </w:tcPr>
          <w:p w14:paraId="581E33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Exclusion criteria</w:t>
            </w:r>
          </w:p>
        </w:tc>
      </w:tr>
      <w:tr w14:paraId="09DA695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vAlign w:val="center"/>
          </w:tcPr>
          <w:p w14:paraId="5493D9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Population / setting</w:t>
            </w:r>
          </w:p>
        </w:tc>
        <w:tc>
          <w:tcPr>
            <w:tcW w:w="3573" w:type="dxa"/>
            <w:vAlign w:val="center"/>
          </w:tcPr>
          <w:p w14:paraId="46FB93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Hospitals, hospital departments, service lines, inpatient/outpatient hospital services, public payer contexts, or public healthcare systems.</w:t>
            </w:r>
          </w:p>
        </w:tc>
        <w:tc>
          <w:tcPr>
            <w:tcW w:w="3312" w:type="dxa"/>
            <w:vAlign w:val="center"/>
          </w:tcPr>
          <w:p w14:paraId="3C6500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Pure primary care studies without hospital relevance; private-only pricing studies with no public payment implications.</w:t>
            </w:r>
          </w:p>
        </w:tc>
      </w:tr>
      <w:tr w14:paraId="498542D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vAlign w:val="center"/>
          </w:tcPr>
          <w:p w14:paraId="1B0813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Costing method</w:t>
            </w:r>
          </w:p>
        </w:tc>
        <w:tc>
          <w:tcPr>
            <w:tcW w:w="3573" w:type="dxa"/>
            <w:vAlign w:val="center"/>
          </w:tcPr>
          <w:p w14:paraId="1FD3DC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Step-down costing, top-down allocation, ABC, TDABC, micro-costing, cost centers, cost accounting standards, patient-level costing.</w:t>
            </w:r>
          </w:p>
        </w:tc>
        <w:tc>
          <w:tcPr>
            <w:tcW w:w="3312" w:type="dxa"/>
            <w:vAlign w:val="center"/>
          </w:tcPr>
          <w:p w14:paraId="1DC27E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Studies reporting only charges or billed prices without a costing method.</w:t>
            </w:r>
          </w:p>
        </w:tc>
      </w:tr>
      <w:tr w14:paraId="74F5A4C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</w:tblPrEx>
        <w:tc>
          <w:tcPr>
            <w:tcW w:w="3051" w:type="dxa"/>
            <w:vAlign w:val="center"/>
          </w:tcPr>
          <w:p w14:paraId="18615F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Tariff relevance</w:t>
            </w:r>
          </w:p>
        </w:tc>
        <w:tc>
          <w:tcPr>
            <w:tcW w:w="3573" w:type="dxa"/>
            <w:vAlign w:val="center"/>
          </w:tcPr>
          <w:p w14:paraId="6A9ADE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Tariff development, reimbursement, provider payment, case-based payment, public charges, price-setting, cost recovery or payment adjusters.</w:t>
            </w:r>
          </w:p>
        </w:tc>
        <w:tc>
          <w:tcPr>
            <w:tcW w:w="3312" w:type="dxa"/>
            <w:vAlign w:val="center"/>
          </w:tcPr>
          <w:p w14:paraId="5249D1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Clinical cost-effectiveness studies with no service costing or payment relevance.</w:t>
            </w:r>
          </w:p>
        </w:tc>
      </w:tr>
      <w:tr w14:paraId="075261F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vAlign w:val="center"/>
          </w:tcPr>
          <w:p w14:paraId="0EBEA1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Publication type</w:t>
            </w:r>
          </w:p>
        </w:tc>
        <w:tc>
          <w:tcPr>
            <w:tcW w:w="3573" w:type="dxa"/>
            <w:vAlign w:val="center"/>
          </w:tcPr>
          <w:p w14:paraId="423B5C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Peer-reviewed empirical studies, systematic/scoping reviews, methodological papers and authoritative policy/guidance documents.</w:t>
            </w:r>
          </w:p>
        </w:tc>
        <w:tc>
          <w:tcPr>
            <w:tcW w:w="3312" w:type="dxa"/>
            <w:vAlign w:val="center"/>
          </w:tcPr>
          <w:p w14:paraId="7A576F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Editorials, news, blogs and unverifiable records.</w:t>
            </w:r>
          </w:p>
        </w:tc>
      </w:tr>
      <w:tr w14:paraId="2C010CC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vAlign w:val="center"/>
          </w:tcPr>
          <w:p w14:paraId="7E859B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Date/language</w:t>
            </w:r>
          </w:p>
        </w:tc>
        <w:tc>
          <w:tcPr>
            <w:tcW w:w="3573" w:type="dxa"/>
            <w:vAlign w:val="center"/>
          </w:tcPr>
          <w:p w14:paraId="66A386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Primary emphasis on 2020–2026, with older cornerstone methodological papers retained when necessary.</w:t>
            </w:r>
          </w:p>
        </w:tc>
        <w:tc>
          <w:tcPr>
            <w:tcW w:w="3312" w:type="dxa"/>
            <w:vAlign w:val="center"/>
          </w:tcPr>
          <w:p w14:paraId="2A6CD3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Non-English texts not interpretable by the review team; outdated records superseded by newer guidance.</w:t>
            </w:r>
          </w:p>
        </w:tc>
      </w:tr>
      <w:tr w14:paraId="3440E34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vAlign w:val="center"/>
          </w:tcPr>
          <w:p w14:paraId="3F5511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Data integrity</w:t>
            </w:r>
          </w:p>
        </w:tc>
        <w:tc>
          <w:tcPr>
            <w:tcW w:w="3573" w:type="dxa"/>
            <w:vAlign w:val="center"/>
          </w:tcPr>
          <w:p w14:paraId="3D99C7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Stable DOI, PubMed/PMC record, publisher page or official institutional URL.</w:t>
            </w:r>
          </w:p>
        </w:tc>
        <w:tc>
          <w:tcPr>
            <w:tcW w:w="3312" w:type="dxa"/>
            <w:vAlign w:val="center"/>
          </w:tcPr>
          <w:p w14:paraId="4F84C9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References without a verifiable bibliographic record or inaccessible bibliographic metadata.</w:t>
            </w:r>
          </w:p>
        </w:tc>
      </w:tr>
      <w:tr w14:paraId="3676564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8758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Direct tariff linkage</w:t>
            </w:r>
          </w:p>
        </w:tc>
        <w:tc>
          <w:tcPr>
            <w:tcW w:w="35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D3A8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Source explicitly used, specified, compared, recommended, validated, or evaluated a cost estimate in relation to a tariff, reimbursement rate, package price, or provider-payment decision.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43B3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Sources that mention reimbursement or pricing context without demonstrating use of costing evidence in a payment decision.</w:t>
            </w:r>
          </w:p>
        </w:tc>
      </w:tr>
      <w:tr w14:paraId="35A9DEC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67F9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Indirect/contextual tariff linkage</w:t>
            </w:r>
          </w:p>
        </w:tc>
        <w:tc>
          <w:tcPr>
            <w:tcW w:w="35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ADAE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Source addressed costing feasibility, process measurement, implementation, or governance relevant to tariff development without demonstrating direct tariff use.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969E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Sources meeting the direct tariff-linkage definition.</w:t>
            </w:r>
          </w:p>
        </w:tc>
      </w:tr>
      <w:tr w14:paraId="5FEA46E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A2EC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Methods-only anchor</w:t>
            </w:r>
          </w:p>
        </w:tc>
        <w:tc>
          <w:tcPr>
            <w:tcW w:w="35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FC04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Reporting, appraisal, or terminology source used to support review methods or definitions.</w:t>
            </w:r>
          </w:p>
        </w:tc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0128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Not counted as substantive evidence for the proposed cost-to-tariff framework.</w:t>
            </w:r>
          </w:p>
        </w:tc>
      </w:tr>
    </w:tbl>
    <w:p w14:paraId="4A8A46DE">
      <w:pPr>
        <w:pStyle w:val="2"/>
        <w:spacing w:before="120" w:after="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Supplementary Table S3. Full 51-record evidence table</w:t>
      </w:r>
    </w:p>
    <w:tbl>
      <w:tblPr>
        <w:tblStyle w:val="12"/>
        <w:tblW w:w="0" w:type="auto"/>
        <w:tblInd w:w="0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3380"/>
        <w:gridCol w:w="2058"/>
        <w:gridCol w:w="2056"/>
        <w:gridCol w:w="2051"/>
        <w:gridCol w:w="2066"/>
        <w:gridCol w:w="2149"/>
      </w:tblGrid>
      <w:tr w14:paraId="5ACF36A1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15" w:type="dxa"/>
            <w:vAlign w:val="center"/>
          </w:tcPr>
          <w:p w14:paraId="74B8C8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No.</w:t>
            </w:r>
          </w:p>
        </w:tc>
        <w:tc>
          <w:tcPr>
            <w:tcW w:w="3403" w:type="dxa"/>
            <w:vAlign w:val="center"/>
          </w:tcPr>
          <w:p w14:paraId="7001C0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2067" w:type="dxa"/>
            <w:vAlign w:val="center"/>
          </w:tcPr>
          <w:p w14:paraId="0E31D8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Setting / service</w:t>
            </w:r>
          </w:p>
        </w:tc>
        <w:tc>
          <w:tcPr>
            <w:tcW w:w="2066" w:type="dxa"/>
            <w:vAlign w:val="center"/>
          </w:tcPr>
          <w:p w14:paraId="2952BE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Costing or pricing method</w:t>
            </w:r>
          </w:p>
        </w:tc>
        <w:tc>
          <w:tcPr>
            <w:tcW w:w="2057" w:type="dxa"/>
            <w:vAlign w:val="center"/>
          </w:tcPr>
          <w:p w14:paraId="385F7E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Role in tariff inference</w:t>
            </w:r>
          </w:p>
        </w:tc>
        <w:tc>
          <w:tcPr>
            <w:tcW w:w="2073" w:type="dxa"/>
            <w:vAlign w:val="center"/>
          </w:tcPr>
          <w:p w14:paraId="72CA32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Key extractable finding</w:t>
            </w:r>
          </w:p>
        </w:tc>
        <w:tc>
          <w:tcPr>
            <w:tcW w:w="2153" w:type="dxa"/>
            <w:vAlign w:val="center"/>
          </w:tcPr>
          <w:p w14:paraId="51F90F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Appraisal note</w:t>
            </w:r>
          </w:p>
        </w:tc>
      </w:tr>
      <w:tr w14:paraId="2DB1CF7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A6FA2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403" w:type="dxa"/>
            <w:vAlign w:val="center"/>
          </w:tcPr>
          <w:p w14:paraId="07AC2F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Page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739D5A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Systematic review methods</w:t>
            </w:r>
          </w:p>
        </w:tc>
        <w:tc>
          <w:tcPr>
            <w:tcW w:w="2066" w:type="dxa"/>
            <w:vAlign w:val="center"/>
          </w:tcPr>
          <w:p w14:paraId="76A5DF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6323FD4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Methods-only anchor</w:t>
            </w:r>
          </w:p>
        </w:tc>
        <w:tc>
          <w:tcPr>
            <w:tcW w:w="2073" w:type="dxa"/>
            <w:vAlign w:val="center"/>
          </w:tcPr>
          <w:p w14:paraId="73F8C7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use of PRISMA 2020 flow, search transparency and structured reporting.</w:t>
            </w:r>
          </w:p>
        </w:tc>
        <w:tc>
          <w:tcPr>
            <w:tcW w:w="2153" w:type="dxa"/>
            <w:vAlign w:val="center"/>
          </w:tcPr>
          <w:p w14:paraId="2A08C6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from BMJ record; retained as the primary PRISMA 2020 reference.</w:t>
            </w:r>
          </w:p>
        </w:tc>
      </w:tr>
      <w:tr w14:paraId="0569978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970F0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03" w:type="dxa"/>
            <w:vAlign w:val="center"/>
          </w:tcPr>
          <w:p w14:paraId="1CB726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Cunnama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393AB0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1B944B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1A6529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6DD157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Defines top-down, bottom-up, gross-costing, micro-costing and highlights terminology inconsistencies.</w:t>
            </w:r>
          </w:p>
        </w:tc>
        <w:tc>
          <w:tcPr>
            <w:tcW w:w="2153" w:type="dxa"/>
            <w:vAlign w:val="center"/>
          </w:tcPr>
          <w:p w14:paraId="130A18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Springer/PMC record.</w:t>
            </w:r>
          </w:p>
        </w:tc>
      </w:tr>
      <w:tr w14:paraId="2530783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EE5FD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403" w:type="dxa"/>
            <w:vAlign w:val="center"/>
          </w:tcPr>
          <w:p w14:paraId="184BC4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Guinness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2DB91E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31CEDC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19C965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review</w:t>
            </w:r>
          </w:p>
        </w:tc>
        <w:tc>
          <w:tcPr>
            <w:tcW w:w="2073" w:type="dxa"/>
            <w:vAlign w:val="center"/>
          </w:tcPr>
          <w:p w14:paraId="6D1418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limited documentation on how cost evidence is incorporated into tariff-setting in LMICs.</w:t>
            </w:r>
          </w:p>
        </w:tc>
        <w:tc>
          <w:tcPr>
            <w:tcW w:w="2153" w:type="dxa"/>
            <w:vAlign w:val="center"/>
          </w:tcPr>
          <w:p w14:paraId="36F662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Open/PubMed search result.</w:t>
            </w:r>
          </w:p>
        </w:tc>
      </w:tr>
      <w:tr w14:paraId="458EAE81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4F81D0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403" w:type="dxa"/>
            <w:vAlign w:val="center"/>
          </w:tcPr>
          <w:p w14:paraId="42238A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Guinness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68958B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India / public insurance and hospitals</w:t>
            </w:r>
          </w:p>
        </w:tc>
        <w:tc>
          <w:tcPr>
            <w:tcW w:w="2066" w:type="dxa"/>
            <w:vAlign w:val="center"/>
          </w:tcPr>
          <w:p w14:paraId="4C1D37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69B0F9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65A96B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need standardized provider-generated cost information for reimbursement rates.</w:t>
            </w:r>
          </w:p>
        </w:tc>
        <w:tc>
          <w:tcPr>
            <w:tcW w:w="2153" w:type="dxa"/>
            <w:vAlign w:val="center"/>
          </w:tcPr>
          <w:p w14:paraId="2F7F66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Oxford Academic lines with DOI.</w:t>
            </w:r>
          </w:p>
        </w:tc>
      </w:tr>
      <w:tr w14:paraId="346DE81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DC95E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403" w:type="dxa"/>
            <w:vAlign w:val="center"/>
          </w:tcPr>
          <w:p w14:paraId="014BC9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Ninerola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536BA8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6430B3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3CF06D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68100C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bibliometric and content evidence that ABC/TDABC applications in health care are growing.</w:t>
            </w:r>
          </w:p>
        </w:tc>
        <w:tc>
          <w:tcPr>
            <w:tcW w:w="2153" w:type="dxa"/>
            <w:vAlign w:val="center"/>
          </w:tcPr>
          <w:p w14:paraId="4AAB9B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Wiley/PubMed search result.</w:t>
            </w:r>
          </w:p>
        </w:tc>
      </w:tr>
      <w:tr w14:paraId="5E67382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776E92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403" w:type="dxa"/>
            <w:vAlign w:val="center"/>
          </w:tcPr>
          <w:p w14:paraId="67FCDC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Keel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6AA986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04ABE0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5818BA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5C70D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Found TDABC increasingly used as a cost component for value-based health care.</w:t>
            </w:r>
          </w:p>
        </w:tc>
        <w:tc>
          <w:tcPr>
            <w:tcW w:w="2153" w:type="dxa"/>
            <w:vAlign w:val="center"/>
          </w:tcPr>
          <w:p w14:paraId="006FDC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ScienceDirect/Europe PMC result.</w:t>
            </w:r>
          </w:p>
        </w:tc>
      </w:tr>
      <w:tr w14:paraId="2962E3A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8E311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403" w:type="dxa"/>
            <w:vAlign w:val="center"/>
          </w:tcPr>
          <w:p w14:paraId="7A2744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Li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F8ADA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1CDA70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64C6D56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38C0D9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Reports 32 included studies and broad TDABC use across health-economic analyses.</w:t>
            </w:r>
          </w:p>
        </w:tc>
        <w:tc>
          <w:tcPr>
            <w:tcW w:w="2153" w:type="dxa"/>
            <w:vAlign w:val="center"/>
          </w:tcPr>
          <w:p w14:paraId="59583E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record; bibliographic details checked against DOI record.</w:t>
            </w:r>
          </w:p>
        </w:tc>
      </w:tr>
      <w:tr w14:paraId="07B133D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1C57D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403" w:type="dxa"/>
            <w:vAlign w:val="center"/>
          </w:tcPr>
          <w:p w14:paraId="207EAB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Etges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368BD2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2D0DBE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1821C5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2E9F8E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the role of digital tools and technology in expanding TDABC feasibility.</w:t>
            </w:r>
          </w:p>
        </w:tc>
        <w:tc>
          <w:tcPr>
            <w:tcW w:w="2153" w:type="dxa"/>
            <w:vAlign w:val="center"/>
          </w:tcPr>
          <w:p w14:paraId="3A3112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Frontiers/PMC result.</w:t>
            </w:r>
          </w:p>
        </w:tc>
      </w:tr>
      <w:tr w14:paraId="795EB6E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41FB6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403" w:type="dxa"/>
            <w:vAlign w:val="center"/>
          </w:tcPr>
          <w:p w14:paraId="3FBA3F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Jiang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673425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56911E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45550E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7938DA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TDABC-derived management systems can improve cost accounting precision and efficiency in public hospitals.</w:t>
            </w:r>
          </w:p>
        </w:tc>
        <w:tc>
          <w:tcPr>
            <w:tcW w:w="2153" w:type="dxa"/>
            <w:vAlign w:val="center"/>
          </w:tcPr>
          <w:p w14:paraId="1533A5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Frontiers/PMC record.</w:t>
            </w:r>
          </w:p>
        </w:tc>
      </w:tr>
      <w:tr w14:paraId="20A153F3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419B36A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403" w:type="dxa"/>
            <w:vAlign w:val="center"/>
          </w:tcPr>
          <w:p w14:paraId="7A8D49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Malmmose and Lydersen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194634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355FFB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54DE48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6F20EB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Compares centralized DRG costing with decentralized TDABC for decision-making.</w:t>
            </w:r>
          </w:p>
        </w:tc>
        <w:tc>
          <w:tcPr>
            <w:tcW w:w="2153" w:type="dxa"/>
            <w:vAlign w:val="center"/>
          </w:tcPr>
          <w:p w14:paraId="5D04EA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BMC/PMC record.</w:t>
            </w:r>
          </w:p>
        </w:tc>
      </w:tr>
      <w:tr w14:paraId="3D04E97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681E65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403" w:type="dxa"/>
            <w:vAlign w:val="center"/>
          </w:tcPr>
          <w:p w14:paraId="712E59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Koster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1A199B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636BE4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5EF84A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5F6A13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Addresses uncertainty in TDABC time estimates using fuzzy logic.</w:t>
            </w:r>
          </w:p>
        </w:tc>
        <w:tc>
          <w:tcPr>
            <w:tcW w:w="2153" w:type="dxa"/>
            <w:vAlign w:val="center"/>
          </w:tcPr>
          <w:p w14:paraId="037F12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Springer/PMC record.</w:t>
            </w:r>
          </w:p>
        </w:tc>
      </w:tr>
      <w:tr w14:paraId="494D47C3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07DEB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403" w:type="dxa"/>
            <w:vAlign w:val="center"/>
          </w:tcPr>
          <w:p w14:paraId="79AF23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Iachecen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EF652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5ACF44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6067AB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4A055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Identifies process mapping methods and reports 70 included practical TDABC cases.</w:t>
            </w:r>
          </w:p>
        </w:tc>
        <w:tc>
          <w:tcPr>
            <w:tcW w:w="2153" w:type="dxa"/>
            <w:vAlign w:val="center"/>
          </w:tcPr>
          <w:p w14:paraId="55F594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 record.</w:t>
            </w:r>
          </w:p>
        </w:tc>
      </w:tr>
      <w:tr w14:paraId="0E5D5B8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4C6D5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403" w:type="dxa"/>
            <w:vAlign w:val="center"/>
          </w:tcPr>
          <w:p w14:paraId="4B0B1B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Cardoso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041F75C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45F53B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669206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7D620B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Applies patient-level TDABC to stratify COVID-19 hospital costs by care pathway.</w:t>
            </w:r>
          </w:p>
        </w:tc>
        <w:tc>
          <w:tcPr>
            <w:tcW w:w="2153" w:type="dxa"/>
            <w:vAlign w:val="center"/>
          </w:tcPr>
          <w:p w14:paraId="3568BE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BMC/PMC record.</w:t>
            </w:r>
          </w:p>
        </w:tc>
      </w:tr>
      <w:tr w14:paraId="590E83C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2E8DD3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403" w:type="dxa"/>
            <w:vAlign w:val="center"/>
          </w:tcPr>
          <w:p w14:paraId="11F557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Lai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0C34B9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5DAF8A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1ABF9F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01EA7F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TDABC to compare personnel costs of hospital-at-home/ambulatory models with inpatient care.</w:t>
            </w:r>
          </w:p>
        </w:tc>
        <w:tc>
          <w:tcPr>
            <w:tcW w:w="2153" w:type="dxa"/>
            <w:vAlign w:val="center"/>
          </w:tcPr>
          <w:p w14:paraId="1C17D3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JAMA Network Open page and DOI record.</w:t>
            </w:r>
          </w:p>
        </w:tc>
      </w:tr>
      <w:tr w14:paraId="2C2CFD33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CE24C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403" w:type="dxa"/>
            <w:vAlign w:val="center"/>
          </w:tcPr>
          <w:p w14:paraId="30ABF0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Rahimi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F2B22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44D1D5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7055D2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B2B0D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Estimates ICU costs using top-down and ABC methods and reports high direct cost share.</w:t>
            </w:r>
          </w:p>
        </w:tc>
        <w:tc>
          <w:tcPr>
            <w:tcW w:w="2153" w:type="dxa"/>
            <w:vAlign w:val="center"/>
          </w:tcPr>
          <w:p w14:paraId="4DAACA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PLOS article page.</w:t>
            </w:r>
          </w:p>
        </w:tc>
      </w:tr>
      <w:tr w14:paraId="3C26F531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4FA5E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403" w:type="dxa"/>
            <w:vAlign w:val="center"/>
          </w:tcPr>
          <w:p w14:paraId="240922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Rognoni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0D6D4C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351FB8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0BEA48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2DD7D81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TDABC can reveal mismatch between actual costs and DRG reimbursement.</w:t>
            </w:r>
          </w:p>
        </w:tc>
        <w:tc>
          <w:tcPr>
            <w:tcW w:w="2153" w:type="dxa"/>
            <w:vAlign w:val="center"/>
          </w:tcPr>
          <w:p w14:paraId="4C88EE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 article page.</w:t>
            </w:r>
          </w:p>
        </w:tc>
      </w:tr>
      <w:tr w14:paraId="0365A35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D992A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403" w:type="dxa"/>
            <w:vAlign w:val="center"/>
          </w:tcPr>
          <w:p w14:paraId="37FC5D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Chen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679AE3A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Oncology / radiotherapy</w:t>
            </w:r>
          </w:p>
        </w:tc>
        <w:tc>
          <w:tcPr>
            <w:tcW w:w="2066" w:type="dxa"/>
            <w:vAlign w:val="center"/>
          </w:tcPr>
          <w:p w14:paraId="3C1CE2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350519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58E787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Calculates per-patient proton therapy costs during start-up using TDABC.</w:t>
            </w:r>
          </w:p>
        </w:tc>
        <w:tc>
          <w:tcPr>
            <w:tcW w:w="2153" w:type="dxa"/>
            <w:vAlign w:val="center"/>
          </w:tcPr>
          <w:p w14:paraId="4537A9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MDPI/PMC result.</w:t>
            </w:r>
          </w:p>
        </w:tc>
      </w:tr>
      <w:tr w14:paraId="74BC99C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6D373F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403" w:type="dxa"/>
            <w:vAlign w:val="center"/>
          </w:tcPr>
          <w:p w14:paraId="7B9792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Nagra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00DA7D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Oncology / radiotherapy</w:t>
            </w:r>
          </w:p>
        </w:tc>
        <w:tc>
          <w:tcPr>
            <w:tcW w:w="2066" w:type="dxa"/>
            <w:vAlign w:val="center"/>
          </w:tcPr>
          <w:p w14:paraId="590AA0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63D782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9DBFC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breast cancer care costs depend on protocols, reconstruction choices and ancillary services.</w:t>
            </w:r>
          </w:p>
        </w:tc>
        <w:tc>
          <w:tcPr>
            <w:tcW w:w="2153" w:type="dxa"/>
            <w:vAlign w:val="center"/>
          </w:tcPr>
          <w:p w14:paraId="178217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Springer/PubMed result.</w:t>
            </w:r>
          </w:p>
        </w:tc>
      </w:tr>
      <w:tr w14:paraId="1926737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26471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403" w:type="dxa"/>
            <w:vAlign w:val="center"/>
          </w:tcPr>
          <w:p w14:paraId="6275B2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Ljuboja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58585B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50ADD6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790FC1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4A174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Compares costs of TACE, TARE and ablation using TDABC.</w:t>
            </w:r>
          </w:p>
        </w:tc>
        <w:tc>
          <w:tcPr>
            <w:tcW w:w="2153" w:type="dxa"/>
            <w:vAlign w:val="center"/>
          </w:tcPr>
          <w:p w14:paraId="00F6DA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JACR/ScienceDirect result.</w:t>
            </w:r>
          </w:p>
        </w:tc>
      </w:tr>
      <w:tr w14:paraId="71ED3A4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732998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403" w:type="dxa"/>
            <w:vAlign w:val="center"/>
          </w:tcPr>
          <w:p w14:paraId="1DC078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McClintock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7BED5F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5C8299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38A1C1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88DBC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Maps acute urolithiasis care and identifies variable cost drivers.</w:t>
            </w:r>
          </w:p>
        </w:tc>
        <w:tc>
          <w:tcPr>
            <w:tcW w:w="2153" w:type="dxa"/>
            <w:vAlign w:val="center"/>
          </w:tcPr>
          <w:p w14:paraId="008B0F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Urology/EM Consulte search result.</w:t>
            </w:r>
          </w:p>
        </w:tc>
      </w:tr>
      <w:tr w14:paraId="552B7A7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4E276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3403" w:type="dxa"/>
            <w:vAlign w:val="center"/>
          </w:tcPr>
          <w:p w14:paraId="6EF108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Bendini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2FD81F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Orthopedics</w:t>
            </w:r>
          </w:p>
        </w:tc>
        <w:tc>
          <w:tcPr>
            <w:tcW w:w="2066" w:type="dxa"/>
            <w:vAlign w:val="center"/>
          </w:tcPr>
          <w:p w14:paraId="1149E8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28C64A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6D154F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Applies TDABC to inpatient hip replacement costs in a public hospital.</w:t>
            </w:r>
          </w:p>
        </w:tc>
        <w:tc>
          <w:tcPr>
            <w:tcW w:w="2153" w:type="dxa"/>
            <w:vAlign w:val="center"/>
          </w:tcPr>
          <w:p w14:paraId="659D0D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PubMed result.</w:t>
            </w:r>
          </w:p>
        </w:tc>
      </w:tr>
      <w:tr w14:paraId="3C3684C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006D4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3403" w:type="dxa"/>
            <w:vAlign w:val="center"/>
          </w:tcPr>
          <w:p w14:paraId="212213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Fang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335706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Orthopedics</w:t>
            </w:r>
          </w:p>
        </w:tc>
        <w:tc>
          <w:tcPr>
            <w:tcW w:w="2066" w:type="dxa"/>
            <w:vAlign w:val="center"/>
          </w:tcPr>
          <w:p w14:paraId="2CB10B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07B00D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7F444B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TDABC to compare robotic and conventional total knee arthroplasty costs.</w:t>
            </w:r>
          </w:p>
        </w:tc>
        <w:tc>
          <w:tcPr>
            <w:tcW w:w="2153" w:type="dxa"/>
            <w:vAlign w:val="center"/>
          </w:tcPr>
          <w:p w14:paraId="7A08BC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against article DOI and publisher record.</w:t>
            </w:r>
          </w:p>
        </w:tc>
      </w:tr>
      <w:tr w14:paraId="7967233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29197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3403" w:type="dxa"/>
            <w:vAlign w:val="center"/>
          </w:tcPr>
          <w:p w14:paraId="7680DE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Ghasemi Rad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8D9AF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623D4B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1CF362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33A424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TDABC to quantify interventional radiology process costs and idle time.</w:t>
            </w:r>
          </w:p>
        </w:tc>
        <w:tc>
          <w:tcPr>
            <w:tcW w:w="2153" w:type="dxa"/>
            <w:vAlign w:val="center"/>
          </w:tcPr>
          <w:p w14:paraId="3B279A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PMC/Cureus result.</w:t>
            </w:r>
          </w:p>
        </w:tc>
      </w:tr>
      <w:tr w14:paraId="002B6B5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4BDD7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3403" w:type="dxa"/>
            <w:vAlign w:val="center"/>
          </w:tcPr>
          <w:p w14:paraId="0211AA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Keppetipola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7AB70C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5B5509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004760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6DDAF4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Extends TDABC across preoperative, intraoperative and inpatient phases.</w:t>
            </w:r>
          </w:p>
        </w:tc>
        <w:tc>
          <w:tcPr>
            <w:tcW w:w="2153" w:type="dxa"/>
            <w:vAlign w:val="center"/>
          </w:tcPr>
          <w:p w14:paraId="03F59A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Dove/PMC result.</w:t>
            </w:r>
          </w:p>
        </w:tc>
      </w:tr>
      <w:tr w14:paraId="258B69B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CC16C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3403" w:type="dxa"/>
            <w:vAlign w:val="center"/>
          </w:tcPr>
          <w:p w14:paraId="4377D4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van der Poort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672FA7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2A42E7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749CA3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1BAC1D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Identifies technical and operational requirements for embedding cost metrics in VBHC dashboards.</w:t>
            </w:r>
          </w:p>
        </w:tc>
        <w:tc>
          <w:tcPr>
            <w:tcW w:w="2153" w:type="dxa"/>
            <w:vAlign w:val="center"/>
          </w:tcPr>
          <w:p w14:paraId="34F13B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BMC/PMC record.</w:t>
            </w:r>
          </w:p>
        </w:tc>
      </w:tr>
      <w:tr w14:paraId="4E5142B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706258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3403" w:type="dxa"/>
            <w:vAlign w:val="center"/>
          </w:tcPr>
          <w:p w14:paraId="07F7B4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Schneider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4C834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4F9FAD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068429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40781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reporting completeness varies considerably across CVD TDABC studies.</w:t>
            </w:r>
          </w:p>
        </w:tc>
        <w:tc>
          <w:tcPr>
            <w:tcW w:w="2153" w:type="dxa"/>
            <w:vAlign w:val="center"/>
          </w:tcPr>
          <w:p w14:paraId="6F0C84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journal PDF result.</w:t>
            </w:r>
          </w:p>
        </w:tc>
      </w:tr>
      <w:tr w14:paraId="2F91098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E791D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3403" w:type="dxa"/>
            <w:vAlign w:val="center"/>
          </w:tcPr>
          <w:p w14:paraId="277B16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Risør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382C51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17416F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42AC64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10D47F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Directly develop an activity-based tariff framework for hospital-at-home services.</w:t>
            </w:r>
          </w:p>
        </w:tc>
        <w:tc>
          <w:tcPr>
            <w:tcW w:w="2153" w:type="dxa"/>
            <w:vAlign w:val="center"/>
          </w:tcPr>
          <w:p w14:paraId="433DA9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 record.</w:t>
            </w:r>
          </w:p>
        </w:tc>
      </w:tr>
      <w:tr w14:paraId="7663F9A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6A267C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3403" w:type="dxa"/>
            <w:vAlign w:val="center"/>
          </w:tcPr>
          <w:p w14:paraId="619602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Prinja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52D893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India / public insurance and hospitals</w:t>
            </w:r>
          </w:p>
        </w:tc>
        <w:tc>
          <w:tcPr>
            <w:tcW w:w="2066" w:type="dxa"/>
            <w:vAlign w:val="center"/>
          </w:tcPr>
          <w:p w14:paraId="59A4F7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590176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49CDAB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Describes use of mixed micro-costing evidence to inform provider payment rates.</w:t>
            </w:r>
          </w:p>
        </w:tc>
        <w:tc>
          <w:tcPr>
            <w:tcW w:w="2153" w:type="dxa"/>
            <w:vAlign w:val="center"/>
          </w:tcPr>
          <w:p w14:paraId="7227A7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result.</w:t>
            </w:r>
          </w:p>
        </w:tc>
      </w:tr>
      <w:tr w14:paraId="65B2684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746CB7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403" w:type="dxa"/>
            <w:vAlign w:val="center"/>
          </w:tcPr>
          <w:p w14:paraId="09CABE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Chauhan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1FE98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India / public insurance and hospitals</w:t>
            </w:r>
          </w:p>
        </w:tc>
        <w:tc>
          <w:tcPr>
            <w:tcW w:w="2066" w:type="dxa"/>
            <w:vAlign w:val="center"/>
          </w:tcPr>
          <w:p w14:paraId="5F2855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5C3424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7199CF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large-scale facility costing evidence for provider payment and HTA.</w:t>
            </w:r>
          </w:p>
        </w:tc>
        <w:tc>
          <w:tcPr>
            <w:tcW w:w="2153" w:type="dxa"/>
            <w:vAlign w:val="center"/>
          </w:tcPr>
          <w:p w14:paraId="34ACD6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Springer/BMC result.</w:t>
            </w:r>
          </w:p>
        </w:tc>
      </w:tr>
      <w:tr w14:paraId="2929B4F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8584A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3403" w:type="dxa"/>
            <w:vAlign w:val="center"/>
          </w:tcPr>
          <w:p w14:paraId="3E2787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Prinja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0D89DC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India / public insurance and hospitals</w:t>
            </w:r>
          </w:p>
        </w:tc>
        <w:tc>
          <w:tcPr>
            <w:tcW w:w="2066" w:type="dxa"/>
            <w:vAlign w:val="center"/>
          </w:tcPr>
          <w:p w14:paraId="7CE419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7A1AB4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091DA3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Quantifies supply-side factors to inform differential case-based payment weights.</w:t>
            </w:r>
          </w:p>
        </w:tc>
        <w:tc>
          <w:tcPr>
            <w:tcW w:w="2153" w:type="dxa"/>
            <w:vAlign w:val="center"/>
          </w:tcPr>
          <w:p w14:paraId="511B8E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Open/PMC result.</w:t>
            </w:r>
          </w:p>
        </w:tc>
      </w:tr>
      <w:tr w14:paraId="4C18CB9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400FCA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3403" w:type="dxa"/>
            <w:vAlign w:val="center"/>
          </w:tcPr>
          <w:p w14:paraId="38D2FD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Jyani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1152BA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India / public insurance and hospitals</w:t>
            </w:r>
          </w:p>
        </w:tc>
        <w:tc>
          <w:tcPr>
            <w:tcW w:w="2066" w:type="dxa"/>
            <w:vAlign w:val="center"/>
          </w:tcPr>
          <w:p w14:paraId="2DC820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161D74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4C4211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Models private hospital viability under package prices and cost structures.</w:t>
            </w:r>
          </w:p>
        </w:tc>
        <w:tc>
          <w:tcPr>
            <w:tcW w:w="2153" w:type="dxa"/>
            <w:vAlign w:val="center"/>
          </w:tcPr>
          <w:p w14:paraId="1D93D9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result.</w:t>
            </w:r>
          </w:p>
        </w:tc>
      </w:tr>
      <w:tr w14:paraId="283E8E6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6E4772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3403" w:type="dxa"/>
            <w:vAlign w:val="center"/>
          </w:tcPr>
          <w:p w14:paraId="460B90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Sirur and Rajasekharan Pillai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4BE74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598126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748376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2D0A3D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hospital pricing is complex and under-theorized across disciplines.</w:t>
            </w:r>
          </w:p>
        </w:tc>
        <w:tc>
          <w:tcPr>
            <w:tcW w:w="2153" w:type="dxa"/>
            <w:vAlign w:val="center"/>
          </w:tcPr>
          <w:p w14:paraId="7CE640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Cambridge article/PDF identifier.</w:t>
            </w:r>
          </w:p>
        </w:tc>
      </w:tr>
      <w:tr w14:paraId="6386735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2EA3F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3403" w:type="dxa"/>
            <w:vAlign w:val="center"/>
          </w:tcPr>
          <w:p w14:paraId="6F9192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Rocha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3EB1AD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415283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0D5D4F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3008AD6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Summarizes cost accounting methods used in hospitals over four decades.</w:t>
            </w:r>
          </w:p>
        </w:tc>
        <w:tc>
          <w:tcPr>
            <w:tcW w:w="2153" w:type="dxa"/>
            <w:vAlign w:val="center"/>
          </w:tcPr>
          <w:p w14:paraId="57F16A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 search result.</w:t>
            </w:r>
          </w:p>
        </w:tc>
      </w:tr>
      <w:tr w14:paraId="46F0240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804AD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3403" w:type="dxa"/>
            <w:vAlign w:val="center"/>
          </w:tcPr>
          <w:p w14:paraId="268589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NHS England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6C024E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payment / institutional guidance</w:t>
            </w:r>
          </w:p>
        </w:tc>
        <w:tc>
          <w:tcPr>
            <w:tcW w:w="2066" w:type="dxa"/>
            <w:vAlign w:val="center"/>
          </w:tcPr>
          <w:p w14:paraId="2F7E4D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21FDFB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73255D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Defines aggregated and patient-level cost collection for NHS services.</w:t>
            </w:r>
          </w:p>
        </w:tc>
        <w:tc>
          <w:tcPr>
            <w:tcW w:w="2153" w:type="dxa"/>
            <w:vAlign w:val="center"/>
          </w:tcPr>
          <w:p w14:paraId="7B8C0D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England page.</w:t>
            </w:r>
          </w:p>
        </w:tc>
      </w:tr>
      <w:tr w14:paraId="1524BF5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5A3D42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3403" w:type="dxa"/>
            <w:vAlign w:val="center"/>
          </w:tcPr>
          <w:p w14:paraId="790D9B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NHS England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1A1184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payment / institutional guidance</w:t>
            </w:r>
          </w:p>
        </w:tc>
        <w:tc>
          <w:tcPr>
            <w:tcW w:w="2066" w:type="dxa"/>
            <w:vAlign w:val="center"/>
          </w:tcPr>
          <w:p w14:paraId="2D051C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2D89DB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1CD3A1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patient-level costing standards are updated annually and support national cost collection.</w:t>
            </w:r>
          </w:p>
        </w:tc>
        <w:tc>
          <w:tcPr>
            <w:tcW w:w="2153" w:type="dxa"/>
            <w:vAlign w:val="center"/>
          </w:tcPr>
          <w:p w14:paraId="7DF0AC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England page.</w:t>
            </w:r>
          </w:p>
        </w:tc>
      </w:tr>
      <w:tr w14:paraId="1277B67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DCDBF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3403" w:type="dxa"/>
            <w:vAlign w:val="center"/>
          </w:tcPr>
          <w:p w14:paraId="193984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NHS Digital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E8D75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payment / institutional guidance</w:t>
            </w:r>
          </w:p>
        </w:tc>
        <w:tc>
          <w:tcPr>
            <w:tcW w:w="2066" w:type="dxa"/>
            <w:vAlign w:val="center"/>
          </w:tcPr>
          <w:p w14:paraId="23E8F3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4EB96C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2D243D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Defines PLICS data submission categories for NHS providers.</w:t>
            </w:r>
          </w:p>
        </w:tc>
        <w:tc>
          <w:tcPr>
            <w:tcW w:w="2153" w:type="dxa"/>
            <w:vAlign w:val="center"/>
          </w:tcPr>
          <w:p w14:paraId="625282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Digital page.</w:t>
            </w:r>
          </w:p>
        </w:tc>
      </w:tr>
      <w:tr w14:paraId="2E881A55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5A0DB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3403" w:type="dxa"/>
            <w:vAlign w:val="center"/>
          </w:tcPr>
          <w:p w14:paraId="570E2A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NHS England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55853F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payment / institutional guidance</w:t>
            </w:r>
          </w:p>
        </w:tc>
        <w:tc>
          <w:tcPr>
            <w:tcW w:w="2066" w:type="dxa"/>
            <w:vAlign w:val="center"/>
          </w:tcPr>
          <w:p w14:paraId="73E2A8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26F380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policy/guidance</w:t>
            </w:r>
          </w:p>
        </w:tc>
        <w:tc>
          <w:tcPr>
            <w:tcW w:w="2073" w:type="dxa"/>
            <w:vAlign w:val="center"/>
          </w:tcPr>
          <w:p w14:paraId="1260FD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Documents of national prices and cost adjustments within the NHS payment scheme.</w:t>
            </w:r>
          </w:p>
        </w:tc>
        <w:tc>
          <w:tcPr>
            <w:tcW w:w="2153" w:type="dxa"/>
            <w:vAlign w:val="center"/>
          </w:tcPr>
          <w:p w14:paraId="2DDDBC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England PDF search result.</w:t>
            </w:r>
          </w:p>
        </w:tc>
      </w:tr>
      <w:tr w14:paraId="75C0834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666F3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3403" w:type="dxa"/>
            <w:vAlign w:val="center"/>
          </w:tcPr>
          <w:p w14:paraId="2698D1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Joint Learning Network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F9B2E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payment / institutional guidance</w:t>
            </w:r>
          </w:p>
        </w:tc>
        <w:tc>
          <w:tcPr>
            <w:tcW w:w="2066" w:type="dxa"/>
            <w:vAlign w:val="center"/>
          </w:tcPr>
          <w:p w14:paraId="0F4B7D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56C340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policy/guidance</w:t>
            </w:r>
          </w:p>
        </w:tc>
        <w:tc>
          <w:tcPr>
            <w:tcW w:w="2073" w:type="dxa"/>
            <w:vAlign w:val="center"/>
          </w:tcPr>
          <w:p w14:paraId="012A30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practical steps for costing exercises to inform provider payment.</w:t>
            </w:r>
          </w:p>
        </w:tc>
        <w:tc>
          <w:tcPr>
            <w:tcW w:w="2153" w:type="dxa"/>
            <w:vAlign w:val="center"/>
          </w:tcPr>
          <w:p w14:paraId="4A9FF6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JLN PDF.</w:t>
            </w:r>
          </w:p>
        </w:tc>
      </w:tr>
      <w:tr w14:paraId="4B8F6365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757882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3403" w:type="dxa"/>
            <w:vAlign w:val="center"/>
          </w:tcPr>
          <w:p w14:paraId="2B3F98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World Bank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1C14A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payment / institutional guidance</w:t>
            </w:r>
          </w:p>
        </w:tc>
        <w:tc>
          <w:tcPr>
            <w:tcW w:w="2066" w:type="dxa"/>
            <w:vAlign w:val="center"/>
          </w:tcPr>
          <w:p w14:paraId="2F5ED1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5CDF3D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policy/guidance</w:t>
            </w:r>
          </w:p>
        </w:tc>
        <w:tc>
          <w:tcPr>
            <w:tcW w:w="2073" w:type="dxa"/>
            <w:vAlign w:val="center"/>
          </w:tcPr>
          <w:p w14:paraId="624B96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Frames costing as central to paying the right price and incentive design.</w:t>
            </w:r>
          </w:p>
        </w:tc>
        <w:tc>
          <w:tcPr>
            <w:tcW w:w="2153" w:type="dxa"/>
            <w:vAlign w:val="center"/>
          </w:tcPr>
          <w:p w14:paraId="08DE19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World Bank document.</w:t>
            </w:r>
          </w:p>
        </w:tc>
      </w:tr>
      <w:tr w14:paraId="7348B57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6E508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3403" w:type="dxa"/>
            <w:vAlign w:val="center"/>
          </w:tcPr>
          <w:p w14:paraId="2B8FD5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OECD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47F8A3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28A936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11C07F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policy/guidance</w:t>
            </w:r>
          </w:p>
        </w:tc>
        <w:tc>
          <w:tcPr>
            <w:tcW w:w="2073" w:type="dxa"/>
            <w:vAlign w:val="center"/>
          </w:tcPr>
          <w:p w14:paraId="520B83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Highlights measurement challenges in comparing hospital service prices across countries.</w:t>
            </w:r>
          </w:p>
        </w:tc>
        <w:tc>
          <w:tcPr>
            <w:tcW w:w="2153" w:type="dxa"/>
            <w:vAlign w:val="center"/>
          </w:tcPr>
          <w:p w14:paraId="1EBA7C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OECD page.</w:t>
            </w:r>
          </w:p>
        </w:tc>
      </w:tr>
      <w:tr w14:paraId="4964EBC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47666F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3403" w:type="dxa"/>
            <w:vAlign w:val="center"/>
          </w:tcPr>
          <w:p w14:paraId="3FC975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Turner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2EB091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payment / institutional guidance</w:t>
            </w:r>
          </w:p>
        </w:tc>
        <w:tc>
          <w:tcPr>
            <w:tcW w:w="2066" w:type="dxa"/>
            <w:vAlign w:val="center"/>
          </w:tcPr>
          <w:p w14:paraId="46DCC3D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556331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225D27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healthcare and hospital service price differences can distort spending comparisons.</w:t>
            </w:r>
          </w:p>
        </w:tc>
        <w:tc>
          <w:tcPr>
            <w:tcW w:w="2153" w:type="dxa"/>
            <w:vAlign w:val="center"/>
          </w:tcPr>
          <w:p w14:paraId="6AD35B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Sage PDF result.</w:t>
            </w:r>
          </w:p>
        </w:tc>
      </w:tr>
      <w:tr w14:paraId="0B74519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FB722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3403" w:type="dxa"/>
            <w:vAlign w:val="center"/>
          </w:tcPr>
          <w:p w14:paraId="6FBD86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Leusder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54D914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26F538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6D55E68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1D3B04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Finds cost information facilitates value-based decision-making, with process mapping and expert input as best practices.</w:t>
            </w:r>
          </w:p>
        </w:tc>
        <w:tc>
          <w:tcPr>
            <w:tcW w:w="2153" w:type="dxa"/>
            <w:vAlign w:val="center"/>
          </w:tcPr>
          <w:p w14:paraId="7C1D4F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 search result.</w:t>
            </w:r>
          </w:p>
        </w:tc>
      </w:tr>
      <w:tr w14:paraId="6310F8C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086ABD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3403" w:type="dxa"/>
            <w:vAlign w:val="center"/>
          </w:tcPr>
          <w:p w14:paraId="01EC72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Jeet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66F2C3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0A437F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210B0E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8D1B8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methodological variation in costing essential health service packages.</w:t>
            </w:r>
          </w:p>
        </w:tc>
        <w:tc>
          <w:tcPr>
            <w:tcW w:w="2153" w:type="dxa"/>
            <w:vAlign w:val="center"/>
          </w:tcPr>
          <w:p w14:paraId="308E6D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Value in Health/search result.</w:t>
            </w:r>
          </w:p>
        </w:tc>
      </w:tr>
      <w:tr w14:paraId="7751B68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D24E01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3403" w:type="dxa"/>
            <w:vAlign w:val="center"/>
          </w:tcPr>
          <w:p w14:paraId="2AB54D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Cantero-Muñoz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0875EE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2F567B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3F464E7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4689FC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Compares ABC and TDABC as alternatives to traditional costing systems in healthcare.</w:t>
            </w:r>
          </w:p>
        </w:tc>
        <w:tc>
          <w:tcPr>
            <w:tcW w:w="2153" w:type="dxa"/>
            <w:vAlign w:val="center"/>
          </w:tcPr>
          <w:p w14:paraId="36ABC9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 search result.</w:t>
            </w:r>
          </w:p>
        </w:tc>
      </w:tr>
      <w:tr w14:paraId="7556874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4D3A0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3403" w:type="dxa"/>
            <w:vAlign w:val="center"/>
          </w:tcPr>
          <w:p w14:paraId="15BD36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Mohammadpour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16E4B2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Outpatient rehabilitation</w:t>
            </w:r>
          </w:p>
        </w:tc>
        <w:tc>
          <w:tcPr>
            <w:tcW w:w="2066" w:type="dxa"/>
            <w:vAlign w:val="center"/>
          </w:tcPr>
          <w:p w14:paraId="5E904D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7FCD8D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Indirect/contextual</w:t>
            </w:r>
          </w:p>
        </w:tc>
        <w:tc>
          <w:tcPr>
            <w:tcW w:w="2073" w:type="dxa"/>
            <w:vAlign w:val="center"/>
          </w:tcPr>
          <w:p w14:paraId="0DD816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applies to estimate outpatient rehabilitation costs.</w:t>
            </w:r>
          </w:p>
        </w:tc>
        <w:tc>
          <w:tcPr>
            <w:tcW w:w="2153" w:type="dxa"/>
            <w:vAlign w:val="center"/>
          </w:tcPr>
          <w:p w14:paraId="35D632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BMC/SciSpace result.</w:t>
            </w:r>
          </w:p>
        </w:tc>
      </w:tr>
      <w:tr w14:paraId="0D2EFC6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3908D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3403" w:type="dxa"/>
            <w:vAlign w:val="center"/>
          </w:tcPr>
          <w:p w14:paraId="2B9CD7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Munaa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3B07F8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3BD614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TDABC/ABC</w:t>
            </w:r>
          </w:p>
        </w:tc>
        <w:tc>
          <w:tcPr>
            <w:tcW w:w="2057" w:type="dxa"/>
            <w:vAlign w:val="center"/>
          </w:tcPr>
          <w:p w14:paraId="1417C7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empirical/analytic</w:t>
            </w:r>
          </w:p>
        </w:tc>
        <w:tc>
          <w:tcPr>
            <w:tcW w:w="2073" w:type="dxa"/>
            <w:vAlign w:val="center"/>
          </w:tcPr>
          <w:p w14:paraId="222D73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ABC as a basis for inpatient service tariff analysis.</w:t>
            </w:r>
          </w:p>
        </w:tc>
        <w:tc>
          <w:tcPr>
            <w:tcW w:w="2153" w:type="dxa"/>
            <w:vAlign w:val="center"/>
          </w:tcPr>
          <w:p w14:paraId="44B5CA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journal page search result.</w:t>
            </w:r>
          </w:p>
        </w:tc>
      </w:tr>
      <w:tr w14:paraId="5010F92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E9552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3403" w:type="dxa"/>
            <w:vAlign w:val="center"/>
          </w:tcPr>
          <w:p w14:paraId="218558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World Health Organization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13A418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1954A3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1D340A2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 policy/guidance</w:t>
            </w:r>
          </w:p>
        </w:tc>
        <w:tc>
          <w:tcPr>
            <w:tcW w:w="2073" w:type="dxa"/>
            <w:vAlign w:val="center"/>
          </w:tcPr>
          <w:p w14:paraId="19B045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the link between price-setting, regulation and universal health coverage.</w:t>
            </w:r>
          </w:p>
        </w:tc>
        <w:tc>
          <w:tcPr>
            <w:tcW w:w="2153" w:type="dxa"/>
            <w:vAlign w:val="center"/>
          </w:tcPr>
          <w:p w14:paraId="1A692D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official WHO publication page.</w:t>
            </w:r>
          </w:p>
        </w:tc>
      </w:tr>
      <w:tr w14:paraId="4CC0818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363362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3403" w:type="dxa"/>
            <w:vAlign w:val="center"/>
          </w:tcPr>
          <w:p w14:paraId="6C4843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Husereau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2B4D03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447FBE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253C98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Methods-only anchor</w:t>
            </w:r>
          </w:p>
        </w:tc>
        <w:tc>
          <w:tcPr>
            <w:tcW w:w="2073" w:type="dxa"/>
            <w:vAlign w:val="center"/>
          </w:tcPr>
          <w:p w14:paraId="207192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economic evaluation reporting where tariff models include cost-effectiveness components.</w:t>
            </w:r>
          </w:p>
        </w:tc>
        <w:tc>
          <w:tcPr>
            <w:tcW w:w="2153" w:type="dxa"/>
            <w:vAlign w:val="center"/>
          </w:tcPr>
          <w:p w14:paraId="401A51C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official CHEERS 2022 DOI record.</w:t>
            </w:r>
          </w:p>
        </w:tc>
      </w:tr>
      <w:tr w14:paraId="345FAF2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10352A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3403" w:type="dxa"/>
            <w:vAlign w:val="center"/>
          </w:tcPr>
          <w:p w14:paraId="62BA94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Whiting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2AD6B3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09B96A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6825EEB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Methods-only anchor</w:t>
            </w:r>
          </w:p>
        </w:tc>
        <w:tc>
          <w:tcPr>
            <w:tcW w:w="2073" w:type="dxa"/>
            <w:vAlign w:val="center"/>
          </w:tcPr>
          <w:p w14:paraId="2194B3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basis for appraising systematic reviews included in this review.</w:t>
            </w:r>
          </w:p>
        </w:tc>
        <w:tc>
          <w:tcPr>
            <w:tcW w:w="2153" w:type="dxa"/>
            <w:vAlign w:val="center"/>
          </w:tcPr>
          <w:p w14:paraId="60BFAD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 Clin Epidemiology/Bristol ROBIS search result.</w:t>
            </w:r>
          </w:p>
        </w:tc>
      </w:tr>
      <w:tr w14:paraId="16BCA44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5D06C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3403" w:type="dxa"/>
            <w:vAlign w:val="center"/>
          </w:tcPr>
          <w:p w14:paraId="37E031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Hong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2ED196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397CC4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5ECC9C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Methods-only anchor</w:t>
            </w:r>
          </w:p>
        </w:tc>
        <w:tc>
          <w:tcPr>
            <w:tcW w:w="2073" w:type="dxa"/>
            <w:vAlign w:val="center"/>
          </w:tcPr>
          <w:p w14:paraId="55BF16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appraisal of mixed qualitative, quantitative and mixed-methods studies.</w:t>
            </w:r>
          </w:p>
        </w:tc>
        <w:tc>
          <w:tcPr>
            <w:tcW w:w="2153" w:type="dxa"/>
            <w:vAlign w:val="center"/>
          </w:tcPr>
          <w:p w14:paraId="1EDCC6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MMAT PDF search result.</w:t>
            </w:r>
          </w:p>
        </w:tc>
      </w:tr>
      <w:tr w14:paraId="29B3931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  <w:vAlign w:val="center"/>
          </w:tcPr>
          <w:p w14:paraId="5DF7A5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3403" w:type="dxa"/>
            <w:vAlign w:val="center"/>
          </w:tcPr>
          <w:p w14:paraId="009966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Billaux et al. 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2067" w:type="dxa"/>
            <w:vAlign w:val="center"/>
          </w:tcPr>
          <w:p w14:paraId="17EEED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Hospital/public healthcare</w:t>
            </w:r>
          </w:p>
        </w:tc>
        <w:tc>
          <w:tcPr>
            <w:tcW w:w="2066" w:type="dxa"/>
            <w:vAlign w:val="center"/>
          </w:tcPr>
          <w:p w14:paraId="440BE4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Policy/method</w:t>
            </w:r>
          </w:p>
        </w:tc>
        <w:tc>
          <w:tcPr>
            <w:tcW w:w="2057" w:type="dxa"/>
            <w:vAlign w:val="center"/>
          </w:tcPr>
          <w:p w14:paraId="5DD005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Methods-only anchor</w:t>
            </w:r>
          </w:p>
        </w:tc>
        <w:tc>
          <w:tcPr>
            <w:tcW w:w="2073" w:type="dxa"/>
            <w:vAlign w:val="center"/>
          </w:tcPr>
          <w:p w14:paraId="78CDA8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Clarifies distinctions among costs, charges, reimbursement rates and tariffs.</w:t>
            </w:r>
          </w:p>
        </w:tc>
        <w:tc>
          <w:tcPr>
            <w:tcW w:w="2153" w:type="dxa"/>
            <w:vAlign w:val="center"/>
          </w:tcPr>
          <w:p w14:paraId="04BEE0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PDF search result.</w:t>
            </w:r>
          </w:p>
        </w:tc>
      </w:tr>
    </w:tbl>
    <w:p w14:paraId="62DF64FD">
      <w:pPr>
        <w:pStyle w:val="2"/>
        <w:spacing w:before="120" w:after="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Supplementary Table S4. Evidence-role classification and inference boundaries</w:t>
      </w:r>
    </w:p>
    <w:p w14:paraId="18657980">
      <w:pPr>
        <w:spacing w:after="80" w:line="276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The evidence-role classification separates records that directly informed a tariff or provider-payment decision from sources that provided only costing, process, implementation, or governance context. The categories below describe relevance to tariff inference rather than risk of bias or causal certainty.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4"/>
        <w:gridCol w:w="749"/>
        <w:gridCol w:w="5334"/>
        <w:gridCol w:w="5329"/>
      </w:tblGrid>
      <w:tr w14:paraId="2086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E7290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Evidence-role category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34EA1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4ECA6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What it supports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1F5F1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Inference boundary</w:t>
            </w:r>
          </w:p>
        </w:tc>
      </w:tr>
      <w:tr w14:paraId="11A09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EA0F3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Total catalogued records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88EA1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F72C6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Complete review corpus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78640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Includes 46 substantive sources and 5 methods-only anchors.</w:t>
            </w:r>
          </w:p>
        </w:tc>
      </w:tr>
      <w:tr w14:paraId="7FB1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D73D5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Substantive sources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9E80E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D390A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Evidence used to inform synthesis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88E6A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Does not imply equal methodological quality across source types.</w:t>
            </w:r>
          </w:p>
        </w:tc>
      </w:tr>
      <w:tr w14:paraId="510EE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7440B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Direct empirical/analytic tariff linkage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8CE8A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8628A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Observed or analytic links between costing evidence and tariff/payment decisions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E15E8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Direct linkage does not by itself establish causal effectiveness.</w:t>
            </w:r>
          </w:p>
        </w:tc>
      </w:tr>
      <w:tr w14:paraId="16104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003FD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Direct review tariff linkage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2727F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CBB68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Review-level synthesis explicitly addressing cost-to-tariff translation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03742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Review evidence does not evaluate the complete integrated framework.</w:t>
            </w:r>
          </w:p>
        </w:tc>
      </w:tr>
      <w:tr w14:paraId="5F2C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EA1DE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Direct policy/guidance tariff linkage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55A74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576BA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Authoritative payment or pricing guidance connecting costing with tariff decisions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4A5A3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Normative guidance is not equivalent to empirical effect evidence.</w:t>
            </w:r>
          </w:p>
        </w:tc>
      </w:tr>
      <w:tr w14:paraId="04F53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8DF79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Indirect/contextual evidence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459BC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66E4F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Costing feasibility, process measurement, implementation, and governance context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AD925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No demonstrated use of costing evidence in a tariff decision.</w:t>
            </w:r>
          </w:p>
        </w:tc>
      </w:tr>
      <w:tr w14:paraId="081F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9775C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Methods-only anchors</w:t>
            </w:r>
          </w:p>
        </w:tc>
        <w:tc>
          <w:tcPr>
            <w:tcW w:w="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C2F4F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239A2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Reporting, appraisal, and terminology support</w:t>
            </w:r>
          </w:p>
        </w:tc>
        <w:tc>
          <w:tcPr>
            <w:tcW w:w="57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FBB4A">
            <w:pPr>
              <w:spacing w:after="0" w:line="24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Excluded from substantive framework claims.</w:t>
            </w:r>
          </w:p>
        </w:tc>
      </w:tr>
    </w:tbl>
    <w:p w14:paraId="3E81386A">
      <w:pPr>
        <w:pStyle w:val="2"/>
        <w:spacing w:before="120" w:after="6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604EE5C">
      <w:pPr>
        <w:pStyle w:val="2"/>
        <w:spacing w:before="120" w:after="6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Supplementary Table S5. Reference verification table</w:t>
      </w:r>
    </w:p>
    <w:tbl>
      <w:tblPr>
        <w:tblStyle w:val="12"/>
        <w:tblW w:w="14361" w:type="dxa"/>
        <w:tblInd w:w="0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5182"/>
        <w:gridCol w:w="2892"/>
        <w:gridCol w:w="1890"/>
        <w:gridCol w:w="2266"/>
        <w:gridCol w:w="1480"/>
      </w:tblGrid>
      <w:tr w14:paraId="7FAA55E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51" w:type="dxa"/>
            <w:vAlign w:val="center"/>
          </w:tcPr>
          <w:p w14:paraId="557F8C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No.</w:t>
            </w:r>
          </w:p>
        </w:tc>
        <w:tc>
          <w:tcPr>
            <w:tcW w:w="5182" w:type="dxa"/>
            <w:vAlign w:val="center"/>
          </w:tcPr>
          <w:p w14:paraId="193BD8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Reference (manuscript citation)</w:t>
            </w:r>
          </w:p>
        </w:tc>
        <w:tc>
          <w:tcPr>
            <w:tcW w:w="2892" w:type="dxa"/>
            <w:vAlign w:val="center"/>
          </w:tcPr>
          <w:p w14:paraId="27E577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DOI or stable link</w:t>
            </w:r>
          </w:p>
        </w:tc>
        <w:tc>
          <w:tcPr>
            <w:tcW w:w="1890" w:type="dxa"/>
            <w:vAlign w:val="center"/>
          </w:tcPr>
          <w:p w14:paraId="293118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Source type</w:t>
            </w:r>
          </w:p>
        </w:tc>
        <w:tc>
          <w:tcPr>
            <w:tcW w:w="2266" w:type="dxa"/>
            <w:vAlign w:val="center"/>
          </w:tcPr>
          <w:p w14:paraId="5B947F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Claim supported in manuscript</w:t>
            </w:r>
          </w:p>
        </w:tc>
        <w:tc>
          <w:tcPr>
            <w:tcW w:w="1480" w:type="dxa"/>
            <w:vAlign w:val="center"/>
          </w:tcPr>
          <w:p w14:paraId="6ADEC7F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Verification note</w:t>
            </w:r>
          </w:p>
        </w:tc>
      </w:tr>
      <w:tr w14:paraId="337ADCE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4AE4C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82" w:type="dxa"/>
            <w:vAlign w:val="center"/>
          </w:tcPr>
          <w:p w14:paraId="6DB871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Page, M. J., McKenzie, J. E., Bossuyt, P. M., Boutron, I., Hoffmann, T. C., Mulrow, C. D., et al. (2021). The PRISMA 2020 statement: An updated guideline for reporting systematic reviews. BMJ, 372, n71. https://doi.org/10.1136/bmj.n71</w:t>
            </w:r>
          </w:p>
        </w:tc>
        <w:tc>
          <w:tcPr>
            <w:tcW w:w="2892" w:type="dxa"/>
            <w:vAlign w:val="center"/>
          </w:tcPr>
          <w:p w14:paraId="57E480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https://doi.org/10.1136/bmj.n71</w:t>
            </w:r>
          </w:p>
        </w:tc>
        <w:tc>
          <w:tcPr>
            <w:tcW w:w="1890" w:type="dxa"/>
            <w:vAlign w:val="center"/>
          </w:tcPr>
          <w:p w14:paraId="743590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Reporting guideline</w:t>
            </w:r>
          </w:p>
        </w:tc>
        <w:tc>
          <w:tcPr>
            <w:tcW w:w="2266" w:type="dxa"/>
            <w:vAlign w:val="center"/>
          </w:tcPr>
          <w:p w14:paraId="45E8EA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use of PRISMA 2020 flow, search transparency and structured reporting.</w:t>
            </w:r>
          </w:p>
        </w:tc>
        <w:tc>
          <w:tcPr>
            <w:tcW w:w="1480" w:type="dxa"/>
            <w:vAlign w:val="center"/>
          </w:tcPr>
          <w:p w14:paraId="137967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from BMJ record; used for methods and abstract structure.</w:t>
            </w:r>
          </w:p>
        </w:tc>
      </w:tr>
      <w:tr w14:paraId="4DA8963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0B79CE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182" w:type="dxa"/>
            <w:vAlign w:val="center"/>
          </w:tcPr>
          <w:p w14:paraId="5AF7E2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Cunnama, L., Sinanovic, E., Ramma, L., Foster, N., Berrie, L., Stevens, W., &amp; Meyer-Rath, G. (2020). A general framework for classifying costing methods for economic evaluation of health care. The European Journal of Health Economics, 21, 529–542. https://doi.org/10.1007/s10198-019-01157-9</w:t>
            </w:r>
          </w:p>
        </w:tc>
        <w:tc>
          <w:tcPr>
            <w:tcW w:w="2892" w:type="dxa"/>
            <w:vAlign w:val="center"/>
          </w:tcPr>
          <w:p w14:paraId="72C1F24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https://doi.org/10.1007/s10198-019-01157-9</w:t>
            </w:r>
          </w:p>
        </w:tc>
        <w:tc>
          <w:tcPr>
            <w:tcW w:w="1890" w:type="dxa"/>
            <w:vAlign w:val="center"/>
          </w:tcPr>
          <w:p w14:paraId="15787F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Methodological scoping review</w:t>
            </w:r>
          </w:p>
        </w:tc>
        <w:tc>
          <w:tcPr>
            <w:tcW w:w="2266" w:type="dxa"/>
            <w:vAlign w:val="center"/>
          </w:tcPr>
          <w:p w14:paraId="4AC17A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Defines top-down, bottom-up, gross-costing, micro-costing and highlights terminology inconsistencies.</w:t>
            </w:r>
          </w:p>
        </w:tc>
        <w:tc>
          <w:tcPr>
            <w:tcW w:w="1480" w:type="dxa"/>
            <w:vAlign w:val="center"/>
          </w:tcPr>
          <w:p w14:paraId="7B8237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Springer/PMC record.</w:t>
            </w:r>
          </w:p>
        </w:tc>
      </w:tr>
      <w:tr w14:paraId="4F721D9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579817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182" w:type="dxa"/>
            <w:vAlign w:val="center"/>
          </w:tcPr>
          <w:p w14:paraId="00BCCB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Guinness, L., Ghosh, S., Mehndiratta, A., &amp; Shah, H. A. (2022). Role of healthcare cost accounting in pricing and reimbursement in low-income and middle-income countries: A scoping review. BMJ Open, 12(9), e065019. https://doi.org/10.1136/bmjopen-2022-065019</w:t>
            </w:r>
          </w:p>
        </w:tc>
        <w:tc>
          <w:tcPr>
            <w:tcW w:w="2892" w:type="dxa"/>
            <w:vAlign w:val="center"/>
          </w:tcPr>
          <w:p w14:paraId="65E128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https://doi.org/10.1136/bmjopen-2022-065019</w:t>
            </w:r>
          </w:p>
        </w:tc>
        <w:tc>
          <w:tcPr>
            <w:tcW w:w="1890" w:type="dxa"/>
            <w:vAlign w:val="center"/>
          </w:tcPr>
          <w:p w14:paraId="09C9F6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Scoping review</w:t>
            </w:r>
          </w:p>
        </w:tc>
        <w:tc>
          <w:tcPr>
            <w:tcW w:w="2266" w:type="dxa"/>
            <w:vAlign w:val="center"/>
          </w:tcPr>
          <w:p w14:paraId="240937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limited documentation on how cost evidence is incorporated into tariff-setting in LMICs.</w:t>
            </w:r>
          </w:p>
        </w:tc>
        <w:tc>
          <w:tcPr>
            <w:tcW w:w="1480" w:type="dxa"/>
            <w:vAlign w:val="center"/>
          </w:tcPr>
          <w:p w14:paraId="10A2C5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Open/PubMed search result.</w:t>
            </w:r>
          </w:p>
        </w:tc>
      </w:tr>
      <w:tr w14:paraId="246F39F1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67E715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182" w:type="dxa"/>
            <w:vAlign w:val="center"/>
          </w:tcPr>
          <w:p w14:paraId="27413C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Guinness, L., et al. (2024). Health care cost accounting in the Indian hospital sector. Health Policy and Planning, 39(7), 731–740. https://doi.org/10.1093/heapol/czae040</w:t>
            </w:r>
          </w:p>
        </w:tc>
        <w:tc>
          <w:tcPr>
            <w:tcW w:w="2892" w:type="dxa"/>
            <w:vAlign w:val="center"/>
          </w:tcPr>
          <w:p w14:paraId="0CA7C5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https://doi.org/10.1093/heapol/czae040</w:t>
            </w:r>
          </w:p>
        </w:tc>
        <w:tc>
          <w:tcPr>
            <w:tcW w:w="1890" w:type="dxa"/>
            <w:vAlign w:val="center"/>
          </w:tcPr>
          <w:p w14:paraId="1B4F04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Qualitative policy study</w:t>
            </w:r>
          </w:p>
        </w:tc>
        <w:tc>
          <w:tcPr>
            <w:tcW w:w="2266" w:type="dxa"/>
            <w:vAlign w:val="center"/>
          </w:tcPr>
          <w:p w14:paraId="41610B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need for standardized provider-generated cost information for reimbursement rates.</w:t>
            </w:r>
          </w:p>
        </w:tc>
        <w:tc>
          <w:tcPr>
            <w:tcW w:w="1480" w:type="dxa"/>
            <w:vAlign w:val="center"/>
          </w:tcPr>
          <w:p w14:paraId="4304A6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Oxford Academic lines with DOI.</w:t>
            </w:r>
          </w:p>
        </w:tc>
      </w:tr>
      <w:tr w14:paraId="5FFB7CB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5A0EAB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182" w:type="dxa"/>
            <w:vAlign w:val="center"/>
          </w:tcPr>
          <w:p w14:paraId="7FD8AB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Ninerola, A., Hernández-Lara, A. B., &amp; Sánchez-Rebull, M. V. (2021). Improving healthcare performance through activity-based costing and time-driven activity-based costing. The International Journal of Health Planning and Management, 36(6), 2079–2093. https://doi.org/10.1002/hpm.3304</w:t>
            </w:r>
          </w:p>
        </w:tc>
        <w:tc>
          <w:tcPr>
            <w:tcW w:w="2892" w:type="dxa"/>
            <w:vAlign w:val="center"/>
          </w:tcPr>
          <w:p w14:paraId="36352E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https://doi.org/10.1002/hpm.3304</w:t>
            </w:r>
          </w:p>
        </w:tc>
        <w:tc>
          <w:tcPr>
            <w:tcW w:w="1890" w:type="dxa"/>
            <w:vAlign w:val="center"/>
          </w:tcPr>
          <w:p w14:paraId="314947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Systematic/narrative review</w:t>
            </w:r>
          </w:p>
        </w:tc>
        <w:tc>
          <w:tcPr>
            <w:tcW w:w="2266" w:type="dxa"/>
            <w:vAlign w:val="center"/>
          </w:tcPr>
          <w:p w14:paraId="6347C7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bibliometric and content evidence that ABC/TDABC applications in health care are growing.</w:t>
            </w:r>
          </w:p>
        </w:tc>
        <w:tc>
          <w:tcPr>
            <w:tcW w:w="1480" w:type="dxa"/>
            <w:vAlign w:val="center"/>
          </w:tcPr>
          <w:p w14:paraId="53AAF1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Wiley/PubMed search result.</w:t>
            </w:r>
          </w:p>
        </w:tc>
      </w:tr>
      <w:tr w14:paraId="0001A7E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DEC6E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182" w:type="dxa"/>
            <w:vAlign w:val="center"/>
          </w:tcPr>
          <w:p w14:paraId="024C35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Keel, G., Savage, C., Rafiq, M., &amp; Mazzocato, P. (2017). Time-driven activity-based costing in health care: A systematic review of the literature. Health Policy, 121(7), 755–763. https://doi.org/10.1016/j.healthpol.2017.04.013</w:t>
            </w:r>
          </w:p>
        </w:tc>
        <w:tc>
          <w:tcPr>
            <w:tcW w:w="2892" w:type="dxa"/>
            <w:vAlign w:val="center"/>
          </w:tcPr>
          <w:p w14:paraId="40A798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https://doi.org/10.1016/j.healthpol.2017.04.013</w:t>
            </w:r>
          </w:p>
        </w:tc>
        <w:tc>
          <w:tcPr>
            <w:tcW w:w="1890" w:type="dxa"/>
            <w:vAlign w:val="center"/>
          </w:tcPr>
          <w:p w14:paraId="789572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Systematic review</w:t>
            </w:r>
          </w:p>
        </w:tc>
        <w:tc>
          <w:tcPr>
            <w:tcW w:w="2266" w:type="dxa"/>
            <w:vAlign w:val="center"/>
          </w:tcPr>
          <w:p w14:paraId="185B8D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Found TDABC increasingly used as a cost component for value-based health care.</w:t>
            </w:r>
          </w:p>
        </w:tc>
        <w:tc>
          <w:tcPr>
            <w:tcW w:w="1480" w:type="dxa"/>
            <w:vAlign w:val="center"/>
          </w:tcPr>
          <w:p w14:paraId="0B6014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ScienceDirect/Europe PMC result.</w:t>
            </w:r>
          </w:p>
        </w:tc>
      </w:tr>
      <w:tr w14:paraId="5165EC6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5A9285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182" w:type="dxa"/>
            <w:vAlign w:val="center"/>
          </w:tcPr>
          <w:p w14:paraId="421A8D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Li, Y., et al. (2025). Time-driven activity-based costing and its use in health economic analysis: A systematic literature review. Pharmacoeconomics, 43, 1–16. https://doi.org/10.1007/s40258-025-00988-3</w:t>
            </w:r>
          </w:p>
        </w:tc>
        <w:tc>
          <w:tcPr>
            <w:tcW w:w="2892" w:type="dxa"/>
            <w:vAlign w:val="center"/>
          </w:tcPr>
          <w:p w14:paraId="0FB2507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https://doi.org/10.1007/s40258-025-00988-3</w:t>
            </w:r>
          </w:p>
        </w:tc>
        <w:tc>
          <w:tcPr>
            <w:tcW w:w="1890" w:type="dxa"/>
            <w:vAlign w:val="center"/>
          </w:tcPr>
          <w:p w14:paraId="46C4F8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Systematic review</w:t>
            </w:r>
          </w:p>
        </w:tc>
        <w:tc>
          <w:tcPr>
            <w:tcW w:w="2266" w:type="dxa"/>
            <w:vAlign w:val="center"/>
          </w:tcPr>
          <w:p w14:paraId="0D6D3E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Reports 32 included studies and broad TDABC use across health-economic analyses.</w:t>
            </w:r>
          </w:p>
        </w:tc>
        <w:tc>
          <w:tcPr>
            <w:tcW w:w="1480" w:type="dxa"/>
            <w:vAlign w:val="center"/>
          </w:tcPr>
          <w:p w14:paraId="330B3E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record; bibliographic details checked against DOI record.</w:t>
            </w:r>
          </w:p>
        </w:tc>
      </w:tr>
      <w:tr w14:paraId="34114EE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E2B16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182" w:type="dxa"/>
            <w:vAlign w:val="center"/>
          </w:tcPr>
          <w:p w14:paraId="6604E9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Etges, A. P. B. S., Jones, P., Liu, H., Zhang, X., &amp; Haas, D. (2024). Improvements in technology and the expanding role of time-driven, activity-based costing to increase value in healthcare provider organizations: A literature review. Frontiers in Pharmacology, 15, 1345842. https://doi.org/10.3389/fphar.2024.1345842</w:t>
            </w:r>
          </w:p>
        </w:tc>
        <w:tc>
          <w:tcPr>
            <w:tcW w:w="2892" w:type="dxa"/>
            <w:vAlign w:val="center"/>
          </w:tcPr>
          <w:p w14:paraId="6571B6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https://doi.org/10.3389/fphar.2024.1345842</w:t>
            </w:r>
          </w:p>
        </w:tc>
        <w:tc>
          <w:tcPr>
            <w:tcW w:w="1890" w:type="dxa"/>
            <w:vAlign w:val="center"/>
          </w:tcPr>
          <w:p w14:paraId="567D541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Literature review</w:t>
            </w:r>
          </w:p>
        </w:tc>
        <w:tc>
          <w:tcPr>
            <w:tcW w:w="2266" w:type="dxa"/>
            <w:vAlign w:val="center"/>
          </w:tcPr>
          <w:p w14:paraId="2110F7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the role of digital tools and technology in expanding TDABC feasibility.</w:t>
            </w:r>
          </w:p>
        </w:tc>
        <w:tc>
          <w:tcPr>
            <w:tcW w:w="1480" w:type="dxa"/>
            <w:vAlign w:val="center"/>
          </w:tcPr>
          <w:p w14:paraId="22FBE1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Frontiers/PMC result.</w:t>
            </w:r>
          </w:p>
        </w:tc>
      </w:tr>
      <w:tr w14:paraId="6260E02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170CFC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182" w:type="dxa"/>
            <w:vAlign w:val="center"/>
          </w:tcPr>
          <w:p w14:paraId="68376C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Jiang, Q., Zhu, X., Chen, L., Zhao, Z., &amp; Chen, Y. (2021). Research on time-driven activity-based management system of public hospitals. Frontiers in Public Health, 9, 763829. https://doi.org/10.3389/fpubh.2021.763829</w:t>
            </w:r>
          </w:p>
        </w:tc>
        <w:tc>
          <w:tcPr>
            <w:tcW w:w="2892" w:type="dxa"/>
            <w:vAlign w:val="center"/>
          </w:tcPr>
          <w:p w14:paraId="315732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https://doi.org/10.3389/fpubh.2021.763829</w:t>
            </w:r>
          </w:p>
        </w:tc>
        <w:tc>
          <w:tcPr>
            <w:tcW w:w="1890" w:type="dxa"/>
            <w:vAlign w:val="center"/>
          </w:tcPr>
          <w:p w14:paraId="79315E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hospital case/framework study</w:t>
            </w:r>
          </w:p>
        </w:tc>
        <w:tc>
          <w:tcPr>
            <w:tcW w:w="2266" w:type="dxa"/>
            <w:vAlign w:val="center"/>
          </w:tcPr>
          <w:p w14:paraId="75FBC8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TDABC-derived management systems can improve cost accounting precision and efficiency in public hospitals.</w:t>
            </w:r>
          </w:p>
        </w:tc>
        <w:tc>
          <w:tcPr>
            <w:tcW w:w="1480" w:type="dxa"/>
            <w:vAlign w:val="center"/>
          </w:tcPr>
          <w:p w14:paraId="573D36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Frontiers/PMC record.</w:t>
            </w:r>
          </w:p>
        </w:tc>
      </w:tr>
      <w:tr w14:paraId="34FDE3E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398545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182" w:type="dxa"/>
            <w:vAlign w:val="center"/>
          </w:tcPr>
          <w:p w14:paraId="48C5B5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Malmmose, M., &amp; Lydersen, J. P. (2021). From centralized DRG costing to decentralized TDABC—Assessing the feasibility of hospital cost accounting for decision-making in Denmark. BMC Health Services Research, 21, 835. https://doi.org/10.1186/s12913-021-06807-4</w:t>
            </w:r>
          </w:p>
        </w:tc>
        <w:tc>
          <w:tcPr>
            <w:tcW w:w="2892" w:type="dxa"/>
            <w:vAlign w:val="center"/>
          </w:tcPr>
          <w:p w14:paraId="63DB4F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https://doi.org/10.1186/s12913-021-06807-4</w:t>
            </w:r>
          </w:p>
        </w:tc>
        <w:tc>
          <w:tcPr>
            <w:tcW w:w="1890" w:type="dxa"/>
            <w:vAlign w:val="center"/>
          </w:tcPr>
          <w:p w14:paraId="6F9295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 cost accounting study</w:t>
            </w:r>
          </w:p>
        </w:tc>
        <w:tc>
          <w:tcPr>
            <w:tcW w:w="2266" w:type="dxa"/>
            <w:vAlign w:val="center"/>
          </w:tcPr>
          <w:p w14:paraId="65819B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Compares centralized DRG costing with decentralized TDABC for decision-making.</w:t>
            </w:r>
          </w:p>
        </w:tc>
        <w:tc>
          <w:tcPr>
            <w:tcW w:w="1480" w:type="dxa"/>
            <w:vAlign w:val="center"/>
          </w:tcPr>
          <w:p w14:paraId="38306E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BMC/PMC record.</w:t>
            </w:r>
          </w:p>
        </w:tc>
      </w:tr>
      <w:tr w14:paraId="486DD7C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0B1D98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182" w:type="dxa"/>
            <w:vAlign w:val="center"/>
          </w:tcPr>
          <w:p w14:paraId="097D74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Koster, F., Kok, M. R., van der Kooij, J., Waverijn, G., Weel-Koenders, A. E. A. M., &amp; Barreto, D. L. (2023). Dealing with time estimates in hospital cost accounting: Integrating fuzzy logic into time-driven activity-based costing. PharmacoEconomics Open, 7, 393–402. https://doi.org/10.1007/s41669-023-00413-2</w:t>
            </w:r>
          </w:p>
        </w:tc>
        <w:tc>
          <w:tcPr>
            <w:tcW w:w="2892" w:type="dxa"/>
            <w:vAlign w:val="center"/>
          </w:tcPr>
          <w:p w14:paraId="2CEE31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https://doi.org/10.1007/s41669-023-00413-2</w:t>
            </w:r>
          </w:p>
        </w:tc>
        <w:tc>
          <w:tcPr>
            <w:tcW w:w="1890" w:type="dxa"/>
            <w:vAlign w:val="center"/>
          </w:tcPr>
          <w:p w14:paraId="48DAA1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Methodological hospital costing study</w:t>
            </w:r>
          </w:p>
        </w:tc>
        <w:tc>
          <w:tcPr>
            <w:tcW w:w="2266" w:type="dxa"/>
            <w:vAlign w:val="center"/>
          </w:tcPr>
          <w:p w14:paraId="067900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Addresses uncertainty in TDABC time estimates using fuzzy logic.</w:t>
            </w:r>
          </w:p>
        </w:tc>
        <w:tc>
          <w:tcPr>
            <w:tcW w:w="1480" w:type="dxa"/>
            <w:vAlign w:val="center"/>
          </w:tcPr>
          <w:p w14:paraId="6B1CBC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Springer/PMC record.</w:t>
            </w:r>
          </w:p>
        </w:tc>
      </w:tr>
      <w:tr w14:paraId="7598709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38FCF8D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182" w:type="dxa"/>
            <w:vAlign w:val="center"/>
          </w:tcPr>
          <w:p w14:paraId="5BE325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Iachecen, F., Dallagassa, M. R., Santos, E. A. P., Carvalho, D. R., &amp; Ioshii, S. O. (2023). Is it possible to automate the discovery of process maps for the time-driven activity-based costing method? A systematic review. BMC Health Services Research, 23, 1337. https://doi.org/10.1186/s12913-023-10411-z</w:t>
            </w:r>
          </w:p>
        </w:tc>
        <w:tc>
          <w:tcPr>
            <w:tcW w:w="2892" w:type="dxa"/>
            <w:vAlign w:val="center"/>
          </w:tcPr>
          <w:p w14:paraId="341DA2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https://doi.org/10.1186/s12913-023-10411-z</w:t>
            </w:r>
          </w:p>
        </w:tc>
        <w:tc>
          <w:tcPr>
            <w:tcW w:w="1890" w:type="dxa"/>
            <w:vAlign w:val="center"/>
          </w:tcPr>
          <w:p w14:paraId="6FEEEA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Systematic mapping review</w:t>
            </w:r>
          </w:p>
        </w:tc>
        <w:tc>
          <w:tcPr>
            <w:tcW w:w="2266" w:type="dxa"/>
            <w:vAlign w:val="center"/>
          </w:tcPr>
          <w:p w14:paraId="3BA900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Identifies process mapping methods and reports 70 included practical TDABC cases.</w:t>
            </w:r>
          </w:p>
        </w:tc>
        <w:tc>
          <w:tcPr>
            <w:tcW w:w="1480" w:type="dxa"/>
            <w:vAlign w:val="center"/>
          </w:tcPr>
          <w:p w14:paraId="5D9699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 record.</w:t>
            </w:r>
          </w:p>
        </w:tc>
      </w:tr>
      <w:tr w14:paraId="119CEE49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42561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182" w:type="dxa"/>
            <w:vAlign w:val="center"/>
          </w:tcPr>
          <w:p w14:paraId="5914683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Cardoso, R. B., Marcolino, M. A. Z., Marcolino, M. S., Fortis, C. F., Moreira, L. B., Coutinho, A. P., et al. (2023). Comparison of COVID-19 hospitalization costs across care pathways: A patient-level time-driven activity-based costing analysis in a Brazilian hospital. BMC Health Services Research, 23, 198. https://doi.org/10.1186/s12913-023-09049-8</w:t>
            </w:r>
          </w:p>
        </w:tc>
        <w:tc>
          <w:tcPr>
            <w:tcW w:w="2892" w:type="dxa"/>
            <w:vAlign w:val="center"/>
          </w:tcPr>
          <w:p w14:paraId="7EEF4B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https://doi.org/10.1186/s12913-023-09049-8</w:t>
            </w:r>
          </w:p>
        </w:tc>
        <w:tc>
          <w:tcPr>
            <w:tcW w:w="1890" w:type="dxa"/>
            <w:vAlign w:val="center"/>
          </w:tcPr>
          <w:p w14:paraId="3D2753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Prospective cohort micro-costing study</w:t>
            </w:r>
          </w:p>
        </w:tc>
        <w:tc>
          <w:tcPr>
            <w:tcW w:w="2266" w:type="dxa"/>
            <w:vAlign w:val="center"/>
          </w:tcPr>
          <w:p w14:paraId="28BB79F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Applies patient-level TDABC to stratify COVID-19 hospital costs by care pathway.</w:t>
            </w:r>
          </w:p>
        </w:tc>
        <w:tc>
          <w:tcPr>
            <w:tcW w:w="1480" w:type="dxa"/>
            <w:vAlign w:val="center"/>
          </w:tcPr>
          <w:p w14:paraId="3B42ED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BMC/PMC record.</w:t>
            </w:r>
          </w:p>
        </w:tc>
      </w:tr>
      <w:tr w14:paraId="100B0D8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C6E2A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182" w:type="dxa"/>
            <w:vAlign w:val="center"/>
          </w:tcPr>
          <w:p w14:paraId="3957E1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Lai, Y. F., et al. (2023). Economic evaluation of novel models of care for patients with acute medical problems. JAMA Network Open, 6(9), e2333471. https://doi.org/10.1001/jamanetworkopen.2023.33471</w:t>
            </w:r>
          </w:p>
        </w:tc>
        <w:tc>
          <w:tcPr>
            <w:tcW w:w="2892" w:type="dxa"/>
            <w:vAlign w:val="center"/>
          </w:tcPr>
          <w:p w14:paraId="7B68FB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https://doi.org/10.1001/jamanetworkopen.2023.33471</w:t>
            </w:r>
          </w:p>
        </w:tc>
        <w:tc>
          <w:tcPr>
            <w:tcW w:w="1890" w:type="dxa"/>
            <w:vAlign w:val="center"/>
          </w:tcPr>
          <w:p w14:paraId="057FF1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Economic evaluation</w:t>
            </w:r>
          </w:p>
        </w:tc>
        <w:tc>
          <w:tcPr>
            <w:tcW w:w="2266" w:type="dxa"/>
            <w:vAlign w:val="center"/>
          </w:tcPr>
          <w:p w14:paraId="1863B0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TDABC to compare personnel costs of hospital-at-home/ambulatory models with inpatient care.</w:t>
            </w:r>
          </w:p>
        </w:tc>
        <w:tc>
          <w:tcPr>
            <w:tcW w:w="1480" w:type="dxa"/>
            <w:vAlign w:val="center"/>
          </w:tcPr>
          <w:p w14:paraId="4364E0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JAMA Network Open page and DOI record.</w:t>
            </w:r>
          </w:p>
        </w:tc>
      </w:tr>
      <w:tr w14:paraId="4367AC4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1313E4D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182" w:type="dxa"/>
            <w:vAlign w:val="center"/>
          </w:tcPr>
          <w:p w14:paraId="7D3EE7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Rahimi, H., Goudarzi, R., Markazi-Moghaddam, N., Nezami-Asl, A., &amp; Zargar Balaye Jame, S. (2023). Cost-benefit analysis of intensive care unit with activity-based costing approach in the era COVID-19 pandemic: A case study from Iran. PLOS ONE, 18(5), e0285792. https://doi.org/10.1371/journal.pone.0285792</w:t>
            </w:r>
          </w:p>
        </w:tc>
        <w:tc>
          <w:tcPr>
            <w:tcW w:w="2892" w:type="dxa"/>
            <w:vAlign w:val="center"/>
          </w:tcPr>
          <w:p w14:paraId="713C04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https://doi.org/10.1371/journal.pone.0285792</w:t>
            </w:r>
          </w:p>
        </w:tc>
        <w:tc>
          <w:tcPr>
            <w:tcW w:w="1890" w:type="dxa"/>
            <w:vAlign w:val="center"/>
          </w:tcPr>
          <w:p w14:paraId="267C33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Economic evaluation / ABC case study</w:t>
            </w:r>
          </w:p>
        </w:tc>
        <w:tc>
          <w:tcPr>
            <w:tcW w:w="2266" w:type="dxa"/>
            <w:vAlign w:val="center"/>
          </w:tcPr>
          <w:p w14:paraId="05E06D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Estimates ICU costs using top-down and ABC methods and reports high direct cost share.</w:t>
            </w:r>
          </w:p>
        </w:tc>
        <w:tc>
          <w:tcPr>
            <w:tcW w:w="1480" w:type="dxa"/>
            <w:vAlign w:val="center"/>
          </w:tcPr>
          <w:p w14:paraId="0DC46B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PLOS article page.</w:t>
            </w:r>
          </w:p>
        </w:tc>
      </w:tr>
      <w:tr w14:paraId="7B81F4F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B47EF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182" w:type="dxa"/>
            <w:vAlign w:val="center"/>
          </w:tcPr>
          <w:p w14:paraId="11C9B8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Rognoni, C., Furnari, A., Lugli, M., Maleti, O., Greco, A., &amp; Tarricone, R. (2023). Time-driven activity-based costing for capturing the complexity of healthcare processes: The case of deep vein thrombosis and leg ulcers. International Journal of Environmental Research and Public Health, 20(10), 5817. https://doi.org/10.3390/ijerph20105817</w:t>
            </w:r>
          </w:p>
        </w:tc>
        <w:tc>
          <w:tcPr>
            <w:tcW w:w="2892" w:type="dxa"/>
            <w:vAlign w:val="center"/>
          </w:tcPr>
          <w:p w14:paraId="02ADFC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https://doi.org/10.3390/ijerph20105817</w:t>
            </w:r>
          </w:p>
        </w:tc>
        <w:tc>
          <w:tcPr>
            <w:tcW w:w="1890" w:type="dxa"/>
            <w:vAlign w:val="center"/>
          </w:tcPr>
          <w:p w14:paraId="67CE4C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cost-utility application</w:t>
            </w:r>
          </w:p>
        </w:tc>
        <w:tc>
          <w:tcPr>
            <w:tcW w:w="2266" w:type="dxa"/>
            <w:vAlign w:val="center"/>
          </w:tcPr>
          <w:p w14:paraId="7056AA0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TDABC can reveal mismatch between actual costs and DRG reimbursement.</w:t>
            </w:r>
          </w:p>
        </w:tc>
        <w:tc>
          <w:tcPr>
            <w:tcW w:w="1480" w:type="dxa"/>
            <w:vAlign w:val="center"/>
          </w:tcPr>
          <w:p w14:paraId="47C56A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 article page.</w:t>
            </w:r>
          </w:p>
        </w:tc>
      </w:tr>
      <w:tr w14:paraId="6D6FB4F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39ED6A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182" w:type="dxa"/>
            <w:vAlign w:val="center"/>
          </w:tcPr>
          <w:p w14:paraId="3F9DD6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Chen, Y. H., Blommestein, H. M., Klazenga, R., Uyl-de Groot, C., &amp; van Vulpen, M. (2023). Costs of newly funded proton therapy using time-driven activity-based costing in the Netherlands. Cancers, 15(2), 516. https://doi.org/10.3390/cancers15020516</w:t>
            </w:r>
          </w:p>
        </w:tc>
        <w:tc>
          <w:tcPr>
            <w:tcW w:w="2892" w:type="dxa"/>
            <w:vAlign w:val="center"/>
          </w:tcPr>
          <w:p w14:paraId="254851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https://doi.org/10.3390/cancers15020516</w:t>
            </w:r>
          </w:p>
        </w:tc>
        <w:tc>
          <w:tcPr>
            <w:tcW w:w="1890" w:type="dxa"/>
            <w:vAlign w:val="center"/>
          </w:tcPr>
          <w:p w14:paraId="627108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cost study</w:t>
            </w:r>
          </w:p>
        </w:tc>
        <w:tc>
          <w:tcPr>
            <w:tcW w:w="2266" w:type="dxa"/>
            <w:vAlign w:val="center"/>
          </w:tcPr>
          <w:p w14:paraId="25687C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Calculates per-patient proton therapy costs during start-up using TDABC.</w:t>
            </w:r>
          </w:p>
        </w:tc>
        <w:tc>
          <w:tcPr>
            <w:tcW w:w="1480" w:type="dxa"/>
            <w:vAlign w:val="center"/>
          </w:tcPr>
          <w:p w14:paraId="3481AA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MDPI/PMC result.</w:t>
            </w:r>
          </w:p>
        </w:tc>
      </w:tr>
      <w:tr w14:paraId="79C469C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17F97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182" w:type="dxa"/>
            <w:vAlign w:val="center"/>
          </w:tcPr>
          <w:p w14:paraId="46D442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Nagra, N. S., et al. (2021). Time-driven activity-based costing in breast cancer care delivery. Annals of Surgical Oncology, 28, 7799–7808. https://doi.org/10.1245/s10434-021-10465-5</w:t>
            </w:r>
          </w:p>
        </w:tc>
        <w:tc>
          <w:tcPr>
            <w:tcW w:w="2892" w:type="dxa"/>
            <w:vAlign w:val="center"/>
          </w:tcPr>
          <w:p w14:paraId="58010C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https://doi.org/10.1245/s10434-021-10465-5</w:t>
            </w:r>
          </w:p>
        </w:tc>
        <w:tc>
          <w:tcPr>
            <w:tcW w:w="1890" w:type="dxa"/>
            <w:vAlign w:val="center"/>
          </w:tcPr>
          <w:p w14:paraId="3B39D9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oncology study</w:t>
            </w:r>
          </w:p>
        </w:tc>
        <w:tc>
          <w:tcPr>
            <w:tcW w:w="2266" w:type="dxa"/>
            <w:vAlign w:val="center"/>
          </w:tcPr>
          <w:p w14:paraId="3556E2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breast cancer care costs depend on protocols, reconstruction choices and ancillary services.</w:t>
            </w:r>
          </w:p>
        </w:tc>
        <w:tc>
          <w:tcPr>
            <w:tcW w:w="1480" w:type="dxa"/>
            <w:vAlign w:val="center"/>
          </w:tcPr>
          <w:p w14:paraId="614A48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Springer/PubMed result.</w:t>
            </w:r>
          </w:p>
        </w:tc>
      </w:tr>
      <w:tr w14:paraId="1F0901C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F1B76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182" w:type="dxa"/>
            <w:vAlign w:val="center"/>
          </w:tcPr>
          <w:p w14:paraId="5BAF18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Ljuboja, D., Ahmed, M., Ali, A., Perez, E., Subrize, M. W., Kaplan, R. S., &amp; Sarwar, A. (2021). Time-driven activity-based costing in interventional oncology: Cost measurement and cost variability for hepatocellular carcinoma therapies. Journal of the American College of Radiology, 18(8), 1095–1105. https://doi.org/10.1016/j.jacr.2021.03.027</w:t>
            </w:r>
          </w:p>
        </w:tc>
        <w:tc>
          <w:tcPr>
            <w:tcW w:w="2892" w:type="dxa"/>
            <w:vAlign w:val="center"/>
          </w:tcPr>
          <w:p w14:paraId="67583A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https://doi.org/10.1016/j.jacr.2021.03.027</w:t>
            </w:r>
          </w:p>
        </w:tc>
        <w:tc>
          <w:tcPr>
            <w:tcW w:w="1890" w:type="dxa"/>
            <w:vAlign w:val="center"/>
          </w:tcPr>
          <w:p w14:paraId="3ED011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interventional oncology study</w:t>
            </w:r>
          </w:p>
        </w:tc>
        <w:tc>
          <w:tcPr>
            <w:tcW w:w="2266" w:type="dxa"/>
            <w:vAlign w:val="center"/>
          </w:tcPr>
          <w:p w14:paraId="4F49E6E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Compares costs of TACE, TARE and ablation using TDABC.</w:t>
            </w:r>
          </w:p>
        </w:tc>
        <w:tc>
          <w:tcPr>
            <w:tcW w:w="1480" w:type="dxa"/>
            <w:vAlign w:val="center"/>
          </w:tcPr>
          <w:p w14:paraId="612D39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JACR/ScienceDirect result.</w:t>
            </w:r>
          </w:p>
        </w:tc>
      </w:tr>
      <w:tr w14:paraId="391C82B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3794EC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182" w:type="dxa"/>
            <w:vAlign w:val="center"/>
          </w:tcPr>
          <w:p w14:paraId="675239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McClintock, T. R., Friedlander, D. F., Feng, A. Y., Shah, M. A., Pallin, D. J., Chang, S. L., et al. (2021). Determining variable costs in the acute urolithiasis cycle of care through time-driven activity-based costing. Urology, 157, 107–113. https://doi.org/10.1016/j.urology.2021.05.102</w:t>
            </w:r>
          </w:p>
        </w:tc>
        <w:tc>
          <w:tcPr>
            <w:tcW w:w="2892" w:type="dxa"/>
            <w:vAlign w:val="center"/>
          </w:tcPr>
          <w:p w14:paraId="5876E7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https://doi.org/10.1016/j.urology.2021.05.102</w:t>
            </w:r>
          </w:p>
        </w:tc>
        <w:tc>
          <w:tcPr>
            <w:tcW w:w="1890" w:type="dxa"/>
            <w:vAlign w:val="center"/>
          </w:tcPr>
          <w:p w14:paraId="6493A8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episode-of-care study</w:t>
            </w:r>
          </w:p>
        </w:tc>
        <w:tc>
          <w:tcPr>
            <w:tcW w:w="2266" w:type="dxa"/>
            <w:vAlign w:val="center"/>
          </w:tcPr>
          <w:p w14:paraId="0FA772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Maps acute urolithiasis care and identifies variable cost drivers.</w:t>
            </w:r>
          </w:p>
        </w:tc>
        <w:tc>
          <w:tcPr>
            <w:tcW w:w="1480" w:type="dxa"/>
            <w:vAlign w:val="center"/>
          </w:tcPr>
          <w:p w14:paraId="25EE11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Urology/EM Consulte search result.</w:t>
            </w:r>
          </w:p>
        </w:tc>
      </w:tr>
      <w:tr w14:paraId="51B4B05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15CF51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182" w:type="dxa"/>
            <w:vAlign w:val="center"/>
          </w:tcPr>
          <w:p w14:paraId="4D846B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Bendini, C., et al. (2022). What is the inpatient cost of hip replacement? A time-driven activity-based costing pilot study in an Italian public hospital. Journal of Clinical Medicine, 11(23), 6928. https://doi.org/10.3390/jcm11236928</w:t>
            </w:r>
          </w:p>
        </w:tc>
        <w:tc>
          <w:tcPr>
            <w:tcW w:w="2892" w:type="dxa"/>
            <w:vAlign w:val="center"/>
          </w:tcPr>
          <w:p w14:paraId="6C2263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https://doi.org/10.3390/jcm11236928</w:t>
            </w:r>
          </w:p>
        </w:tc>
        <w:tc>
          <w:tcPr>
            <w:tcW w:w="1890" w:type="dxa"/>
            <w:vAlign w:val="center"/>
          </w:tcPr>
          <w:p w14:paraId="7E3E8F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orthopedic study</w:t>
            </w:r>
          </w:p>
        </w:tc>
        <w:tc>
          <w:tcPr>
            <w:tcW w:w="2266" w:type="dxa"/>
            <w:vAlign w:val="center"/>
          </w:tcPr>
          <w:p w14:paraId="411376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Applies TDABC to inpatient hip replacement costs in a public hospital.</w:t>
            </w:r>
          </w:p>
        </w:tc>
        <w:tc>
          <w:tcPr>
            <w:tcW w:w="1480" w:type="dxa"/>
            <w:vAlign w:val="center"/>
          </w:tcPr>
          <w:p w14:paraId="22C3EF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PubMed result.</w:t>
            </w:r>
          </w:p>
        </w:tc>
      </w:tr>
      <w:tr w14:paraId="717C534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1BDE9F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182" w:type="dxa"/>
            <w:vAlign w:val="center"/>
          </w:tcPr>
          <w:p w14:paraId="46A16D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Fang, C. J., Mazzocco, J. C., Sun, D. C., Shaker, J. M., Talmo, C. T., Mattingly, D. A., &amp; Smith, E. L. (2021). Total knee arthroplasty hospital costs by time-driven activity-based costing: Robotic vs conventional. Arthroplasty Today, 12, 43–47. https://doi.org/10.1016/j.artd.2021.09.014</w:t>
            </w:r>
          </w:p>
        </w:tc>
        <w:tc>
          <w:tcPr>
            <w:tcW w:w="2892" w:type="dxa"/>
            <w:vAlign w:val="center"/>
          </w:tcPr>
          <w:p w14:paraId="39F44D5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https://doi.org/10.1016/j.artd.2021.09.014</w:t>
            </w:r>
          </w:p>
        </w:tc>
        <w:tc>
          <w:tcPr>
            <w:tcW w:w="1890" w:type="dxa"/>
            <w:vAlign w:val="center"/>
          </w:tcPr>
          <w:p w14:paraId="6C4775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orthopedic comparative study</w:t>
            </w:r>
          </w:p>
        </w:tc>
        <w:tc>
          <w:tcPr>
            <w:tcW w:w="2266" w:type="dxa"/>
            <w:vAlign w:val="center"/>
          </w:tcPr>
          <w:p w14:paraId="0C7624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TDABC to compare robotic and conventional total knee arthroplasty costs.</w:t>
            </w:r>
          </w:p>
        </w:tc>
        <w:tc>
          <w:tcPr>
            <w:tcW w:w="1480" w:type="dxa"/>
            <w:vAlign w:val="center"/>
          </w:tcPr>
          <w:p w14:paraId="2B68E0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against article DOI and publisher record.</w:t>
            </w:r>
          </w:p>
        </w:tc>
      </w:tr>
      <w:tr w14:paraId="006BB6F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9947A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182" w:type="dxa"/>
            <w:vAlign w:val="center"/>
          </w:tcPr>
          <w:p w14:paraId="601A3C4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Ghasemi Rad, M., Wynne, D., Ghasemi, M., Lincoln, C., &amp; Whigham, C. (2022). Time-driven, activity-based costing to reduce interventional radiology suite idle time. Cureus, 14(11), e31862. https://doi.org/10.7759/cureus.31862</w:t>
            </w:r>
          </w:p>
        </w:tc>
        <w:tc>
          <w:tcPr>
            <w:tcW w:w="2892" w:type="dxa"/>
            <w:vAlign w:val="center"/>
          </w:tcPr>
          <w:p w14:paraId="698752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https://doi.org/10.7759/cureus.31862</w:t>
            </w:r>
          </w:p>
        </w:tc>
        <w:tc>
          <w:tcPr>
            <w:tcW w:w="1890" w:type="dxa"/>
            <w:vAlign w:val="center"/>
          </w:tcPr>
          <w:p w14:paraId="0776AE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improvement study</w:t>
            </w:r>
          </w:p>
        </w:tc>
        <w:tc>
          <w:tcPr>
            <w:tcW w:w="2266" w:type="dxa"/>
            <w:vAlign w:val="center"/>
          </w:tcPr>
          <w:p w14:paraId="6F0330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TDABC to quantify interventional radiology process costs and idle time.</w:t>
            </w:r>
          </w:p>
        </w:tc>
        <w:tc>
          <w:tcPr>
            <w:tcW w:w="1480" w:type="dxa"/>
            <w:vAlign w:val="center"/>
          </w:tcPr>
          <w:p w14:paraId="685783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PMC/Cureus result.</w:t>
            </w:r>
          </w:p>
        </w:tc>
      </w:tr>
      <w:tr w14:paraId="00B84EE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3F5611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182" w:type="dxa"/>
            <w:vAlign w:val="center"/>
          </w:tcPr>
          <w:p w14:paraId="63F295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Keppetipola, K. M., Leibold, A., Trivedi, J., Kabani, A. S., Sarikonda, A., Self, D. M., et al. (2025). Time-driven activity-based costing for cervical myelopathy surgery: A step towards total episode costs. ClinicoEconomics and Outcomes Research, 17, 419–428. https://doi.org/10.2147/CEOR.S502217</w:t>
            </w:r>
          </w:p>
        </w:tc>
        <w:tc>
          <w:tcPr>
            <w:tcW w:w="2892" w:type="dxa"/>
            <w:vAlign w:val="center"/>
          </w:tcPr>
          <w:p w14:paraId="6C57F3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https://doi.org/10.2147/CEOR.S502217</w:t>
            </w:r>
          </w:p>
        </w:tc>
        <w:tc>
          <w:tcPr>
            <w:tcW w:w="1890" w:type="dxa"/>
            <w:vAlign w:val="center"/>
          </w:tcPr>
          <w:p w14:paraId="051A38D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surgical episode study</w:t>
            </w:r>
          </w:p>
        </w:tc>
        <w:tc>
          <w:tcPr>
            <w:tcW w:w="2266" w:type="dxa"/>
            <w:vAlign w:val="center"/>
          </w:tcPr>
          <w:p w14:paraId="5A0311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Extends TDABC across preoperative, intraoperative and inpatient phases.</w:t>
            </w:r>
          </w:p>
        </w:tc>
        <w:tc>
          <w:tcPr>
            <w:tcW w:w="1480" w:type="dxa"/>
            <w:vAlign w:val="center"/>
          </w:tcPr>
          <w:p w14:paraId="42C453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Dove/PMC result.</w:t>
            </w:r>
          </w:p>
        </w:tc>
      </w:tr>
      <w:tr w14:paraId="1721CA3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39B7AE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182" w:type="dxa"/>
            <w:vAlign w:val="center"/>
          </w:tcPr>
          <w:p w14:paraId="569D73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van der Poort, E. K. J., van der Helm, D., de Vries, A. P. J., van den Hout, W. B., &amp; van den Akker-van Marle, M. E. (2025). Costs in value-based health care dashboards: A qualitative study on stakeholder requirements. BMC Health Services Research, 25, 1232. https://doi.org/10.1186/s12913-025-13054-4</w:t>
            </w:r>
          </w:p>
        </w:tc>
        <w:tc>
          <w:tcPr>
            <w:tcW w:w="2892" w:type="dxa"/>
            <w:vAlign w:val="center"/>
          </w:tcPr>
          <w:p w14:paraId="717267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https://doi.org/10.1186/s12913-025-13054-4</w:t>
            </w:r>
          </w:p>
        </w:tc>
        <w:tc>
          <w:tcPr>
            <w:tcW w:w="1890" w:type="dxa"/>
            <w:vAlign w:val="center"/>
          </w:tcPr>
          <w:p w14:paraId="4D0916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Qualitative implementation study</w:t>
            </w:r>
          </w:p>
        </w:tc>
        <w:tc>
          <w:tcPr>
            <w:tcW w:w="2266" w:type="dxa"/>
            <w:vAlign w:val="center"/>
          </w:tcPr>
          <w:p w14:paraId="70BDC4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Identifies technical and operational requirements for embedding cost metrics in VBHC dashboards.</w:t>
            </w:r>
          </w:p>
        </w:tc>
        <w:tc>
          <w:tcPr>
            <w:tcW w:w="1480" w:type="dxa"/>
            <w:vAlign w:val="center"/>
          </w:tcPr>
          <w:p w14:paraId="3B250A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BMC/PMC record.</w:t>
            </w:r>
          </w:p>
        </w:tc>
      </w:tr>
      <w:tr w14:paraId="7FF4088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06588E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182" w:type="dxa"/>
            <w:vAlign w:val="center"/>
          </w:tcPr>
          <w:p w14:paraId="0E6681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Schneider, N. B., Roos, E. C., Marcolino, M. A. Z., Etges, A. P. B. S., &amp; Polanczyk, C. A. (2025). Evaluation of reporting in time-driven activity-based costing studies on cardiovascular diseases: A scoping review. Journal of Comparative Effectiveness Research. https://doi.org/10.57264/cer-2024-0013</w:t>
            </w:r>
          </w:p>
        </w:tc>
        <w:tc>
          <w:tcPr>
            <w:tcW w:w="2892" w:type="dxa"/>
            <w:vAlign w:val="center"/>
          </w:tcPr>
          <w:p w14:paraId="0D739E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https://doi.org/10.57264/cer-2024-0013</w:t>
            </w:r>
          </w:p>
        </w:tc>
        <w:tc>
          <w:tcPr>
            <w:tcW w:w="1890" w:type="dxa"/>
            <w:vAlign w:val="center"/>
          </w:tcPr>
          <w:p w14:paraId="279E49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Scoping review / reporting assessment</w:t>
            </w:r>
          </w:p>
        </w:tc>
        <w:tc>
          <w:tcPr>
            <w:tcW w:w="2266" w:type="dxa"/>
            <w:vAlign w:val="center"/>
          </w:tcPr>
          <w:p w14:paraId="7E86CD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reporting completeness varies considerably across CVD TDABC studies.</w:t>
            </w:r>
          </w:p>
        </w:tc>
        <w:tc>
          <w:tcPr>
            <w:tcW w:w="1480" w:type="dxa"/>
            <w:vAlign w:val="center"/>
          </w:tcPr>
          <w:p w14:paraId="1489A7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journal PDF result.</w:t>
            </w:r>
          </w:p>
        </w:tc>
      </w:tr>
      <w:tr w14:paraId="5066AD5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FF8C0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5182" w:type="dxa"/>
            <w:vAlign w:val="center"/>
          </w:tcPr>
          <w:p w14:paraId="14F8CA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39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Risør, B. W., Duvald, I., Nielsen, C. P., &amp; Tayyari, N. (2026). Developing hospital at home tariffs in Denmark: A time-driven activity-based microcosting approach within a randomised controlled trial. BMJ Open, 16(4), e113738. https://doi.org/10.1136/bmjopen-2025-113738</w:t>
            </w:r>
          </w:p>
        </w:tc>
        <w:tc>
          <w:tcPr>
            <w:tcW w:w="2892" w:type="dxa"/>
            <w:vAlign w:val="center"/>
          </w:tcPr>
          <w:p w14:paraId="277821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https://doi.org/10.1136/bmjopen-2025-113738</w:t>
            </w:r>
          </w:p>
        </w:tc>
        <w:tc>
          <w:tcPr>
            <w:tcW w:w="1890" w:type="dxa"/>
            <w:vAlign w:val="center"/>
          </w:tcPr>
          <w:p w14:paraId="46991D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Micro-costing/tariff development study</w:t>
            </w:r>
          </w:p>
        </w:tc>
        <w:tc>
          <w:tcPr>
            <w:tcW w:w="2266" w:type="dxa"/>
            <w:vAlign w:val="center"/>
          </w:tcPr>
          <w:p w14:paraId="7AFB9A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Directly develops an activity-based tariff framework for hospital-at-home services.</w:t>
            </w:r>
          </w:p>
        </w:tc>
        <w:tc>
          <w:tcPr>
            <w:tcW w:w="1480" w:type="dxa"/>
            <w:vAlign w:val="center"/>
          </w:tcPr>
          <w:p w14:paraId="2172E9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 record.</w:t>
            </w:r>
          </w:p>
        </w:tc>
      </w:tr>
      <w:tr w14:paraId="56A2A4A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0E15DE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82" w:type="dxa"/>
            <w:vAlign w:val="center"/>
          </w:tcPr>
          <w:p w14:paraId="77F9DE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Prinja, S., Singh, M. P., Rajsekar, K., Sachin, O., Gedam, P., Nagar, A., et al. (2021). Translating research to policy: Setting provider payment rates for strategic purchasing under India's national publicly financed health insurance scheme. Applied Health Economics and Health Policy, 19, 353–370. https://doi.org/10.1007/s40258-020-00631-3</w:t>
            </w:r>
          </w:p>
        </w:tc>
        <w:tc>
          <w:tcPr>
            <w:tcW w:w="2892" w:type="dxa"/>
            <w:vAlign w:val="center"/>
          </w:tcPr>
          <w:p w14:paraId="47EC33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https://doi.org/10.1007/s40258-020-00631-3</w:t>
            </w:r>
          </w:p>
        </w:tc>
        <w:tc>
          <w:tcPr>
            <w:tcW w:w="1890" w:type="dxa"/>
            <w:vAlign w:val="center"/>
          </w:tcPr>
          <w:p w14:paraId="4B8379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 translation / costing study</w:t>
            </w:r>
          </w:p>
        </w:tc>
        <w:tc>
          <w:tcPr>
            <w:tcW w:w="2266" w:type="dxa"/>
            <w:vAlign w:val="center"/>
          </w:tcPr>
          <w:p w14:paraId="0DE945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Describes use of mixed micro-costing evidence to inform provider payment rates.</w:t>
            </w:r>
          </w:p>
        </w:tc>
        <w:tc>
          <w:tcPr>
            <w:tcW w:w="1480" w:type="dxa"/>
            <w:vAlign w:val="center"/>
          </w:tcPr>
          <w:p w14:paraId="4922C9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result.</w:t>
            </w:r>
          </w:p>
        </w:tc>
      </w:tr>
      <w:tr w14:paraId="6BA1F3B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3893E6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5182" w:type="dxa"/>
            <w:vAlign w:val="center"/>
          </w:tcPr>
          <w:p w14:paraId="1CFAAC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Chauhan, A. S., Guinness, L., Bahuguna, P., Singh, M. P., Aggarwal, V., Rajsekhar, K., Tripathi, S., &amp; Prinja, S. (2022). Cost of hospital services in India: A multi-site study to inform provider payment rates and health technology assessment. BMC Health Services Research, 22, 1343. https://doi.org/10.1186/s12913-022-08707-7</w:t>
            </w:r>
          </w:p>
        </w:tc>
        <w:tc>
          <w:tcPr>
            <w:tcW w:w="2892" w:type="dxa"/>
            <w:vAlign w:val="center"/>
          </w:tcPr>
          <w:p w14:paraId="57B1BA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https://doi.org/10.1186/s12913-022-08707-7</w:t>
            </w:r>
          </w:p>
        </w:tc>
        <w:tc>
          <w:tcPr>
            <w:tcW w:w="1890" w:type="dxa"/>
            <w:vAlign w:val="center"/>
          </w:tcPr>
          <w:p w14:paraId="585646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Multi-site hospital costing study</w:t>
            </w:r>
          </w:p>
        </w:tc>
        <w:tc>
          <w:tcPr>
            <w:tcW w:w="2266" w:type="dxa"/>
            <w:vAlign w:val="center"/>
          </w:tcPr>
          <w:p w14:paraId="00D57BB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large-scale facility costing evidence for provider payment and HTA.</w:t>
            </w:r>
          </w:p>
        </w:tc>
        <w:tc>
          <w:tcPr>
            <w:tcW w:w="1480" w:type="dxa"/>
            <w:vAlign w:val="center"/>
          </w:tcPr>
          <w:p w14:paraId="18F78B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Springer/BMC result.</w:t>
            </w:r>
          </w:p>
        </w:tc>
      </w:tr>
      <w:tr w14:paraId="276B9EA3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3F0FA0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5182" w:type="dxa"/>
            <w:vAlign w:val="center"/>
          </w:tcPr>
          <w:p w14:paraId="559463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Prinja, S., Bahuguna, P., Singh, M. P., Guinness, L., Goyal, A., &amp; Aggarwal, V. (2023). Refining the provider payment system of India's government-funded health insurance programme: An econometric analysis. BMJ Open, 13(10), e076155. https://doi.org/10.1136/bmjopen-2023-076155</w:t>
            </w:r>
          </w:p>
        </w:tc>
        <w:tc>
          <w:tcPr>
            <w:tcW w:w="2892" w:type="dxa"/>
            <w:vAlign w:val="center"/>
          </w:tcPr>
          <w:p w14:paraId="38A968E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https://doi.org/10.1136/bmjopen-2023-076155</w:t>
            </w:r>
          </w:p>
        </w:tc>
        <w:tc>
          <w:tcPr>
            <w:tcW w:w="1890" w:type="dxa"/>
            <w:vAlign w:val="center"/>
          </w:tcPr>
          <w:p w14:paraId="562B3F9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Econometric costing/payment study</w:t>
            </w:r>
          </w:p>
        </w:tc>
        <w:tc>
          <w:tcPr>
            <w:tcW w:w="2266" w:type="dxa"/>
            <w:vAlign w:val="center"/>
          </w:tcPr>
          <w:p w14:paraId="54324D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Quantifies supply-side factors to inform differential case-based payment weights.</w:t>
            </w:r>
          </w:p>
        </w:tc>
        <w:tc>
          <w:tcPr>
            <w:tcW w:w="1480" w:type="dxa"/>
            <w:vAlign w:val="center"/>
          </w:tcPr>
          <w:p w14:paraId="28D8FC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Open/PMC result.</w:t>
            </w:r>
          </w:p>
        </w:tc>
      </w:tr>
      <w:tr w14:paraId="1E74723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66B18F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5182" w:type="dxa"/>
            <w:vAlign w:val="center"/>
          </w:tcPr>
          <w:p w14:paraId="44E7B6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Jyani, G., Gedam, P., Sharma, S., Dixit, J., &amp; Prinja, S. (2025). Financial viability of private hospitals operating under India's national health insurance scheme Ayushman Bharat Pradhan Mantri-Jan Arogya Yojana (AB PM-JAY). Applied Health Economics and Health Policy, 23, 841–853. https://doi.org/10.1007/s40258-025-00966-9</w:t>
            </w:r>
          </w:p>
        </w:tc>
        <w:tc>
          <w:tcPr>
            <w:tcW w:w="2892" w:type="dxa"/>
            <w:vAlign w:val="center"/>
          </w:tcPr>
          <w:p w14:paraId="0845718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https://doi.org/10.1007/s40258-025-00966-9</w:t>
            </w:r>
          </w:p>
        </w:tc>
        <w:tc>
          <w:tcPr>
            <w:tcW w:w="1890" w:type="dxa"/>
            <w:vAlign w:val="center"/>
          </w:tcPr>
          <w:p w14:paraId="6B205D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Financial viability and tariff study</w:t>
            </w:r>
          </w:p>
        </w:tc>
        <w:tc>
          <w:tcPr>
            <w:tcW w:w="2266" w:type="dxa"/>
            <w:vAlign w:val="center"/>
          </w:tcPr>
          <w:p w14:paraId="53BB1F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Models private hospital viability under package prices and cost structures.</w:t>
            </w:r>
          </w:p>
        </w:tc>
        <w:tc>
          <w:tcPr>
            <w:tcW w:w="1480" w:type="dxa"/>
            <w:vAlign w:val="center"/>
          </w:tcPr>
          <w:p w14:paraId="4CA985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result.</w:t>
            </w:r>
          </w:p>
        </w:tc>
      </w:tr>
      <w:tr w14:paraId="564C49DD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44FAB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182" w:type="dxa"/>
            <w:vAlign w:val="center"/>
          </w:tcPr>
          <w:p w14:paraId="2F70A5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Sirur, S., &amp; Rajasekharan Pillai, K. (2024). Pricing of hospital services: Evidence from a thematic review. Health Economics, Policy and Law, 19(2), 234–252. https://doi.org/10.1017/S1744133123000397</w:t>
            </w:r>
          </w:p>
        </w:tc>
        <w:tc>
          <w:tcPr>
            <w:tcW w:w="2892" w:type="dxa"/>
            <w:vAlign w:val="center"/>
          </w:tcPr>
          <w:p w14:paraId="0F817A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https://doi.org/10.1017/S1744133123000397</w:t>
            </w:r>
          </w:p>
        </w:tc>
        <w:tc>
          <w:tcPr>
            <w:tcW w:w="1890" w:type="dxa"/>
            <w:vAlign w:val="center"/>
          </w:tcPr>
          <w:p w14:paraId="7549F9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Thematic review</w:t>
            </w:r>
          </w:p>
        </w:tc>
        <w:tc>
          <w:tcPr>
            <w:tcW w:w="2266" w:type="dxa"/>
            <w:vAlign w:val="center"/>
          </w:tcPr>
          <w:p w14:paraId="320232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hospital pricing is complex and under-theorized across disciplines.</w:t>
            </w:r>
          </w:p>
        </w:tc>
        <w:tc>
          <w:tcPr>
            <w:tcW w:w="1480" w:type="dxa"/>
            <w:vAlign w:val="center"/>
          </w:tcPr>
          <w:p w14:paraId="195B15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Cambridge article/PDF identifier.</w:t>
            </w:r>
          </w:p>
        </w:tc>
      </w:tr>
      <w:tr w14:paraId="5CFA4F32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7BA93E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182" w:type="dxa"/>
            <w:vAlign w:val="center"/>
          </w:tcPr>
          <w:p w14:paraId="5BC8DE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Rocha, C., et al. (2023). Hospital costing methods: Four decades of literature review. Journal of Risk and Financial Management, 16(10), 433. https://doi.org/10.3390/jrfm16100433</w:t>
            </w:r>
          </w:p>
        </w:tc>
        <w:tc>
          <w:tcPr>
            <w:tcW w:w="2892" w:type="dxa"/>
            <w:vAlign w:val="center"/>
          </w:tcPr>
          <w:p w14:paraId="441F29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https://doi.org/10.3390/jrfm16100433</w:t>
            </w:r>
          </w:p>
        </w:tc>
        <w:tc>
          <w:tcPr>
            <w:tcW w:w="1890" w:type="dxa"/>
            <w:vAlign w:val="center"/>
          </w:tcPr>
          <w:p w14:paraId="7A91EA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Literature review</w:t>
            </w:r>
          </w:p>
        </w:tc>
        <w:tc>
          <w:tcPr>
            <w:tcW w:w="2266" w:type="dxa"/>
            <w:vAlign w:val="center"/>
          </w:tcPr>
          <w:p w14:paraId="4AEC15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Summarizes cost accounting methods used in hospitals over four decades.</w:t>
            </w:r>
          </w:p>
        </w:tc>
        <w:tc>
          <w:tcPr>
            <w:tcW w:w="1480" w:type="dxa"/>
            <w:vAlign w:val="center"/>
          </w:tcPr>
          <w:p w14:paraId="5E14BF4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 search result.</w:t>
            </w:r>
          </w:p>
        </w:tc>
      </w:tr>
      <w:tr w14:paraId="0AFC7CF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09BD138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182" w:type="dxa"/>
            <w:vAlign w:val="center"/>
          </w:tcPr>
          <w:p w14:paraId="35A3A8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NHS England. (2026). National Cost Collection for the NHS. https://www.england.nhs.uk/costing-in-the-nhs/national-cost-collection/</w:t>
            </w:r>
          </w:p>
        </w:tc>
        <w:tc>
          <w:tcPr>
            <w:tcW w:w="2892" w:type="dxa"/>
            <w:vAlign w:val="center"/>
          </w:tcPr>
          <w:p w14:paraId="627C15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https://www.england.nhs.uk/costing-in-the-nhs/national-cost-collection/</w:t>
            </w:r>
          </w:p>
        </w:tc>
        <w:tc>
          <w:tcPr>
            <w:tcW w:w="1890" w:type="dxa"/>
            <w:vAlign w:val="center"/>
          </w:tcPr>
          <w:p w14:paraId="4D45F1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cost dataset/guidance</w:t>
            </w:r>
          </w:p>
        </w:tc>
        <w:tc>
          <w:tcPr>
            <w:tcW w:w="2266" w:type="dxa"/>
            <w:vAlign w:val="center"/>
          </w:tcPr>
          <w:p w14:paraId="0F57999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Defines aggregated and patient-level cost collection for NHS services.</w:t>
            </w:r>
          </w:p>
        </w:tc>
        <w:tc>
          <w:tcPr>
            <w:tcW w:w="1480" w:type="dxa"/>
            <w:vAlign w:val="center"/>
          </w:tcPr>
          <w:p w14:paraId="2EABAC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England page.</w:t>
            </w:r>
          </w:p>
        </w:tc>
      </w:tr>
      <w:tr w14:paraId="2ED5B12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135264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5182" w:type="dxa"/>
            <w:vAlign w:val="center"/>
          </w:tcPr>
          <w:p w14:paraId="5AEEDD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NHS England. (2026). Approved costing guidance. https://www.england.nhs.uk/costing-in-the-nhs/approved-costing-guidance/</w:t>
            </w:r>
          </w:p>
        </w:tc>
        <w:tc>
          <w:tcPr>
            <w:tcW w:w="2892" w:type="dxa"/>
            <w:vAlign w:val="center"/>
          </w:tcPr>
          <w:p w14:paraId="18A15A5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https://www.england.nhs.uk/costing-in-the-nhs/approved-costing-guidance/</w:t>
            </w:r>
          </w:p>
        </w:tc>
        <w:tc>
          <w:tcPr>
            <w:tcW w:w="1890" w:type="dxa"/>
            <w:vAlign w:val="center"/>
          </w:tcPr>
          <w:p w14:paraId="011463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Costing guidance</w:t>
            </w:r>
          </w:p>
        </w:tc>
        <w:tc>
          <w:tcPr>
            <w:tcW w:w="2266" w:type="dxa"/>
            <w:vAlign w:val="center"/>
          </w:tcPr>
          <w:p w14:paraId="064B23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patient-level costing standards are updated annually and support national cost collection.</w:t>
            </w:r>
          </w:p>
        </w:tc>
        <w:tc>
          <w:tcPr>
            <w:tcW w:w="1480" w:type="dxa"/>
            <w:vAlign w:val="center"/>
          </w:tcPr>
          <w:p w14:paraId="0BA4080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England page.</w:t>
            </w:r>
          </w:p>
        </w:tc>
      </w:tr>
      <w:tr w14:paraId="2201132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56F9D1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5182" w:type="dxa"/>
            <w:vAlign w:val="center"/>
          </w:tcPr>
          <w:p w14:paraId="48F597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NHS Digital. (2026). Patient-level information and costing system data collections. https://digital.nhs.uk/data-and-information/data-tools-and-services/data-services/patient-level-information-and-costing-system-plics-data-collections</w:t>
            </w:r>
          </w:p>
        </w:tc>
        <w:tc>
          <w:tcPr>
            <w:tcW w:w="2892" w:type="dxa"/>
            <w:vAlign w:val="center"/>
          </w:tcPr>
          <w:p w14:paraId="10BA5A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https://digital.nhs.uk/data-and-information/data-tools-and-services/data-services/patient-level-information-and-costing-system-plics-data-collections</w:t>
            </w:r>
          </w:p>
        </w:tc>
        <w:tc>
          <w:tcPr>
            <w:tcW w:w="1890" w:type="dxa"/>
            <w:vAlign w:val="center"/>
          </w:tcPr>
          <w:p w14:paraId="5838B2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Public data collection standard</w:t>
            </w:r>
          </w:p>
        </w:tc>
        <w:tc>
          <w:tcPr>
            <w:tcW w:w="2266" w:type="dxa"/>
            <w:vAlign w:val="center"/>
          </w:tcPr>
          <w:p w14:paraId="1237B7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Defines PLICS data submission categories for NHS providers.</w:t>
            </w:r>
          </w:p>
        </w:tc>
        <w:tc>
          <w:tcPr>
            <w:tcW w:w="1480" w:type="dxa"/>
            <w:vAlign w:val="center"/>
          </w:tcPr>
          <w:p w14:paraId="7E83D1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Digital page.</w:t>
            </w:r>
          </w:p>
        </w:tc>
      </w:tr>
      <w:tr w14:paraId="749712C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1E4857A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5182" w:type="dxa"/>
            <w:vAlign w:val="center"/>
          </w:tcPr>
          <w:p w14:paraId="5858242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NHS England. (2024). 2023/25 NHS Payment Scheme: Annex D prices and cost adjustments. https://www.england.nhs.uk/wp-content/uploads/2023/03/23-25NHSPS-amended_Annex-D-Prices-and-cost-adjustments_2024-25.pdf</w:t>
            </w:r>
          </w:p>
        </w:tc>
        <w:tc>
          <w:tcPr>
            <w:tcW w:w="2892" w:type="dxa"/>
            <w:vAlign w:val="center"/>
          </w:tcPr>
          <w:p w14:paraId="487078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https://www.england.nhs.uk/wp-content/uploads/2023/03/23-25NHSPS-amended_Annex-D-Prices-and-cost-adjustments_2024-25.pdf</w:t>
            </w:r>
          </w:p>
        </w:tc>
        <w:tc>
          <w:tcPr>
            <w:tcW w:w="1890" w:type="dxa"/>
            <w:vAlign w:val="center"/>
          </w:tcPr>
          <w:p w14:paraId="1DD697D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Payment policy document</w:t>
            </w:r>
          </w:p>
        </w:tc>
        <w:tc>
          <w:tcPr>
            <w:tcW w:w="2266" w:type="dxa"/>
            <w:vAlign w:val="center"/>
          </w:tcPr>
          <w:p w14:paraId="4C8B6D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Documents national prices and cost adjustments within the NHS payment scheme.</w:t>
            </w:r>
          </w:p>
        </w:tc>
        <w:tc>
          <w:tcPr>
            <w:tcW w:w="1480" w:type="dxa"/>
            <w:vAlign w:val="center"/>
          </w:tcPr>
          <w:p w14:paraId="1BF72D7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NHS England PDF search result.</w:t>
            </w:r>
          </w:p>
        </w:tc>
      </w:tr>
      <w:tr w14:paraId="496CDEA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62B7539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5182" w:type="dxa"/>
            <w:vAlign w:val="center"/>
          </w:tcPr>
          <w:p w14:paraId="2E0FEE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Joint Learning Network for Universal Health Coverage. (2014). Costing of health services for provider payment: A practical manual based on country costing challenges, trade-offs, and solutions. https://jointlearningnetwork.org/wp-content/uploads/2019/11/JLN_Costing_Manual.pdf</w:t>
            </w:r>
          </w:p>
        </w:tc>
        <w:tc>
          <w:tcPr>
            <w:tcW w:w="2892" w:type="dxa"/>
            <w:vAlign w:val="center"/>
          </w:tcPr>
          <w:p w14:paraId="344FBC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https://jointlearningnetwork.org/wp-content/uploads/2019/11/JLN_Costing_Manual.pdf</w:t>
            </w:r>
          </w:p>
        </w:tc>
        <w:tc>
          <w:tcPr>
            <w:tcW w:w="1890" w:type="dxa"/>
            <w:vAlign w:val="center"/>
          </w:tcPr>
          <w:p w14:paraId="71EFC54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Provider payment manual</w:t>
            </w:r>
          </w:p>
        </w:tc>
        <w:tc>
          <w:tcPr>
            <w:tcW w:w="2266" w:type="dxa"/>
            <w:vAlign w:val="center"/>
          </w:tcPr>
          <w:p w14:paraId="1670F9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practical steps for costing exercises to inform provider payment.</w:t>
            </w:r>
          </w:p>
        </w:tc>
        <w:tc>
          <w:tcPr>
            <w:tcW w:w="1480" w:type="dxa"/>
            <w:vAlign w:val="center"/>
          </w:tcPr>
          <w:p w14:paraId="0732F8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JLN PDF.</w:t>
            </w:r>
          </w:p>
        </w:tc>
      </w:tr>
      <w:tr w14:paraId="4FCF7B0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0A621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5182" w:type="dxa"/>
            <w:vAlign w:val="center"/>
          </w:tcPr>
          <w:p w14:paraId="3065E8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World Bank. (2021). Costing of health services provider payment: An introduction for health policy makers. https://documents1.worldbank.org/curated/en/099645106272233786/pdf/P175905067de810b809f42024e046b2c94d.pdf</w:t>
            </w:r>
          </w:p>
        </w:tc>
        <w:tc>
          <w:tcPr>
            <w:tcW w:w="2892" w:type="dxa"/>
            <w:vAlign w:val="center"/>
          </w:tcPr>
          <w:p w14:paraId="50A762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https://documents1.worldbank.org/curated/en/099645106272233786/pdf/P175905067de810b809f42024e046b2c94d.pdf</w:t>
            </w:r>
          </w:p>
        </w:tc>
        <w:tc>
          <w:tcPr>
            <w:tcW w:w="1890" w:type="dxa"/>
            <w:vAlign w:val="center"/>
          </w:tcPr>
          <w:p w14:paraId="406BBB3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 guidance</w:t>
            </w:r>
          </w:p>
        </w:tc>
        <w:tc>
          <w:tcPr>
            <w:tcW w:w="2266" w:type="dxa"/>
            <w:vAlign w:val="center"/>
          </w:tcPr>
          <w:p w14:paraId="7FFA0E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Frames costing as central to paying the right price and incentive design.</w:t>
            </w:r>
          </w:p>
        </w:tc>
        <w:tc>
          <w:tcPr>
            <w:tcW w:w="1480" w:type="dxa"/>
            <w:vAlign w:val="center"/>
          </w:tcPr>
          <w:p w14:paraId="36FE2B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World Bank document.</w:t>
            </w:r>
          </w:p>
        </w:tc>
      </w:tr>
      <w:tr w14:paraId="03EA9FC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65B021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182" w:type="dxa"/>
            <w:vAlign w:val="center"/>
          </w:tcPr>
          <w:p w14:paraId="3104D0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Organisation for Economic Co-operation and Development. (2010). Comparing price levels of hospital services across countries. https://www.oecd.org/en/publications/comparing-price-levels-of-hospital-services-across-countries_5km91p4f3rzw-en.html</w:t>
            </w:r>
          </w:p>
        </w:tc>
        <w:tc>
          <w:tcPr>
            <w:tcW w:w="2892" w:type="dxa"/>
            <w:vAlign w:val="center"/>
          </w:tcPr>
          <w:p w14:paraId="20B81A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https://www.oecd.org/en/publications/comparing-price-levels-of-hospital-services-across-countries_5km91p4f3rzw-en.html</w:t>
            </w:r>
          </w:p>
        </w:tc>
        <w:tc>
          <w:tcPr>
            <w:tcW w:w="1890" w:type="dxa"/>
            <w:vAlign w:val="center"/>
          </w:tcPr>
          <w:p w14:paraId="51D3E1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Comparative policy report</w:t>
            </w:r>
          </w:p>
        </w:tc>
        <w:tc>
          <w:tcPr>
            <w:tcW w:w="2266" w:type="dxa"/>
            <w:vAlign w:val="center"/>
          </w:tcPr>
          <w:p w14:paraId="488DBD1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Highlights measurement challenges in comparing hospital service prices across countries.</w:t>
            </w:r>
          </w:p>
        </w:tc>
        <w:tc>
          <w:tcPr>
            <w:tcW w:w="1480" w:type="dxa"/>
            <w:vAlign w:val="center"/>
          </w:tcPr>
          <w:p w14:paraId="009C36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OECD page.</w:t>
            </w:r>
          </w:p>
        </w:tc>
      </w:tr>
      <w:tr w14:paraId="43F68537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5B017F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5182" w:type="dxa"/>
            <w:vAlign w:val="center"/>
          </w:tcPr>
          <w:p w14:paraId="6387F24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Turner, H. C., et al. (2022). Understanding differences in health care spending: A comparative study of prices and volumes across OECD countries. Health Services Insights, 15, 11786329221109755. https://doi.org/10.1177/11786329221109755</w:t>
            </w:r>
          </w:p>
        </w:tc>
        <w:tc>
          <w:tcPr>
            <w:tcW w:w="2892" w:type="dxa"/>
            <w:vAlign w:val="center"/>
          </w:tcPr>
          <w:p w14:paraId="7166F1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https://doi.org/10.1177/11786329221109755</w:t>
            </w:r>
          </w:p>
        </w:tc>
        <w:tc>
          <w:tcPr>
            <w:tcW w:w="1890" w:type="dxa"/>
            <w:vAlign w:val="center"/>
          </w:tcPr>
          <w:p w14:paraId="154016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Comparative health spending study</w:t>
            </w:r>
          </w:p>
        </w:tc>
        <w:tc>
          <w:tcPr>
            <w:tcW w:w="2266" w:type="dxa"/>
            <w:vAlign w:val="center"/>
          </w:tcPr>
          <w:p w14:paraId="569BF4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health-care and hospital service price differences can distort spending comparisons.</w:t>
            </w:r>
          </w:p>
        </w:tc>
        <w:tc>
          <w:tcPr>
            <w:tcW w:w="1480" w:type="dxa"/>
            <w:vAlign w:val="center"/>
          </w:tcPr>
          <w:p w14:paraId="37FEC5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Sage PDF result.</w:t>
            </w:r>
          </w:p>
        </w:tc>
      </w:tr>
      <w:tr w14:paraId="7DE87F3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636156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5182" w:type="dxa"/>
            <w:vAlign w:val="center"/>
          </w:tcPr>
          <w:p w14:paraId="284491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Leusder, M., Porte, P., Ahaus, K., &amp; van Elten, H. (2022). Cost measurement in value-based healthcare: A systematic review. BMJ Open, 12(12), e066568. https://doi.org/10.1136/bmjopen-2022-066568</w:t>
            </w:r>
          </w:p>
        </w:tc>
        <w:tc>
          <w:tcPr>
            <w:tcW w:w="2892" w:type="dxa"/>
            <w:vAlign w:val="center"/>
          </w:tcPr>
          <w:p w14:paraId="698A60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https://doi.org/10.1136/bmjopen-2022-066568</w:t>
            </w:r>
          </w:p>
        </w:tc>
        <w:tc>
          <w:tcPr>
            <w:tcW w:w="1890" w:type="dxa"/>
            <w:vAlign w:val="center"/>
          </w:tcPr>
          <w:p w14:paraId="7C9E36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Systematic review</w:t>
            </w:r>
          </w:p>
        </w:tc>
        <w:tc>
          <w:tcPr>
            <w:tcW w:w="2266" w:type="dxa"/>
            <w:vAlign w:val="center"/>
          </w:tcPr>
          <w:p w14:paraId="5C9AF17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Finds cost information facilitates value-based decision-making, with process mapping and expert input as best practices.</w:t>
            </w:r>
          </w:p>
        </w:tc>
        <w:tc>
          <w:tcPr>
            <w:tcW w:w="1480" w:type="dxa"/>
            <w:vAlign w:val="center"/>
          </w:tcPr>
          <w:p w14:paraId="3F2EB5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BMJ Open search result.</w:t>
            </w:r>
          </w:p>
        </w:tc>
      </w:tr>
      <w:tr w14:paraId="4FE0980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5B6570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5182" w:type="dxa"/>
            <w:vAlign w:val="center"/>
          </w:tcPr>
          <w:p w14:paraId="5D92BF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Jeet, G., et al. (2021). Costing of essential health service packages: A systematic review of methods from developing economies. Value in Health, 24(11), 1700–1713. https://doi.org/10.1016/j.jval.2021.05.021</w:t>
            </w:r>
          </w:p>
        </w:tc>
        <w:tc>
          <w:tcPr>
            <w:tcW w:w="2892" w:type="dxa"/>
            <w:vAlign w:val="center"/>
          </w:tcPr>
          <w:p w14:paraId="61D0FB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https://doi.org/10.1016/j.jval.2021.05.021</w:t>
            </w:r>
          </w:p>
        </w:tc>
        <w:tc>
          <w:tcPr>
            <w:tcW w:w="1890" w:type="dxa"/>
            <w:vAlign w:val="center"/>
          </w:tcPr>
          <w:p w14:paraId="294F8C5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Systematic review</w:t>
            </w:r>
          </w:p>
        </w:tc>
        <w:tc>
          <w:tcPr>
            <w:tcW w:w="2266" w:type="dxa"/>
            <w:vAlign w:val="center"/>
          </w:tcPr>
          <w:p w14:paraId="6BC8CF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Shows methodological variation in costing essential health service packages.</w:t>
            </w:r>
          </w:p>
        </w:tc>
        <w:tc>
          <w:tcPr>
            <w:tcW w:w="1480" w:type="dxa"/>
            <w:vAlign w:val="center"/>
          </w:tcPr>
          <w:p w14:paraId="11D913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Value in Health/search result.</w:t>
            </w:r>
          </w:p>
        </w:tc>
      </w:tr>
      <w:tr w14:paraId="71F11B66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634B9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5182" w:type="dxa"/>
            <w:vAlign w:val="center"/>
          </w:tcPr>
          <w:p w14:paraId="5FC6F4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Cantero-Muñoz, P., et al. (2021). Is time-driven activity-based costing coming out on top? A comparison with activity-based costing in health care. Healthcare, 9(9), 1113. https://doi.org/10.3390/healthcare9091113</w:t>
            </w:r>
          </w:p>
        </w:tc>
        <w:tc>
          <w:tcPr>
            <w:tcW w:w="2892" w:type="dxa"/>
            <w:vAlign w:val="center"/>
          </w:tcPr>
          <w:p w14:paraId="6EB03E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https://doi.org/10.3390/healthcare9091113</w:t>
            </w:r>
          </w:p>
        </w:tc>
        <w:tc>
          <w:tcPr>
            <w:tcW w:w="1890" w:type="dxa"/>
            <w:vAlign w:val="center"/>
          </w:tcPr>
          <w:p w14:paraId="7A6383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Comparative review</w:t>
            </w:r>
          </w:p>
        </w:tc>
        <w:tc>
          <w:tcPr>
            <w:tcW w:w="2266" w:type="dxa"/>
            <w:vAlign w:val="center"/>
          </w:tcPr>
          <w:p w14:paraId="56A81C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Compares ABC and TDABC as alternatives to traditional costing systems in healthcare.</w:t>
            </w:r>
          </w:p>
        </w:tc>
        <w:tc>
          <w:tcPr>
            <w:tcW w:w="1480" w:type="dxa"/>
            <w:vAlign w:val="center"/>
          </w:tcPr>
          <w:p w14:paraId="0A4E1E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MDPI search result.</w:t>
            </w:r>
          </w:p>
        </w:tc>
      </w:tr>
      <w:tr w14:paraId="68806DD8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9B50A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5182" w:type="dxa"/>
            <w:vAlign w:val="center"/>
          </w:tcPr>
          <w:p w14:paraId="4170C4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49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Mohammadpour, F., Basakha, M., Kamal, S. H. M., &amp; Azari, N. (2022). Costing the outpatient rehabilitation services: Time-driven activity-based costing approach. Cost Effectiveness and Resource Allocation, 20, 31. https://doi.org/10.1186/s12962-022-00366-z</w:t>
            </w:r>
          </w:p>
        </w:tc>
        <w:tc>
          <w:tcPr>
            <w:tcW w:w="2892" w:type="dxa"/>
            <w:vAlign w:val="center"/>
          </w:tcPr>
          <w:p w14:paraId="1E3892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https://doi.org/10.1186/s12962-022-00366-z</w:t>
            </w:r>
          </w:p>
        </w:tc>
        <w:tc>
          <w:tcPr>
            <w:tcW w:w="1890" w:type="dxa"/>
            <w:vAlign w:val="center"/>
          </w:tcPr>
          <w:p w14:paraId="7B46EA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TDABC service costing study</w:t>
            </w:r>
          </w:p>
        </w:tc>
        <w:tc>
          <w:tcPr>
            <w:tcW w:w="2266" w:type="dxa"/>
            <w:vAlign w:val="center"/>
          </w:tcPr>
          <w:p w14:paraId="6AA63B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Applies TDABC to estimate outpatient rehabilitation costs.</w:t>
            </w:r>
          </w:p>
        </w:tc>
        <w:tc>
          <w:tcPr>
            <w:tcW w:w="1480" w:type="dxa"/>
            <w:vAlign w:val="center"/>
          </w:tcPr>
          <w:p w14:paraId="063634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BMC/SciSpace result.</w:t>
            </w:r>
          </w:p>
        </w:tc>
      </w:tr>
      <w:tr w14:paraId="1894482A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2202E0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5182" w:type="dxa"/>
            <w:vAlign w:val="center"/>
          </w:tcPr>
          <w:p w14:paraId="63693B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Munaa, N., Rahmawati, N. V., Nurdiana, F., Kusdiyana, A., Kusbiantoro, D., &amp; Sholihah, E. M. (2024). Analysis of activity based costing as the basis for inpatient services tariff at Intan Medika Lamongan Hospital. Jurnal Manajemen Kesehatan Indonesia, 12(2), 185–193. https://doi.org/10.14710/jmki.12.2.2024.185-193</w:t>
            </w:r>
          </w:p>
        </w:tc>
        <w:tc>
          <w:tcPr>
            <w:tcW w:w="2892" w:type="dxa"/>
            <w:vAlign w:val="center"/>
          </w:tcPr>
          <w:p w14:paraId="5712C4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https://doi.org/10.14710/jmki.12.2.2024.185-193</w:t>
            </w:r>
          </w:p>
        </w:tc>
        <w:tc>
          <w:tcPr>
            <w:tcW w:w="1890" w:type="dxa"/>
            <w:vAlign w:val="center"/>
          </w:tcPr>
          <w:p w14:paraId="061553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Hospital ABC tariff study</w:t>
            </w:r>
          </w:p>
        </w:tc>
        <w:tc>
          <w:tcPr>
            <w:tcW w:w="2266" w:type="dxa"/>
            <w:vAlign w:val="center"/>
          </w:tcPr>
          <w:p w14:paraId="7B21E9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Uses ABC as a basis for inpatient service tariff analysis.</w:t>
            </w:r>
          </w:p>
        </w:tc>
        <w:tc>
          <w:tcPr>
            <w:tcW w:w="1480" w:type="dxa"/>
            <w:vAlign w:val="center"/>
          </w:tcPr>
          <w:p w14:paraId="5F108A3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journal page search result.</w:t>
            </w:r>
          </w:p>
        </w:tc>
      </w:tr>
      <w:tr w14:paraId="3CC8DC31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0BA12C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5182" w:type="dxa"/>
            <w:vAlign w:val="center"/>
          </w:tcPr>
          <w:p w14:paraId="412F62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World Health Organization. (2019). Price setting and price regulation in health care: Lessons for advancing universal health coverage. https://www.who.int/publications/i/item/9789241515924</w:t>
            </w:r>
          </w:p>
        </w:tc>
        <w:tc>
          <w:tcPr>
            <w:tcW w:w="2892" w:type="dxa"/>
            <w:vAlign w:val="center"/>
          </w:tcPr>
          <w:p w14:paraId="51D9C8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https://www.who.int/publications/i/item/9789241515924</w:t>
            </w:r>
          </w:p>
        </w:tc>
        <w:tc>
          <w:tcPr>
            <w:tcW w:w="1890" w:type="dxa"/>
            <w:vAlign w:val="center"/>
          </w:tcPr>
          <w:p w14:paraId="2AE55C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Policy guidance</w:t>
            </w:r>
          </w:p>
        </w:tc>
        <w:tc>
          <w:tcPr>
            <w:tcW w:w="2266" w:type="dxa"/>
            <w:vAlign w:val="center"/>
          </w:tcPr>
          <w:p w14:paraId="3C19AA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the link between price-setting, regulation and universal health coverage.</w:t>
            </w:r>
          </w:p>
        </w:tc>
        <w:tc>
          <w:tcPr>
            <w:tcW w:w="1480" w:type="dxa"/>
            <w:vAlign w:val="center"/>
          </w:tcPr>
          <w:p w14:paraId="3FBC7B0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official WHO publication page.</w:t>
            </w:r>
          </w:p>
        </w:tc>
      </w:tr>
      <w:tr w14:paraId="6EA167B5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00B408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182" w:type="dxa"/>
            <w:vAlign w:val="center"/>
          </w:tcPr>
          <w:p w14:paraId="15A6138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Husereau, D., Drummond, M., Augustovski, F., de Bekker-Grob, E., Briggs, A. H., Carswell, C., et al. (2022). Consolidated Health Economic Evaluation Reporting Standards 2022 (CHEERS 2022) statement: Updated reporting guidance for health economic evaluations. Value in Health, 25(1), 3–9. https://doi.org/10.1016/j.jval.2021.11.1351</w:t>
            </w:r>
          </w:p>
        </w:tc>
        <w:tc>
          <w:tcPr>
            <w:tcW w:w="2892" w:type="dxa"/>
            <w:vAlign w:val="center"/>
          </w:tcPr>
          <w:p w14:paraId="1F46C62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https://doi.org/10.1016/j.jval.2021.11.1351</w:t>
            </w:r>
          </w:p>
        </w:tc>
        <w:tc>
          <w:tcPr>
            <w:tcW w:w="1890" w:type="dxa"/>
            <w:vAlign w:val="center"/>
          </w:tcPr>
          <w:p w14:paraId="792BC0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Reporting guideline</w:t>
            </w:r>
          </w:p>
        </w:tc>
        <w:tc>
          <w:tcPr>
            <w:tcW w:w="2266" w:type="dxa"/>
            <w:vAlign w:val="center"/>
          </w:tcPr>
          <w:p w14:paraId="1E946F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economic evaluation reporting where tariff models include cost-effectiveness components.</w:t>
            </w:r>
          </w:p>
        </w:tc>
        <w:tc>
          <w:tcPr>
            <w:tcW w:w="1480" w:type="dxa"/>
            <w:vAlign w:val="center"/>
          </w:tcPr>
          <w:p w14:paraId="3F850F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official CHEERS 2022 DOI record.</w:t>
            </w:r>
          </w:p>
        </w:tc>
      </w:tr>
      <w:tr w14:paraId="4685FF3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1146F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182" w:type="dxa"/>
            <w:vAlign w:val="center"/>
          </w:tcPr>
          <w:p w14:paraId="4818D9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Whiting, P., Savović, J., Higgins, J. P. T., Caldwell, D. M., Reeves, B. C., Shea, B., et al. (2016). ROBIS: A new tool to assess risk of bias in systematic reviews. Journal of Clinical Epidemiology, 69, 225–234. https://doi.org/10.1016/j.jclinepi.2015.06.005</w:t>
            </w:r>
          </w:p>
        </w:tc>
        <w:tc>
          <w:tcPr>
            <w:tcW w:w="2892" w:type="dxa"/>
            <w:vAlign w:val="center"/>
          </w:tcPr>
          <w:p w14:paraId="7C557F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https://doi.org/10.1016/j.jclinepi.2015.06.005</w:t>
            </w:r>
          </w:p>
        </w:tc>
        <w:tc>
          <w:tcPr>
            <w:tcW w:w="1890" w:type="dxa"/>
            <w:vAlign w:val="center"/>
          </w:tcPr>
          <w:p w14:paraId="7707FB4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Risk-of-bias tool</w:t>
            </w:r>
          </w:p>
        </w:tc>
        <w:tc>
          <w:tcPr>
            <w:tcW w:w="2266" w:type="dxa"/>
            <w:vAlign w:val="center"/>
          </w:tcPr>
          <w:p w14:paraId="083FC7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Provides basis for appraising systematic reviews included in this review.</w:t>
            </w:r>
          </w:p>
        </w:tc>
        <w:tc>
          <w:tcPr>
            <w:tcW w:w="1480" w:type="dxa"/>
            <w:vAlign w:val="center"/>
          </w:tcPr>
          <w:p w14:paraId="11C826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J Clin Epidemiology/Bristol ROBIS search result.</w:t>
            </w:r>
          </w:p>
        </w:tc>
      </w:tr>
      <w:tr w14:paraId="287C55BE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1D9D7C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5182" w:type="dxa"/>
            <w:vAlign w:val="center"/>
          </w:tcPr>
          <w:p w14:paraId="3DBB8D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Hong, Q. N., Pluye, P., Fàbregues, S., Bartlett, G., Boardman, F., Cargo, M., et al. (2018). Mixed Methods Appraisal Tool (MMAT), version 2018: User guide. McGill University. http://mixedmethodsappraisaltoolpublic.pbworks.com/w/file/fetch/127916259/MMAT_2018_criteria-manual_2018-08-01_ENG.pdf</w:t>
            </w:r>
          </w:p>
        </w:tc>
        <w:tc>
          <w:tcPr>
            <w:tcW w:w="2892" w:type="dxa"/>
            <w:vAlign w:val="center"/>
          </w:tcPr>
          <w:p w14:paraId="5F3B1B3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http://mixedmethodsappraisaltoolpublic.pbworks.com/w/file/fetch/127916259/MMAT_2018_criteria-manual_2018-08-01_ENG.pdf</w:t>
            </w:r>
          </w:p>
        </w:tc>
        <w:tc>
          <w:tcPr>
            <w:tcW w:w="1890" w:type="dxa"/>
            <w:vAlign w:val="center"/>
          </w:tcPr>
          <w:p w14:paraId="79907D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Critical appraisal tool</w:t>
            </w:r>
          </w:p>
        </w:tc>
        <w:tc>
          <w:tcPr>
            <w:tcW w:w="2266" w:type="dxa"/>
            <w:vAlign w:val="center"/>
          </w:tcPr>
          <w:p w14:paraId="373133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Supports appraisal of mixed qualitative, quantitative and mixed-methods studies.</w:t>
            </w:r>
          </w:p>
        </w:tc>
        <w:tc>
          <w:tcPr>
            <w:tcW w:w="1480" w:type="dxa"/>
            <w:vAlign w:val="center"/>
          </w:tcPr>
          <w:p w14:paraId="759677B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MMAT PDF search result.</w:t>
            </w:r>
          </w:p>
        </w:tc>
      </w:tr>
      <w:tr w14:paraId="48BB947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44F229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5182" w:type="dxa"/>
            <w:vAlign w:val="center"/>
          </w:tcPr>
          <w:p w14:paraId="194108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instrText xml:space="preserve"> HYPERLINK "" \h </w:instrTex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Arial" w:hAnsi="Arial" w:eastAsia="Arial"/>
                <w:b w:val="0"/>
                <w:i w:val="0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] Billaux, M., et al. (2025). An introduction to costing and the types of costs used within health economic analysis. PharmacoEconomics Open. https://doi.org/10.1007/s41669-025-00602-1</w:t>
            </w:r>
          </w:p>
        </w:tc>
        <w:tc>
          <w:tcPr>
            <w:tcW w:w="2892" w:type="dxa"/>
            <w:vAlign w:val="center"/>
          </w:tcPr>
          <w:p w14:paraId="6EDDD4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https://doi.org/10.1007/s41669-025-00602-1</w:t>
            </w:r>
          </w:p>
        </w:tc>
        <w:tc>
          <w:tcPr>
            <w:tcW w:w="1890" w:type="dxa"/>
            <w:vAlign w:val="center"/>
          </w:tcPr>
          <w:p w14:paraId="4F3A8C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Methodological primer</w:t>
            </w:r>
          </w:p>
        </w:tc>
        <w:tc>
          <w:tcPr>
            <w:tcW w:w="2266" w:type="dxa"/>
            <w:vAlign w:val="center"/>
          </w:tcPr>
          <w:p w14:paraId="141F84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Clarifies distinctions among costs, charges, reimbursement rates and tariffs.</w:t>
            </w:r>
          </w:p>
        </w:tc>
        <w:tc>
          <w:tcPr>
            <w:tcW w:w="1480" w:type="dxa"/>
            <w:vAlign w:val="center"/>
          </w:tcPr>
          <w:p w14:paraId="1827C4F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rPr>
                <w:rFonts w:hint="default" w:ascii="Arial" w:hAnsi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color w:val="000000" w:themeColor="text1"/>
                <w:sz w:val="16"/>
                <w:szCs w:val="22"/>
                <w14:textFill>
                  <w14:solidFill>
                    <w14:schemeClr w14:val="tx1"/>
                  </w14:solidFill>
                </w14:textFill>
              </w:rPr>
              <w:t>Verified via Springer PDF search result.</w:t>
            </w:r>
          </w:p>
        </w:tc>
      </w:tr>
    </w:tbl>
    <w:p w14:paraId="274D112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footerReference r:id="rId6" w:type="default"/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D4BF5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1B55B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4FE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894</Words>
  <Characters>6229</Characters>
  <Lines>0</Lines>
  <Paragraphs>0</Paragraphs>
  <TotalTime>2</TotalTime>
  <ScaleCrop>false</ScaleCrop>
  <LinksUpToDate>false</LinksUpToDate>
  <CharactersWithSpaces>7033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dcterms:modified xsi:type="dcterms:W3CDTF">2026-09-28T07:38:43Z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eyJoZGlkIjoiZTI3ZGY5YWFhNjZiMmI5N2UxMTkwNDQ5NGQ3MTY0ZWEiLCJ1c2VySWQiOiIxMzA1NjcwNjY1MTAwNiJ9</vt:lpwstr>
  </property>
  <property fmtid="{D5CDD505-2E9C-101B-9397-08002B2CF9AE}" pid="3" name="KSOProductBuildVer">
    <vt:lpwstr>1033-12.1.0.28485</vt:lpwstr>
  </property>
  <property fmtid="{D5CDD505-2E9C-101B-9397-08002B2CF9AE}" pid="4" name="ICV">
    <vt:lpwstr>72FE5E18111E49FD8EA718E662D0AE50_12</vt:lpwstr>
  </property>
</Properties>
</file>