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D852A" w14:textId="77777777" w:rsidR="00AA343E" w:rsidRDefault="00AA343E"/>
    <w:p w14:paraId="5926FCEC" w14:textId="77777777" w:rsidR="000D1A49" w:rsidRDefault="00AA343E">
      <w:r w:rsidRPr="000928EF">
        <w:rPr>
          <w:b/>
          <w:bCs/>
        </w:rPr>
        <w:t>Table 1</w:t>
      </w:r>
      <w:r>
        <w:t xml:space="preserve"> </w:t>
      </w:r>
    </w:p>
    <w:p w14:paraId="453D83EA" w14:textId="5A891CE9" w:rsidR="00AA343E" w:rsidRDefault="00AA343E">
      <w:r>
        <w:t xml:space="preserve">Demographic characteristics in patients with PD. </w:t>
      </w:r>
    </w:p>
    <w:p w14:paraId="7758FDAD" w14:textId="67B82EAB" w:rsidR="00AA343E" w:rsidRDefault="000E2184" w:rsidP="000E2184">
      <w:pPr>
        <w:tabs>
          <w:tab w:val="left" w:pos="6132"/>
        </w:tabs>
        <w:ind w:firstLineChars="1150" w:firstLine="241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52A729" wp14:editId="2EB71C97">
                <wp:simplePos x="0" y="0"/>
                <wp:positionH relativeFrom="margin">
                  <wp:posOffset>0</wp:posOffset>
                </wp:positionH>
                <wp:positionV relativeFrom="paragraph">
                  <wp:posOffset>141605</wp:posOffset>
                </wp:positionV>
                <wp:extent cx="4099560" cy="7620"/>
                <wp:effectExtent l="0" t="0" r="34290" b="30480"/>
                <wp:wrapNone/>
                <wp:docPr id="129038854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9560" cy="762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12B284E" id="直線コネクタ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1.15pt" to="322.8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" strokecolor="black [3200]" strokeweight="1pt">
                <v:stroke joinstyle="miter"/>
                <w10:wrap anchorx="margin"/>
              </v:line>
            </w:pict>
          </mc:Fallback>
        </mc:AlternateContent>
      </w:r>
      <w:r>
        <w:tab/>
      </w:r>
    </w:p>
    <w:p w14:paraId="1BDB78F0" w14:textId="21D59675" w:rsidR="00AA343E" w:rsidRDefault="00AA343E" w:rsidP="00E44652">
      <w:pPr>
        <w:ind w:firstLineChars="1450" w:firstLine="3045"/>
      </w:pPr>
      <w:r>
        <w:t xml:space="preserve">PD patients </w:t>
      </w:r>
    </w:p>
    <w:p w14:paraId="26D92453" w14:textId="25498421" w:rsidR="00AA343E" w:rsidRDefault="00AA343E" w:rsidP="00AA343E">
      <w:r>
        <w:t xml:space="preserve">Number of patients </w:t>
      </w:r>
      <w:r>
        <w:rPr>
          <w:rFonts w:hint="eastAsia"/>
        </w:rPr>
        <w:t xml:space="preserve">   </w:t>
      </w:r>
      <w:r w:rsidR="000928EF">
        <w:rPr>
          <w:rFonts w:hint="eastAsia"/>
        </w:rPr>
        <w:t xml:space="preserve">    </w:t>
      </w:r>
      <w:r>
        <w:rPr>
          <w:rFonts w:hint="eastAsia"/>
        </w:rPr>
        <w:t xml:space="preserve">    </w:t>
      </w:r>
      <w:r w:rsidR="000928EF">
        <w:rPr>
          <w:rFonts w:hint="eastAsia"/>
        </w:rPr>
        <w:t xml:space="preserve">   </w:t>
      </w:r>
      <w:r>
        <w:rPr>
          <w:rFonts w:hint="eastAsia"/>
        </w:rPr>
        <w:t xml:space="preserve"> </w:t>
      </w:r>
      <w:r>
        <w:t>32</w:t>
      </w:r>
      <w:r w:rsidR="000E218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5EB3B1" wp14:editId="1C204EA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4099560" cy="7620"/>
                <wp:effectExtent l="0" t="0" r="34290" b="30480"/>
                <wp:wrapNone/>
                <wp:docPr id="1117265649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9560" cy="762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4725FB5" id="直線コネクタ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322.8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" strokecolor="windowText" strokeweight="1pt">
                <v:stroke joinstyle="miter"/>
                <w10:wrap anchorx="margin"/>
              </v:line>
            </w:pict>
          </mc:Fallback>
        </mc:AlternateContent>
      </w:r>
    </w:p>
    <w:p w14:paraId="5D588CD4" w14:textId="39145043" w:rsidR="00AA343E" w:rsidRDefault="00AA343E" w:rsidP="00AA343E">
      <w:r>
        <w:t>Age (</w:t>
      </w:r>
      <w:proofErr w:type="gramStart"/>
      <w:r>
        <w:t xml:space="preserve">years) </w:t>
      </w:r>
      <w:r>
        <w:rPr>
          <w:rFonts w:hint="eastAsia"/>
        </w:rPr>
        <w:t xml:space="preserve">  </w:t>
      </w:r>
      <w:proofErr w:type="gramEnd"/>
      <w:r>
        <w:rPr>
          <w:rFonts w:hint="eastAsia"/>
        </w:rPr>
        <w:t xml:space="preserve">             </w:t>
      </w:r>
      <w:r w:rsidR="00E44652">
        <w:rPr>
          <w:rFonts w:hint="eastAsia"/>
        </w:rPr>
        <w:t xml:space="preserve"> </w:t>
      </w:r>
      <w:r>
        <w:t>68.1 ± 11.9 (51 – 88)</w:t>
      </w:r>
    </w:p>
    <w:p w14:paraId="387C6C70" w14:textId="48C58808" w:rsidR="00AA343E" w:rsidRDefault="00AA343E" w:rsidP="00AA343E">
      <w:r>
        <w:t>Gender (female/</w:t>
      </w:r>
      <w:proofErr w:type="gramStart"/>
      <w:r>
        <w:t xml:space="preserve">male) </w:t>
      </w:r>
      <w:r>
        <w:rPr>
          <w:rFonts w:hint="eastAsia"/>
        </w:rPr>
        <w:t xml:space="preserve">  </w:t>
      </w:r>
      <w:proofErr w:type="gramEnd"/>
      <w:r>
        <w:rPr>
          <w:rFonts w:hint="eastAsia"/>
        </w:rPr>
        <w:t xml:space="preserve">   </w:t>
      </w:r>
      <w:r w:rsidR="000928EF">
        <w:rPr>
          <w:rFonts w:hint="eastAsia"/>
        </w:rPr>
        <w:t xml:space="preserve">      </w:t>
      </w:r>
      <w:r>
        <w:t xml:space="preserve">18/14 </w:t>
      </w:r>
      <w:r>
        <w:rPr>
          <w:rFonts w:hint="eastAsia"/>
        </w:rPr>
        <w:t xml:space="preserve"> </w:t>
      </w:r>
    </w:p>
    <w:p w14:paraId="228C07AB" w14:textId="44DC9CB9" w:rsidR="00AA343E" w:rsidRDefault="00AA343E" w:rsidP="00AA343E">
      <w:r>
        <w:t>Duration of disease (</w:t>
      </w:r>
      <w:proofErr w:type="gramStart"/>
      <w:r>
        <w:t xml:space="preserve">years) </w:t>
      </w:r>
      <w:r>
        <w:rPr>
          <w:rFonts w:hint="eastAsia"/>
        </w:rPr>
        <w:t xml:space="preserve">  </w:t>
      </w:r>
      <w:proofErr w:type="gramEnd"/>
      <w:r>
        <w:t>13.9 ± 3.1 (11 - 26)</w:t>
      </w:r>
    </w:p>
    <w:p w14:paraId="64BD4B63" w14:textId="0964F0FA" w:rsidR="00AA343E" w:rsidRDefault="00AA343E" w:rsidP="00AA343E">
      <w:r>
        <w:t xml:space="preserve">UPDRS (year 1) </w:t>
      </w:r>
      <w:r w:rsidR="000928EF">
        <w:rPr>
          <w:rFonts w:hint="eastAsia"/>
        </w:rPr>
        <w:t xml:space="preserve">            </w:t>
      </w:r>
      <w:r w:rsidR="000928EF">
        <w:t>31.4 ± 21.0 (8 – 91)</w:t>
      </w:r>
    </w:p>
    <w:p w14:paraId="611E84E2" w14:textId="61170589" w:rsidR="00AA343E" w:rsidRDefault="00AA343E" w:rsidP="00AA343E">
      <w:r>
        <w:t xml:space="preserve">UPDRS (year 11) </w:t>
      </w:r>
      <w:r w:rsidR="000928EF">
        <w:rPr>
          <w:rFonts w:hint="eastAsia"/>
        </w:rPr>
        <w:t xml:space="preserve">           </w:t>
      </w:r>
      <w:r w:rsidR="000928EF">
        <w:t>64.2 ± 32.2 (22 – 132)</w:t>
      </w:r>
      <w:r w:rsidR="000928EF">
        <w:rPr>
          <w:rFonts w:hint="eastAsia"/>
        </w:rPr>
        <w:t xml:space="preserve">   </w:t>
      </w:r>
    </w:p>
    <w:p w14:paraId="2F134A58" w14:textId="5BFEA3D4" w:rsidR="00AA343E" w:rsidRDefault="00AA343E" w:rsidP="00AA343E">
      <w:r>
        <w:t xml:space="preserve">Body mass index (kg/m2) </w:t>
      </w:r>
      <w:r w:rsidR="000928EF">
        <w:rPr>
          <w:rFonts w:hint="eastAsia"/>
        </w:rPr>
        <w:t xml:space="preserve">    </w:t>
      </w:r>
      <w:r w:rsidR="000928EF">
        <w:t>23.5 ± 3.3 (16.4 – 30.2)</w:t>
      </w:r>
    </w:p>
    <w:p w14:paraId="1BC8EC29" w14:textId="264F5B83" w:rsidR="000928EF" w:rsidRDefault="00AA343E" w:rsidP="00AA343E">
      <w:r>
        <w:t>Levodopa-equivalent daily dose (mg)</w:t>
      </w:r>
    </w:p>
    <w:p w14:paraId="5717A646" w14:textId="237C3921" w:rsidR="000928EF" w:rsidRDefault="00AA343E" w:rsidP="000928EF">
      <w:pPr>
        <w:ind w:firstLineChars="1350" w:firstLine="2835"/>
      </w:pPr>
      <w:r>
        <w:t xml:space="preserve"> 604.2 ± 262.8 (200 – 1358) </w:t>
      </w:r>
    </w:p>
    <w:p w14:paraId="64B5F64F" w14:textId="03E6D5B0" w:rsidR="00AA343E" w:rsidRDefault="00AA343E" w:rsidP="00AA343E">
      <w:r>
        <w:t xml:space="preserve">LD monotherapy </w:t>
      </w:r>
      <w:r w:rsidR="000928EF">
        <w:rPr>
          <w:rFonts w:hint="eastAsia"/>
        </w:rPr>
        <w:t xml:space="preserve">                  </w:t>
      </w:r>
      <w:r>
        <w:t xml:space="preserve">10 </w:t>
      </w:r>
    </w:p>
    <w:p w14:paraId="146FEADF" w14:textId="2987E0E0" w:rsidR="00AA343E" w:rsidRDefault="00AA343E" w:rsidP="00AA343E">
      <w:r>
        <w:t xml:space="preserve">LD &amp; DA combined therapy </w:t>
      </w:r>
      <w:r w:rsidR="000928EF">
        <w:rPr>
          <w:rFonts w:hint="eastAsia"/>
        </w:rPr>
        <w:t xml:space="preserve">        </w:t>
      </w:r>
      <w:r>
        <w:t xml:space="preserve">22 </w:t>
      </w:r>
    </w:p>
    <w:p w14:paraId="16D2579E" w14:textId="3D8508F4" w:rsidR="00AA343E" w:rsidRDefault="000E2184" w:rsidP="00AA343E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E8A4C7" wp14:editId="6703D3BE">
                <wp:simplePos x="0" y="0"/>
                <wp:positionH relativeFrom="margin">
                  <wp:posOffset>0</wp:posOffset>
                </wp:positionH>
                <wp:positionV relativeFrom="paragraph">
                  <wp:posOffset>113665</wp:posOffset>
                </wp:positionV>
                <wp:extent cx="4099560" cy="7620"/>
                <wp:effectExtent l="0" t="0" r="34290" b="30480"/>
                <wp:wrapNone/>
                <wp:docPr id="524171838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9560" cy="762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EEA9300" id="直線コネクタ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8.95pt" to="322.8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" strokecolor="windowText" strokeweight="1pt">
                <v:stroke joinstyle="miter"/>
                <w10:wrap anchorx="margin"/>
              </v:line>
            </w:pict>
          </mc:Fallback>
        </mc:AlternateContent>
      </w:r>
    </w:p>
    <w:p w14:paraId="7CEC87B3" w14:textId="7ABCF161" w:rsidR="00AA343E" w:rsidRDefault="00AA343E" w:rsidP="00AA343E">
      <w:r>
        <w:t xml:space="preserve">Mean ± standard deviation (min – max). </w:t>
      </w:r>
    </w:p>
    <w:p w14:paraId="4CC53745" w14:textId="77777777" w:rsidR="00AA343E" w:rsidRDefault="00AA343E" w:rsidP="00AA343E">
      <w:r>
        <w:t xml:space="preserve">PD: Parkinson’s disease, UPDRS: Unified PD Rating Scale, </w:t>
      </w:r>
    </w:p>
    <w:p w14:paraId="6F6C1695" w14:textId="44E63DF7" w:rsidR="00AA343E" w:rsidRDefault="00AA343E" w:rsidP="00AA343E">
      <w:r>
        <w:t>LD: levodopa, DA: dopamine agonists</w:t>
      </w:r>
      <w:r>
        <w:rPr>
          <w:rFonts w:hint="eastAsia"/>
        </w:rPr>
        <w:t>.</w:t>
      </w:r>
    </w:p>
    <w:sectPr w:rsidR="00AA343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43E"/>
    <w:rsid w:val="00073DD9"/>
    <w:rsid w:val="000928EF"/>
    <w:rsid w:val="000D1A49"/>
    <w:rsid w:val="000E2184"/>
    <w:rsid w:val="00302A6E"/>
    <w:rsid w:val="00696978"/>
    <w:rsid w:val="00AA343E"/>
    <w:rsid w:val="00C44A29"/>
    <w:rsid w:val="00E44652"/>
    <w:rsid w:val="00EF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49A01A"/>
  <w15:chartTrackingRefBased/>
  <w15:docId w15:val="{23096B57-6747-4016-AF52-B457D0D4A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A343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34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343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343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343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343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343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343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343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A343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A343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A343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A34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A34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A34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A34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A34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A343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A343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A3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343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A34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34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A34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343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A343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A34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A343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A34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和雅 新藤</dc:creator>
  <cp:keywords/>
  <dc:description/>
  <cp:lastModifiedBy>和雅 新藤</cp:lastModifiedBy>
  <cp:revision>2</cp:revision>
  <dcterms:created xsi:type="dcterms:W3CDTF">2026-09-16T01:38:00Z</dcterms:created>
  <dcterms:modified xsi:type="dcterms:W3CDTF">2026-09-16T01:38:00Z</dcterms:modified>
</cp:coreProperties>
</file>