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Additional file 1. Supplementary methods: baseline, matched-source and diagnostic experiments</w:t>
      </w:r>
    </w:p>
    <w:p>
      <w:r>
        <w:t>The baseline, 1,000-source parametric main grid, 200-source B=399 bootstrap, 24-source known-truth CTGAN feasibility grid, 13-fit source-0 adequacy amendment, 1,000 fresh-source frozen-reference diagnostic, and 24-source/120-fit public grid are complete. The methods below describe the executed procedures; their scientific limitations are reported with the results.</w:t>
      </w:r>
    </w:p>
    <w:p>
      <w:pPr>
        <w:pStyle w:val="Heading1"/>
      </w:pPr>
      <w:r>
        <w:t>S0. Transparent Bernoulli baseline and deterministic mathematical checks</w:t>
      </w:r>
    </w:p>
    <w:p>
      <w:r>
        <w:t>The count-based baseline is separate from the logistic and neural matched experiments. It uses 45 scenarios: total source size n in {200,1,000,5,000}, minority fraction q in {.02,.10,.50}, and minority event probability p in {.10,.14,.15,.16,.20}, with 50,000 independent source replicates per scenario (seed 9276301). Draw K~Binomial(n,q), X|K~Binomial(K,p), and majority events independently conditional on K with probability .30. Empirical, pooled and truth-knowing oracle fitted probabilities are X/K, (X+Xₘₐⱼₒᵣᵢₜᵧ)/n and p. Empty minority groups are inconclusive. Release sizes use m=max(K*r,1) for r in {1,5,20,100,1000}. Source realizations are paired across methods and ratios; unlike the matched experiments below, the baseline synthetic counts at different ratios are separate binomial draws, not nested prefixes.</w:t>
      </w:r>
    </w:p>
    <w:p>
      <w:r>
        <w:t>For constants A=.1 and B=.2, D=(B-Y)</w:t>
      </w:r>
      <w:r>
        <w:rPr>
          <w:vertAlign w:val="superscript"/>
        </w:rPr>
        <w:t>2</w:t>
      </w:r>
      <w:r>
        <w:t>-(A-Y)</w:t>
      </w:r>
      <w:r>
        <w:rPr>
          <w:vertAlign w:val="superscript"/>
        </w:rPr>
        <w:t>2</w:t>
      </w:r>
      <w:r>
        <w:t>=.03-.2Y, so the zero Brier-difference boundary corresponds to c=.15. Higher-prediction certification is a lower bound for p above c; reversing A/B requires an upper bound below c. Conditional synthetic Wald and exact binomial tests use generated counts. The source-exact comparator uses X,K. The source-variance approximation adds an estimated fitting variance to the fitted-generator conditional term; it is not exact and is not a general source-aware solution.</w:t>
      </w:r>
    </w:p>
    <w:p>
      <w:r>
        <w:t>At fixed K=k&gt;0, if Z|X~Binomial(m,X/k), then E[Z/m]=p and</w:t>
      </w:r>
    </w:p>
    <w:p>
      <w:r>
        <w:t>Var(Z/m)=p(1-p)[1/k+(1-1/k)/m].</w:t>
      </w:r>
    </w:p>
    <w:p>
      <w:r>
        <w:t>The effective information implied by this variance is km/(m+k-1), tending to k as m increases. For k&gt;1, p̂(1-p̂)/(k-1) is unbiased for Var(p̂). The empirical correction combines that term with p̂(1-p̂)/m; it is unavailable at k&lt;=1. The pooled correction uses p̂ₚₒₒₗ(1-p̂ₚₒₒₗ)/(n-1), addressing the pooled mixture law q*p+(1-q)*.30 rather than the minority target. Oracle fitting variance is zero. These are applications of total variance, not new uncertainty principles.</w:t>
      </w:r>
    </w:p>
    <w:p>
      <w:r>
        <w:t>At fixed k and an empirical generator, the large-release higher-prediction false-certification limit is Pr(X/k&gt;c)+α*Pr(X/k=c), with α=.05; the reversed direction uses Pr(X/k&lt;c)+α*Pr(X/k=c). The lattice-atom term matters when kc is an integer. These statements concern the specified conditional procedures and do not generalize automatically to arbitrary learned generators.</w:t>
      </w:r>
    </w:p>
    <w:p>
      <w:r>
        <w:t>With zero events in k original records, the one-sided exact upper bound is 1-α</w:t>
      </w:r>
      <w:r>
        <w:rPr>
          <w:vertAlign w:val="superscript"/>
        </w:rPr>
        <w:t>1/k</w:t>
      </w:r>
      <w:r>
        <w:t>; certifying p&lt;.15 requires at least 19 zero-event original observations at α=.05. At random K, Pr(no minority event)=(1-q*p)</w:t>
      </w:r>
      <w:r>
        <w:rPr>
          <w:vertAlign w:val="superscript"/>
        </w:rPr>
        <w:t>n</w:t>
      </w:r>
      <w:r>
        <w:t>; subtract (1-q)</w:t>
      </w:r>
      <w:r>
        <w:rPr>
          <w:vertAlign w:val="superscript"/>
        </w:rPr>
        <w:t>n</w:t>
      </w:r>
      <w:r>
        <w:t xml:space="preserve"> for a nonempty subgroup, and additionally n*q*(1-q)</w:t>
      </w:r>
      <w:r>
        <w:rPr>
          <w:vertAlign w:val="superscript"/>
        </w:rPr>
        <w:t>n-1</w:t>
      </w:r>
      <w:r>
        <w:t xml:space="preserve">*(1-p) to require K&gt;=2. Plug-in variance can collapse at zero events despite remaining source uncertainty. </w:t>
      </w:r>
      <w:r>
        <w:rPr>
          <w:rFonts w:ascii="Consolas" w:hAnsi="Consolas"/>
          <w:sz w:val="16"/>
        </w:rPr>
        <w:t>src/experiment.py --verify</w:t>
      </w:r>
      <w:r>
        <w:t xml:space="preserve"> checks Brier identities, exact-test size by binomial enumeration, total variance and empty/zero-event behavior. </w:t>
      </w:r>
      <w:r>
        <w:rPr>
          <w:rFonts w:ascii="Consolas" w:hAnsi="Consolas"/>
          <w:sz w:val="16"/>
        </w:rPr>
        <w:t>review_packages/MATHEMATICAL_CHECKS.md</w:t>
      </w:r>
      <w:r>
        <w:t xml:space="preserve"> and </w:t>
      </w:r>
      <w:r>
        <w:rPr>
          <w:rFonts w:ascii="Consolas" w:hAnsi="Consolas"/>
          <w:sz w:val="16"/>
        </w:rPr>
        <w:t>results/main/verification.json</w:t>
      </w:r>
      <w:r>
        <w:t xml:space="preserve"> retain that evidence.</w:t>
      </w:r>
    </w:p>
    <w:p>
      <w:pPr>
        <w:pStyle w:val="Heading1"/>
      </w:pPr>
      <w:r>
        <w:t>S1. Simulated population and paired interventions</w:t>
      </w:r>
    </w:p>
    <w:p>
      <w:r>
        <w:t>Write σ(x) = 1/(1+exp(−x)). For each independent row, draw Z₁,Z₂ independently from N(0,1) and independent uniform variables Uₕ,Uₛ,Uₚ,Uᵧ. Define</w:t>
      </w:r>
    </w:p>
    <w:p>
      <w:r>
        <w:t>Age = 20 + 60σ(Z₁),</w:t>
      </w:r>
    </w:p>
    <w:p>
      <w:r>
        <w:t>BMI = 18 + 20σ(0.35Z₁ + √(1−0.35²)Z₂),</w:t>
      </w:r>
    </w:p>
    <w:p>
      <w:r>
        <w:t>a = (Age−50)/15, b = (BMI−28)/5.</w:t>
      </w:r>
    </w:p>
    <w:p>
      <w:r>
        <w:t>Conditional on these continuous variables, let</w:t>
      </w:r>
    </w:p>
    <w:p>
      <w:r>
        <w:t>H = 1{Uₕ &lt; σ(−0.6+0.9a+0.7b)},</w:t>
      </w:r>
    </w:p>
    <w:p>
      <w:r>
        <w:t>S = 1{Uₛ &lt; σ(−0.7+0.4a−0.25b)},</w:t>
      </w:r>
    </w:p>
    <w:p>
      <w:r>
        <w:t>P = 1{Uₚ &lt; σ(0.5−0.3a−0.6b)}.</w:t>
      </w:r>
    </w:p>
    <w:p>
      <w:r>
        <w:t>The minority logit is η(X) = −2.2+0.55a+0.70b+0.45H+0.25S−0.30P. Group G=1 is the minority. For an outcome-shift intervention κ∈{−1,0,+1}, generate</w:t>
      </w:r>
    </w:p>
    <w:p>
      <w:r>
        <w:t>Y = 1{Uᵧ &lt; σ[η(X)+(1−G)κ(0.6+0.4a)]}.</w:t>
      </w:r>
    </w:p>
    <w:p>
      <w:r>
        <w:t>These are manufactured variables with clinical-like names, not sampled patients or a validated disease model. Age and BMI have bounded support (20,80) and (18,38), respectively. A generated value outside these intervals is outside this simulated mechanism, even if numerically finite; retaining such a value does not make it valid for the population.</w:t>
      </w:r>
    </w:p>
    <w:p>
      <w:r>
        <w:t>Each source cohort contains 200 minority rows and a maximum majority stream of 3,200 rows. Majority n₀=800 uses the first 800 rows of that stream; n₀=3,200 uses the entire stream. The same majority latent covariates and outcome uniforms generate all three κ versions. Minority rows are identical across all interventions and checked through saved arrays and digests. Consequently differences across arms are paired interventions, not independent datasets. Source cohorts have independent derived random streams. A fitting seed or the reversal of a predictor pair is not an additional independent source cohort.</w:t>
      </w:r>
    </w:p>
    <w:p>
      <w:pPr>
        <w:pStyle w:val="Heading1"/>
      </w:pPr>
      <w:r>
        <w:t>S2. Fixed predictors and known target</w:t>
      </w:r>
    </w:p>
    <w:p>
      <w:r>
        <w:t>Let p(X)=σ(η(X)) be the true minority event probability. Candidate predictors are f</w:t>
      </w:r>
      <w:r>
        <w:rPr>
          <w:vertAlign w:val="subscript"/>
        </w:rPr>
        <w:t>d</w:t>
      </w:r>
      <w:r>
        <w:t>(X)=σ(η(X)+d), with offsets fixed before source-cohort fitting. Negative and positive offsets d₋,d₊ are chosen so that E[(f</w:t>
      </w:r>
      <w:r>
        <w:rPr>
          <w:vertAlign w:val="subscript"/>
        </w:rPr>
        <w:t>d</w:t>
      </w:r>
      <w:r>
        <w:t>−p)²]=0.002. This is also their excess expected binary Brier loss relative to p. The two harmful comparisons use A=p and B=f</w:t>
      </w:r>
      <w:r>
        <w:rPr>
          <w:vertAlign w:val="subscript"/>
        </w:rPr>
        <w:t>d</w:t>
      </w:r>
      <w:r>
        <w:t>; reversing A and B supplies beneficial comparisons. A separate negative-offset/positive-offset pair is chosen so that each has excess Brier risk 0.003; their paired population difference is zero up to numerical integration error.</w:t>
      </w:r>
    </w:p>
    <w:p>
      <w:r>
        <w:t>For any fixed predictors A and B,</w:t>
      </w:r>
    </w:p>
    <w:p>
      <w:r>
        <w:t>D(X,Y) = (B(X)−Y)² − (A(X)−Y)²,</w:t>
      </w:r>
    </w:p>
    <w:p>
      <w:r>
        <w:t>Δ = E[D(X,Y) | G=1].</w:t>
      </w:r>
    </w:p>
    <w:p>
      <w:r>
        <w:t>Positive Δ means B has worse expected Brier loss. The procedure certifies B only if a one-sided upper bound for Δ is strictly below zero: H₀:Δ≥0 versus H₁:Δ&lt;0. A zero noninferiority margin therefore has the mathematical interpretation of a strict lower-risk/superiority test. A Brier comparison is not a clinical safety or utility certificate.</w:t>
      </w:r>
    </w:p>
    <w:p>
      <w:r>
        <w:t>Population expectations use two-dimensional Gauss–Hermite quadrature over Z₁,Z₂ and exact summation over the eight H,S,P configurations. Offsets are solved using order 64 quadrature; order 96 checks agreement of the resulting population paired losses against the declared tolerance 2×10⁻⁵. This agreement is numerical convergence evidence, not a rigorous quadrature error bound. Deterministic integration avoids Monte Carlo sampling error in the target; numerical integration error and uncertainty in fitted source-cohort estimators remain distinct.</w:t>
      </w:r>
    </w:p>
    <w:p>
      <w:pPr>
        <w:pStyle w:val="Heading1"/>
      </w:pPr>
      <w:r>
        <w:t>S3. Logistic generator models and regularization</w:t>
      </w:r>
    </w:p>
    <w:p>
      <w:r>
        <w:t>Let x=(1,a,b,H,S,P). The minority-only model fits x on minority rows. The fully interacted model fits (x,Gx) on both groups. The shared main-effects model fits (x,G), omitting group-by-covariate interactions. The latter is correctly specified at κ=0 but deliberately omits the group-specific age effect when κ≠0.</w:t>
      </w:r>
    </w:p>
    <w:p>
      <w:r>
        <w:t>The objective is the summed Bernoulli negative log likelihood plus (λ/2)Σ</w:t>
      </w:r>
      <w:r>
        <w:rPr>
          <w:vertAlign w:val="subscript"/>
        </w:rPr>
        <w:t>j≥1</w:t>
      </w:r>
      <w:r>
        <w:t>β</w:t>
      </w:r>
      <w:r>
        <w:rPr>
          <w:vertAlign w:val="subscript"/>
        </w:rPr>
        <w:t>j</w:t>
      </w:r>
      <w:r>
        <w:t>², with λ∈{0,1,10}. The entire objective is divided by the training size solely for numerical optimization. Only the first/common intercept is unpenalized; the group intercept and group interaction coefficients are penalized when present. Thus a fixed λ is not a fixed penalty on the mean negative log likelihood. The three model parameterizations also have different shrinkage geometries: a same-number penalty is not an identical prior on group-specific parameters.</w:t>
      </w:r>
    </w:p>
    <w:p>
      <w:r>
        <w:t>L-BFGS-B starts at zero slopes with intercept logit of the observed outcome mean. The requested maximum is 500 iterations, gtol=10⁻⁹, ftol=10⁻¹⁴ and maxls=40. Validity additionally requires optimizer success, finite coefficients and maximum absolute gradient below 2×10⁻⁶. In the unpenalized fit, coefficient magnitude above 30 or minimum scaled Hessian eigenvalue below 10⁻¹⁰ triggers the prespecified possible-separation/conditioning screen. This is a diagnostic, not an exact separation theorem. A one-class source outcome is unavailable because the unpenalized intercept is not finite. Diagnostics and unavailable results are retained.</w:t>
      </w:r>
    </w:p>
    <w:p>
      <w:r>
        <w:t>At λ=0, the fully interacted likelihood separates after reparameterizing the majority and minority coefficients. Where finite solutions exist, the minority solution therefore equals a minority-only fit independently of majority size or κ. Numerical optimization can leave small discrepancies. Ridge in the original common-plus-group-difference parameterization breaks this separation. This algebra explains the negative control; it does not imply that every penalized or structurally restricted model is invariant.</w:t>
      </w:r>
    </w:p>
    <w:p>
      <w:pPr>
        <w:pStyle w:val="Heading1"/>
      </w:pPr>
      <w:r>
        <w:t>S4. Exact fitted-generator moments and nested synthetic releases</w:t>
      </w:r>
    </w:p>
    <w:p>
      <w:r>
        <w:t>The logistic generator samples minority covariates uniformly with replacement from the 200 observed minority covariate rows, then samples a binary outcome with fitted probability π̂</w:t>
      </w:r>
      <w:r>
        <w:rPr>
          <w:vertAlign w:val="subscript"/>
        </w:rPr>
        <w:t>i</w:t>
      </w:r>
      <w:r>
        <w:t>. For a pair A,B, define d</w:t>
      </w:r>
      <w:r>
        <w:rPr>
          <w:vertAlign w:val="subscript"/>
        </w:rPr>
        <w:t>i0</w:t>
      </w:r>
      <w:r>
        <w:t>=B</w:t>
      </w:r>
      <w:r>
        <w:rPr>
          <w:vertAlign w:val="subscript"/>
        </w:rPr>
        <w:t>i</w:t>
      </w:r>
      <w:r>
        <w:t>²−A</w:t>
      </w:r>
      <w:r>
        <w:rPr>
          <w:vertAlign w:val="subscript"/>
        </w:rPr>
        <w:t>i</w:t>
      </w:r>
      <w:r>
        <w:t>² and d</w:t>
      </w:r>
      <w:r>
        <w:rPr>
          <w:vertAlign w:val="subscript"/>
        </w:rPr>
        <w:t>i1</w:t>
      </w:r>
      <w:r>
        <w:t>=(B</w:t>
      </w:r>
      <w:r>
        <w:rPr>
          <w:vertAlign w:val="subscript"/>
        </w:rPr>
        <w:t>i</w:t>
      </w:r>
      <w:r>
        <w:t>−1)²−(A</w:t>
      </w:r>
      <w:r>
        <w:rPr>
          <w:vertAlign w:val="subscript"/>
        </w:rPr>
        <w:t>i</w:t>
      </w:r>
      <w:r>
        <w:t>−1)². Conditional on the fitted model and empirical covariates,</w:t>
      </w:r>
    </w:p>
    <w:p>
      <w:r>
        <w:t>t̂ = (1/200)Σ</w:t>
      </w:r>
      <w:r>
        <w:rPr>
          <w:vertAlign w:val="subscript"/>
        </w:rPr>
        <w:t>i</w:t>
      </w:r>
      <w:r>
        <w:t>[(1−π̂</w:t>
      </w:r>
      <w:r>
        <w:rPr>
          <w:vertAlign w:val="subscript"/>
        </w:rPr>
        <w:t>i</w:t>
      </w:r>
      <w:r>
        <w:t>)d</w:t>
      </w:r>
      <w:r>
        <w:rPr>
          <w:vertAlign w:val="subscript"/>
        </w:rPr>
        <w:t>i0</w:t>
      </w:r>
      <w:r>
        <w:t>+π̂</w:t>
      </w:r>
      <w:r>
        <w:rPr>
          <w:vertAlign w:val="subscript"/>
        </w:rPr>
        <w:t>i</w:t>
      </w:r>
      <w:r>
        <w:t xml:space="preserve"> d</w:t>
      </w:r>
      <w:r>
        <w:rPr>
          <w:vertAlign w:val="subscript"/>
        </w:rPr>
        <w:t>i1</w:t>
      </w:r>
      <w:r>
        <w:t>],</w:t>
      </w:r>
    </w:p>
    <w:p>
      <w:r>
        <w:t>v̂ = (1/200)Σ</w:t>
      </w:r>
      <w:r>
        <w:rPr>
          <w:vertAlign w:val="subscript"/>
        </w:rPr>
        <w:t>i</w:t>
      </w:r>
      <w:r>
        <w:t>[(1−π̂</w:t>
      </w:r>
      <w:r>
        <w:rPr>
          <w:vertAlign w:val="subscript"/>
        </w:rPr>
        <w:t>i</w:t>
      </w:r>
      <w:r>
        <w:t>)d</w:t>
      </w:r>
      <w:r>
        <w:rPr>
          <w:vertAlign w:val="subscript"/>
        </w:rPr>
        <w:t>i0</w:t>
      </w:r>
      <w:r>
        <w:t>²+π̂</w:t>
      </w:r>
      <w:r>
        <w:rPr>
          <w:vertAlign w:val="subscript"/>
        </w:rPr>
        <w:t>i</w:t>
      </w:r>
      <w:r>
        <w:t xml:space="preserve"> d</w:t>
      </w:r>
      <w:r>
        <w:rPr>
          <w:vertAlign w:val="subscript"/>
        </w:rPr>
        <w:t>i1</w:t>
      </w:r>
      <w:r>
        <w:t>²] − t̂².</w:t>
      </w:r>
    </w:p>
    <w:p>
      <w:r>
        <w:t>These are exact fitted-generator moments, apart from floating-point rounding; they are not population moments. The bias t̂−Δ still contains empirical-covariate variation, outcome-model fitting error, shrinkage and possible misspecification. A negative numerical variance from rounding is truncated to zero.</w:t>
      </w:r>
    </w:p>
    <w:p>
      <w:r>
        <w:t>Synthetic samples m∈{200,4,000,20,000} are nested prefixes from each fitted generator. The nominal one-sided level is α=0.05. Within a source cohort, the parametric covariate-index and outcome-uniform streams are reused across every method, penalty, majority-size and composition fit, retaining cross-fit pairing as well as nested prefixes. For a realized release, the conditional normal upper bound is D̄</w:t>
      </w:r>
      <w:r>
        <w:rPr>
          <w:vertAlign w:val="subscript"/>
        </w:rPr>
        <w:t>m</w:t>
      </w:r>
      <w:r>
        <w:t>+z₀.₉₅ s</w:t>
      </w:r>
      <w:r>
        <w:rPr>
          <w:vertAlign w:val="subscript"/>
        </w:rPr>
        <w:t>D</w:t>
      </w:r>
      <w:r>
        <w:t>/√m. The bounded-loss comparator is D̄</w:t>
      </w:r>
      <w:r>
        <w:rPr>
          <w:vertAlign w:val="subscript"/>
        </w:rPr>
        <w:t>m</w:t>
      </w:r>
      <w:r>
        <w:t>+√[2log(1/α)/m], since D∈[−1,1]. Source-only versions use the original 200 paired losses. Conditional validity under the fitted generator is distinct from validity for Δ under the source population. In particular, the normal approximation is not exact, and neither bound corrects generator bias merely by increasing m.</w:t>
      </w:r>
    </w:p>
    <w:p>
      <w:pPr>
        <w:pStyle w:val="Heading2"/>
      </w:pPr>
      <w:r>
        <w:t>Neural feasibility fit and sampling scope</w:t>
      </w:r>
    </w:p>
    <w:p>
      <w:r>
        <w:t>The completed known-truth neural pilot used CTGAN 0.12.1 with groupwise minority-only and shared full-source arms, 600 updates per optimizer, and one fitting seed per source. Sampling explicitly put the fitted generator in evaluation mode to freeze batch-normalization behavior, rather than asserting unchanged default-package sampling. Generated rows were accepted by their actual G=1 membership, not by overwriting group labels. Finite Age/BMI support violations were retained and reported. Releases used 20,000 rows with nested prefixes; a separate adaptive estimand stream started at 20,000 and expanded in 20,000-row chunks to a 200,000-row cap with a target MCSE 0.0002. These budgets and modes define a feasibility experiment; they do not establish adequate training, support validity or calibrated inference. The completed public 6,000-update grid and source-0 adequacy controls are separate procedures, detailed below.</w:t>
      </w:r>
    </w:p>
    <w:p>
      <w:pPr>
        <w:pStyle w:val="Heading1"/>
      </w:pPr>
      <w:r>
        <w:t>S5. Source-refit bootstrap, pairing and unavailable procedures</w:t>
      </w:r>
    </w:p>
    <w:p>
      <w:r>
        <w:t>The bootstrap was specified for source IDs 0–199, with B=399 refits per source. Minority indices are sampled with replacement from all 200 rows and reused across every fit configuration in a replicate. Majority indices are sampled separately within the original prefix blocks [0,800) and [800,3,200), retaining 800 and 2,400 draws respectively. The small majority arm uses the first resampled block; the large arm uses both. The same index vectors are applied across κ versions. This preserves the paired intervention and nested prefix structure. It is a block-stratified resampling design conditional on the declared block counts, not an ordinary iid bootstrap from the entire majority table.</w:t>
      </w:r>
    </w:p>
    <w:p>
      <w:r>
        <w:t>Every generator is refitted and its moment t̂</w:t>
      </w:r>
      <w:r>
        <w:rPr>
          <w:vertAlign w:val="subscript"/>
        </w:rPr>
        <w:t>b</w:t>
      </w:r>
      <w:r>
        <w:t>* recomputed on the bootstrap minority covariates. Let s</w:t>
      </w:r>
      <w:r>
        <w:rPr>
          <w:vertAlign w:val="subscript"/>
        </w:rPr>
        <w:t>*</w:t>
      </w:r>
      <w:r>
        <w:t>² be the sample variance of the B fitted moments. For a realized synthetic release, the implemented upper bound is</w:t>
      </w:r>
    </w:p>
    <w:p>
      <w:r>
        <w:t>U</w:t>
      </w:r>
      <w:r>
        <w:rPr>
          <w:vertAlign w:val="subscript"/>
        </w:rPr>
        <w:t>m</w:t>
      </w:r>
      <w:r>
        <w:t xml:space="preserve"> = D̄</w:t>
      </w:r>
      <w:r>
        <w:rPr>
          <w:vertAlign w:val="subscript"/>
        </w:rPr>
        <w:t>m</w:t>
      </w:r>
      <w:r>
        <w:t xml:space="preserve"> + z₀.₉₅√(s</w:t>
      </w:r>
      <w:r>
        <w:rPr>
          <w:vertAlign w:val="subscript"/>
        </w:rPr>
        <w:t>*</w:t>
      </w:r>
      <w:r>
        <w:t>² + v̂/m).</w:t>
      </w:r>
    </w:p>
    <w:p>
      <w:r>
        <w:t>For the analytically integrated fitted generator, the implemented bound is U</w:t>
      </w:r>
      <w:r>
        <w:rPr>
          <w:vertAlign w:val="subscript"/>
        </w:rPr>
        <w:t>∞</w:t>
      </w:r>
      <w:r>
        <w:t>=t̂+z₀.₉₅s</w:t>
      </w:r>
      <w:r>
        <w:rPr>
          <w:vertAlign w:val="subscript"/>
        </w:rPr>
        <w:t>*</w:t>
      </w:r>
      <w:r>
        <w:t>. The point estimate is not centered at the bootstrap mean and is not debiased. This is a normal approximation using an estimated source-refit variance plus a separate finite-release term, not a percentile or BCa bootstrap. It can retain model bias or approximation error.</w:t>
      </w:r>
    </w:p>
    <w:p>
      <w:r>
        <w:t xml:space="preserve">A bound is evaluated only if the original fit and </w:t>
      </w:r>
      <w:r>
        <w:rPr>
          <w:b/>
        </w:rPr>
        <w:t>all 399</w:t>
      </w:r>
      <w:r>
        <w:t xml:space="preserve"> requested bootstrap fits for that configuration pass the recorded validity checks. Otherwise its decision is null/inconclusive. The analysis never replaces that null by a false decision, silently drops failed refits, or counts bootstrap replicates as new source cohorts. Planned-denominator certification rates count affirmative certificates over all completed planned source cohorts and separately report unavailable procedures. Conditional-on-evaluation rates are supplied as a separate, potentially selected view. Coverage uncertainty due to unavailable bounds is reported with lower/upper accounting limits rather than invented coverage values.</w:t>
      </w:r>
    </w:p>
    <w:p>
      <w:pPr>
        <w:pStyle w:val="Heading1"/>
      </w:pPr>
      <w:r>
        <w:t>S6. Paired contrast uncertainty and numerical precision</w:t>
      </w:r>
    </w:p>
    <w:p>
      <w:r>
        <w:t>For each independent source r, a majority contrast is c</w:t>
      </w:r>
      <w:r>
        <w:rPr>
          <w:vertAlign w:val="subscript"/>
        </w:rPr>
        <w:t>r</w:t>
      </w:r>
      <w:r>
        <w:t>=t̂</w:t>
      </w:r>
      <w:r>
        <w:rPr>
          <w:vertAlign w:val="subscript"/>
        </w:rPr>
        <w:t>r</w:t>
      </w:r>
      <w:r>
        <w:t>(high)−t̂</w:t>
      </w:r>
      <w:r>
        <w:rPr>
          <w:vertAlign w:val="subscript"/>
        </w:rPr>
        <w:t>r</w:t>
      </w:r>
      <w:r>
        <w:t>(low); composition contrasts are defined analogously at fixed majority size. Here R denotes contributing complete source contrasts, not the total planned count. The across-source complete-case estimate is mean(c</w:t>
      </w:r>
      <w:r>
        <w:rPr>
          <w:vertAlign w:val="subscript"/>
        </w:rPr>
        <w:t>r</w:t>
      </w:r>
      <w:r>
        <w:t>), with estimated standard error sd(c</w:t>
      </w:r>
      <w:r>
        <w:rPr>
          <w:vertAlign w:val="subscript"/>
        </w:rPr>
        <w:t>r</w:t>
      </w:r>
      <w:r>
        <w:t>)/√R. Planned and noncontributing source counts are reported separately. This preserves source-level covariance. Reverse model comparisons stay separate. If several fitting seeds are declared, their contrast values are averaged within a source only when every declared seed is available; seed-specific summaries are supplementary views. The completed neural grids executed only fitting-seed offset 0 and therefore cannot assess empirical within-source fitting-seed stability.</w:t>
      </w:r>
    </w:p>
    <w:p>
      <w:r>
        <w:t>For neural generated means, different fits may share random streams. Under unknown cross-fit covariance, SD(A−B) ≤ SD(A)+SD(B). The analyzer substitutes estimated component SEs, producing a conservative plug-in combination rather than a certified variance or confidence bound. For a nested same-fit expansion from m to M, the iid conditional variance of D̄</w:t>
      </w:r>
      <w:r>
        <w:rPr>
          <w:vertAlign w:val="subscript"/>
        </w:rPr>
        <w:t>M</w:t>
      </w:r>
      <w:r>
        <w:t>−D̄</w:t>
      </w:r>
      <w:r>
        <w:rPr>
          <w:vertAlign w:val="subscript"/>
        </w:rPr>
        <w:t>m</w:t>
      </w:r>
      <w:r>
        <w:t xml:space="preserve"> is v(1/m−1/M); the analyzer estimates v from saved draws and retains the overlap covariance. An intervention-by-expansion interaction is (high expanded−high baseline)−(low expanded−low baseline). At fixed generators, the continuous-mean expansion and this interaction have conditional expectation zero: they diagnose finite-draw variation, not a changing generator estimand. Certification indicators can change because their bounds depend on release size; their conditional sampling variance cannot be identified from one realized release and is not assigned the continuous-mean MCSE.</w:t>
      </w:r>
    </w:p>
    <w:p>
      <w:r>
        <w:t>Conditional MCSE flags do not certify population accuracy. The analysis retains both the saved absolute target failures and a comparison with 10% of the source-cohort effect SE. Adaptive stopping makes neural integration MCSE descriptive, not a confidence sequence. Unknown or failed precision flags remain visible. In the neural contrast analyzer, source-level intervals are pointwise exploratory t intervals, not simultaneous guarantees; intervals are omitted for fewer than two contributing sources or zero observed variation. Missing contrasts retain null status and remain in the reported planned counts; they do not contribute fabricated zeros to a complete-case mean. Numerical fit-grid completeness and support-validity or training adequacy are different properties.</w:t>
      </w:r>
    </w:p>
    <w:p>
      <w:r>
        <w:t>For R independent contributing sources with conditional contrast-SE bounds b</w:t>
      </w:r>
      <w:r>
        <w:rPr>
          <w:vertAlign w:val="subscript"/>
        </w:rPr>
        <w:t>r</w:t>
      </w:r>
      <w:r>
        <w:t>, the reported numerical bound on their mean is sqrt(sum</w:t>
      </w:r>
      <w:r>
        <w:rPr>
          <w:vertAlign w:val="subscript"/>
        </w:rPr>
        <w:t>r</w:t>
      </w:r>
      <w:r>
        <w:t xml:space="preserve"> b</w:t>
      </w:r>
      <w:r>
        <w:rPr>
          <w:vertAlign w:val="subscript"/>
        </w:rPr>
        <w:t>r</w:t>
      </w:r>
      <w:r/>
      <w:r>
        <w:rPr>
          <w:vertAlign w:val="superscript"/>
        </w:rPr>
        <w:t>2</w:t>
      </w:r>
      <w:r>
        <w:t>)/R. The aggregate precision diagnostic is this bound &lt;=0.1 times the across-source contrast SE. A stricter constituent diagnostic requires the largest component estimand MCSE to be &lt;=min(0.0002,0.1 times that source-effect SE). These are different criteria; passing the mean-level criterion does not erase a constituent or absolute precision failure. Binary certification contrasts have null conditional-MCSE diagnostics, not a numerical zero.</w:t>
      </w:r>
    </w:p>
    <w:p>
      <w:pPr>
        <w:pStyle w:val="Heading1"/>
      </w:pPr>
      <w:r>
        <w:t>S7. Completed public finite-population experiment</w:t>
      </w:r>
    </w:p>
    <w:p>
      <w:r>
        <w:t xml:space="preserve">The CDC Diabetes Health Indicators derivative contains 253,680 records. Its original row ID is used for identity/splitting and never as a predictor. The supplied binary outcome is retained: the author's three-class export shows diabetes as positive, with both normal and prediabetes mapped to zero. Household-income categories 1 and 2 define G=1; the original Income column is discarded after deterministic recoding. The setup uses a fixed joint outcome/group-stratified split of 76,104 training, 25,368 tuning and 152,208 evaluation records. The evaluation minority contains 12,957 records and 3,282 positive outcomes. The fixed target is a uniform unweighted average over these minority evaluation records, not a nationally representative survey or deployed clinical estimand. The author-export/UCI year discrepancy and coarse-profile overlap remain in </w:t>
      </w:r>
      <w:r>
        <w:rPr>
          <w:rFonts w:ascii="Consolas" w:hAnsi="Consolas"/>
          <w:sz w:val="16"/>
        </w:rPr>
        <w:t>results/public_benchmark_setup/provenance.json</w:t>
      </w:r>
      <w:r>
        <w:t xml:space="preserve"> and </w:t>
      </w:r>
      <w:r>
        <w:rPr>
          <w:rFonts w:ascii="Consolas" w:hAnsi="Consolas"/>
          <w:sz w:val="16"/>
        </w:rPr>
        <w:t>summary.json</w:t>
      </w:r>
      <w:r>
        <w:t>; raw BRFSS reconstruction was not performed and identical coarse profiles do not establish repeated-person identity.</w:t>
      </w:r>
    </w:p>
    <w:p>
      <w:r>
        <w:t>Models are selected by overall tuning Brier within each family and frozen before evaluation; no post-tuning refit occurs. Logistic regression uses standardization, C=.01, L-BFGS, maximum 2,000 iterations and tolerance 1e-8. Histogram gradient boosting uses 15 leaves, L2=1, 200 iterations, learning rate .05, minimum leaf size 40 and no early stopping. The frozen selection artifact retains all serialized parameters. HGB is the development-selected base family for fixed logit offsets -.25,+.25, using probability clipping to [1e-12,1-1e-12] only to define logits. The six reported paired Brier orientations are HGB-LR, LR-HGB, negative-offset-minus-base, its reverse, positive-offset-minus-base and its reverse. Their finite-minority truths are respectively -.0022628681886368, +.0022628681886368, +.0016546764375243, -.0016546764375243, +.0019661524136163 and -.0019661524136163. These are fixed exact table means up to floating-point precision, not noisy estimates of a superpopulation truth.</w:t>
      </w:r>
    </w:p>
    <w:p>
      <w:r>
        <w:t>Each of 24 source cohorts draws 200 minority records with replacement. Majority records use independent within-age-stratum streams, split at Age code 8 (age 55 or older). Deterministic interleaving yields older shares .25 and .75; a size-800 majority is the ordered prefix of size 3,200. The streams are matched within strata across compositions, and original covariates and outcomes remain attached to IDs. This fixed-composition source law differs from unrestricted majority sampling. Within each cohort all minority rows/IDs are identical across one groupwise and four shared fits. Source records are drawn only from the frozen evaluation table; this does not refit the frozen clinical-predictor comparison models.</w:t>
      </w:r>
    </w:p>
    <w:p>
      <w:r>
        <w:t>The completed public run uses CTGAN 0.12.1, one fitting-seed offset per cohort and 6,000 actual updates of each optimizer in every fit, with batch size 500, pac=10, embedding size 128, generator/discriminator hidden widths (256,256), learning rate .0002 and weight decay 1e-6. The executed CUDA/runtime configuration, seeds, conditional-sampler counters, update traces, loss histories and checkpoints are preserved. Equal update counts do not equate minority exposure. There is no public balanced arm or multi-seed stability experiment. This yields 120 fits, all completed, without treating 120 as the number of independent source cohorts.</w:t>
      </w:r>
    </w:p>
    <w:p>
      <w:r>
        <w:t>The shared training helper uses one discriminator update per generator update, Adam betas (.5,.9), and log-frequency conditional sampling. The same architecture/settings, apart from the explicit update budget and training table, apply to known-truth feasibility and source-0 amendment fits. CTGAN's per-fit DataTransformer uses one-hot encoding for discrete columns; continuous columns use its RDT ClusterBasedNormalizer with at most ten mixture components and weight threshold .005, represented by a normalized scalar plus component encoding. Public BMI is the only continuous generator column after the day amendment; known-truth Age/BMI remain continuous. The transformer is fitted on each actual training table, so balancing can affect preprocessing as well as empirical weights. No external normalization or SDV-style bounds/rounding postprocessing is added. CPU/model and CUDA random states are seeded explicitly; matched intervention cells within a cohort reuse the declared fitting-seed offset and stream definitions.</w:t>
      </w:r>
    </w:p>
    <w:p>
      <w:r>
        <w:t>Protocol amendment 02 changed MentHlth/PhysHlth from continuous measurements to categorical values 0-30. BMI remains continuous. Binary fields, recorded ordered categorical fields, G and the outcome are also discrete for the generator. This representation changes both the transformed model and CTGAN conditional training, and applies to every arm. No source ID, frozen predictor, finite target or intervention is changed. The preceding continuous-day pilot remains negative evidence and is not merged with this grid.</w:t>
      </w:r>
    </w:p>
    <w:p>
      <w:r>
        <w:t xml:space="preserve">Sampling uses the fitted generator in evaluation mode under </w:t>
      </w:r>
      <w:r>
        <w:rPr>
          <w:rFonts w:ascii="Consolas" w:hAnsi="Consolas"/>
          <w:sz w:val="16"/>
        </w:rPr>
        <w:t>no_grad</w:t>
      </w:r>
      <w:r>
        <w:t>, with separate release and estimand random streams. Conditional requests are followed by rejection on actual generated G==1; G is never overwritten. Accepted rows retain their raw numeric values. Releases have 20,000 rows with prefixes of 200/4,000/20,000. Separate integration starts at 20,000 rows and adds 20,000-row chunks up to 200,000; the recorded target is MCSE&lt;=.0002 for every paired-loss orientation. Actual completed public integration sizes are 60,000-200,000. All 23 absolute integration-precision misses remain in summaries; a cap miss is not a fit failure or missing decision. Loss-summary and normal/Hoeffding decision formulas follow S4, but their target is the fitted public generator unless explicitly using the original source-only records.</w:t>
      </w:r>
    </w:p>
    <w:p>
      <w:r>
        <w:t>The sampling-request chunk is 5,000 and the attempt budget multiplier is 20. Recorded conditional acceptance is the number of actual G=1 matches before prefix truncation divided by attempted rows. Retained rows are the requested prefix of those matches. Acceptance is a group-selection diagnostic, not a support/fidelity guarantee. For public loss D in [-1,1] the explicit bounds are mean(D)+z₀.₉₅*sd(D)/sqrt(m) and mean(D)+sqrt(2*log(20)/m); both certify only if strictly negative. MCSE uses the sample SD with ddof=1. The integration stopping target and these single-release decision bounds are different quantities.</w:t>
      </w:r>
    </w:p>
    <w:p>
      <w:pPr>
        <w:pStyle w:val="Heading1"/>
      </w:pPr>
      <w:r>
        <w:t>S8. Source-0 training and balanced-weighting amendment</w:t>
      </w:r>
    </w:p>
    <w:p>
      <w:r>
        <w:t>Protocol amendment 03 selected known-truth cohort 0 as the lowest ID, before this diagnostic's outcomes, with fitting-seed offset 0. Its exact original minority and majority arrays and frozen predictors were reused. The amendment completed exactly 13 fits at 6,000 updates per optimizer: one groupwise fit and shared/balanced fits at both majority sizes and all three kappa values. The comparison includes the original seven groupwise/shared source-0 fits at 600 updates, giving 20 analyzed fits; no new source is introduced.</w:t>
      </w:r>
    </w:p>
    <w:p>
      <w:r>
        <w:t>The balanced arm duplicates the same 200 minority records 4 times for majority 800 or 16 times for majority 3,200, so each group's training-row count is equal. Duplication adds no independent observations. It changes empirical fitting weights and can change preprocessing and conditional-sampling frequencies; it is not a pure exposure intervention. Actual minority-exposure counters are reported, rather than assumed equal from the nominal row balance. CTGAN architecture, rates, predictor definitions and sampling/integration settings remain those of the known-truth pilot; only the specified budget/arm differs.</w:t>
      </w:r>
    </w:p>
    <w:p>
      <w:r>
        <w:t>All five known-truth paired-loss orientations, both majority sizes, all symmetric shifts, raw support, feature marginals/outcome rates, precision flags and fit losses are retained. The analysis verifies each actual fit marker rather than interpreting a generic invocation/max-fits completion flag as a scientific sample denominator. One source and one fitting-seed offset cannot supply across-source confidence intervals, calibration or empirical initialization-stability evidence. The amendment is a completed bounded diagnostic, without a newly invented utility threshold, automatic source extension or favorable-sign selection.</w:t>
      </w:r>
    </w:p>
    <w:p>
      <w:pPr>
        <w:pStyle w:val="Heading1"/>
      </w:pPr>
      <w:r>
        <w:t>S9. Frozen-reference error diagnostic on 1,000 fresh sources</w:t>
      </w:r>
    </w:p>
    <w:p>
      <w:r>
        <w:t>Protocol amendment 04 is a local exploratory diagnostic of error location/shape, not a deployable correction or external preregistration. The original parametric source IDs 0-999 were inspected reference data. Before any diagnostic holdout generation, the mean, sample SD and linearly interpolated lower .05 quantile of error T-Δ were frozen for every cell. There are 785 cells: 39 fitted configurations times five comparisons times four estimate types (analytic plus three release sizes), plus five source-only cells. Reference completion-marker and parameter hashes were frozen. A new main-only experiment then generated exactly source IDs 1000-1999 with the same declared population, predictor definitions, source size and configurations. No second 399-refit bootstrap, new model family or threshold tuning was performed.</w:t>
      </w:r>
    </w:p>
    <w:p>
      <w:r>
        <w:t>For cell j, define μⱼ=mean</w:t>
      </w:r>
      <w:r>
        <w:rPr>
          <w:vertAlign w:val="subscript"/>
        </w:rPr>
        <w:t>ref</w:t>
      </w:r>
      <w:r>
        <w:t>(Tⱼ-Δⱼ), sⱼ=sd</w:t>
      </w:r>
      <w:r>
        <w:rPr>
          <w:vertAlign w:val="subscript"/>
        </w:rPr>
        <w:t>ref</w:t>
      </w:r>
      <w:r>
        <w:t>(Tⱼ-Δⱼ) with ddof=1, and qⱼ=the .05 reference error quantile using NumPy's linear interpolation. The three holdout upper bounds are</w:t>
      </w:r>
    </w:p>
    <w:p>
      <w:r>
        <w:t>U</w:t>
      </w:r>
      <w:r>
        <w:rPr>
          <w:vertAlign w:val="subscript"/>
        </w:rPr>
        <w:t>uncentered</w:t>
      </w:r>
      <w:r>
        <w:t>=T+z₀.₉₅*sⱼ,</w:t>
      </w:r>
    </w:p>
    <w:p>
      <w:r>
        <w:t>U</w:t>
      </w:r>
      <w:r>
        <w:rPr>
          <w:vertAlign w:val="subscript"/>
        </w:rPr>
        <w:t>centered</w:t>
      </w:r>
      <w:r>
        <w:t>=T-μⱼ+z₀.₉₅*sⱼ,</w:t>
      </w:r>
    </w:p>
    <w:p>
      <w:r>
        <w:t>U</w:t>
      </w:r>
      <w:r>
        <w:rPr>
          <w:vertAlign w:val="subscript"/>
        </w:rPr>
        <w:t>empirical</w:t>
      </w:r>
      <w:r>
        <w:t>=T-qⱼ.</w:t>
      </w:r>
    </w:p>
    <w:p>
      <w:r>
        <w:t>Thus sⱼ is an error SD, not its SE divided by sqrt(1000), and qⱼ is the quantile of the uncentered error distribution. For synthetic cells the frozen error distribution already includes finite-release sampling variation; no additional v̂/m term is added. Analytic cells use their exact fitted moments. The centered-versus-uncentered comparison changes location at a common frozen scale; the empirical comparison changes the bound via the frozen lower error quantile. This does not isolate error in the earlier bootstrap's source-specific variance estimator, because all three diagnostics replace it by a cell-level reference object.</w:t>
      </w:r>
    </w:p>
    <w:p>
      <w:r>
        <w:t>All 1,000 fresh source cohorts completed with no invalid cells. Certification uses U&lt;0; truth coverage uses Δ&lt;=U. All cells and reversed comparisons remain, and source-only evidence is deduplicated. Across-source certification and coverage rates use two-sided 95% Clopper-Pearson intervals; coverage-given-evaluation intervals are explicitly conditional on evaluability. Paired bound differences use the same source cases and retain unavailable outcomes as null with separate logical missing-case ranges. In this complete valid holdout, evaluable and planned counts coincide at 1,000, but this does not justify converting hypothetical missing outcomes to zero. Holdout intervals condition on the frozen reference object: they do not propagate the finite reference sample's estimation uncertainty or imply simultaneous calibration across dependent cells.</w:t>
      </w:r>
    </w:p>
    <w:p>
      <w:r>
        <w:t>The analyzer validates required main-marker schemas, embedded specifications and artifact maps; reference marker hashes against the freeze; actual minority-array hashes against markers and row-level IDs; source NPZ column/kappa metadata; disjoint reference/holdout ID sets; and absence of repeated minority-source hashes. Reference bytes are not refitted or rewritten. The hard stop was source ID 1999. Known truth is required to estimate the reference errors, so this is nondeployable on ordinary clinical data without known population targets. Empirical quantiles provide no exact finite-sample calibration theorem.</w:t>
      </w:r>
    </w:p>
    <w:p>
      <w:pPr>
        <w:pStyle w:val="Heading1"/>
      </w:pPr>
      <w:r>
        <w:t>S10. Numeric support, precision, completeness and evidence schemas</w:t>
      </w:r>
    </w:p>
    <w:p>
      <w:r>
        <w:t>For known-truth CTGAN, Age must lie strictly in (20,80) and BMI strictly in (18,38) under the manufactured DGP; finite values outside those intervals are retained support violations. Legacy saved sampling diagnostics count invalid matching candidates before prefix truncation. They do not necessarily identify violations in the returned prefix. Where later source-0 analysis reconstructs returned support from retained raw rows, those results have their own explicitly stated scope. Missing legacy returned-row fields are null, not zero.</w:t>
      </w:r>
    </w:p>
    <w:p>
      <w:r>
        <w:t>For the public runner, categorical columns must take observed allowed values and all records must be finite. Numeric-support invalidity means BMI&lt;=0 or a day count outside [0,30]. The separate observed-BMI-range diagnostic uses [12,98], the minimum/maximum in the entire fixed evaluation population, not a clinical physiological bound or a minority-only range. Fractional integer-measurement diagnostics use absolute distance from the nearest integer &gt;1e-8; BMI can trigger this because it is modeled continuously. Invalid/fractional day counts and fractional BMI are reported separately in the completed diagnostic summary. No clipping or rounding is applied. Pre-prefix matching and returned-output counts are not interchangeable. Pooled generated-row totals across adaptive sample sizes are descriptive, not independent-source confidence intervals or equally weighted source probabilities.</w:t>
      </w:r>
    </w:p>
    <w:p>
      <w:r>
        <w:t>Saved feature marginals are means over each source/release/integration array; binary means are proportions, day means are day counts, and means of ordinal codes are descriptive code averages rather than validated interval-scaled clinical measurements. Across-fit summary means give each source fit equal weight within a setting. All raw loss directions, support defects and precision failures remain. Passing data-format/support checks, completing a fitting grid, and obtaining small conditional MCSE are distinct from adequate training or clinical utility.</w:t>
      </w:r>
    </w:p>
    <w:p>
      <w:r>
        <w:t>Completed source-refit bootstrap evidence comprises IDs 0-199, distributed uniquely over shards 0-3. Copied main-stage artifacts in shards are identity-checked against the main run and do not create additional sources. Main analyses use 1,000 sources; corrected-versus-uncorrected comparisons restrict both procedures to the exact same 200. The original-fit-plus-all-399-refits requirement in S5 remains. Planned-denominator rates retain unavailable procedures; conditional-on-evaluation rates and complete-case paired effects are separate. Confidence intervals, logical missing-case ranges and uncertainty about a single fitted generator are separately labeled.</w:t>
      </w:r>
    </w:p>
    <w:p>
      <w:r>
        <w:t>Interval definitions differ deliberately across saved analyses. The transparent baseline and neural/public certification rates use two-sided 95% Wilson score intervals across source cohorts. For k of N, with p̂=k/N and z=z</w:t>
      </w:r>
      <w:r>
        <w:rPr>
          <w:vertAlign w:val="subscript"/>
        </w:rPr>
        <w:t>.975</w:t>
      </w:r>
      <w:r>
        <w:t>, center=(p̂+z</w:t>
      </w:r>
      <w:r>
        <w:rPr>
          <w:vertAlign w:val="superscript"/>
        </w:rPr>
        <w:t>2</w:t>
      </w:r>
      <w:r>
        <w:t>/(2N))/(1+z</w:t>
      </w:r>
      <w:r>
        <w:rPr>
          <w:vertAlign w:val="superscript"/>
        </w:rPr>
        <w:t>2</w:t>
      </w:r>
      <w:r>
        <w:t>/N) and half-width=z*sqrt(p̂*(1-p̂)/N+z</w:t>
      </w:r>
      <w:r>
        <w:rPr>
          <w:vertAlign w:val="superscript"/>
        </w:rPr>
        <w:t>2</w:t>
      </w:r>
      <w:r>
        <w:t>/(4N</w:t>
      </w:r>
      <w:r>
        <w:rPr>
          <w:vertAlign w:val="superscript"/>
        </w:rPr>
        <w:t>2</w:t>
      </w:r>
      <w:r>
        <w:t>))/(1+z</w:t>
      </w:r>
      <w:r>
        <w:rPr>
          <w:vertAlign w:val="superscript"/>
        </w:rPr>
        <w:t>2</w:t>
      </w:r>
      <w:r>
        <w:t>/N). Parametric main/bootstrap rates, same-200 correction-comparison rates and frozen-oracle rate/coverage intervals use central 95% Clopper-Pearson binomial intervals: Beta</w:t>
      </w:r>
      <w:r>
        <w:rPr>
          <w:vertAlign w:val="subscript"/>
        </w:rPr>
        <w:t>.025</w:t>
      </w:r>
      <w:r>
        <w:t>(k,N-k+1) and Beta</w:t>
      </w:r>
      <w:r>
        <w:rPr>
          <w:vertAlign w:val="subscript"/>
        </w:rPr>
        <w:t>.975</w:t>
      </w:r>
      <w:r>
        <w:t>(k+1,N-k), with endpoints 0 at k=0 and 1 at k=N. These estimate repeated-source procedural frequencies, not uncertainty of one fitted generator. Missing-procedure accounting limits are not confidence intervals.</w:t>
      </w:r>
    </w:p>
    <w:p>
      <w:r>
        <w:t>Means and paired differences across independent source cohorts use the empirical source SD divided by sqrt(R), with t</w:t>
      </w:r>
      <w:r>
        <w:rPr>
          <w:vertAlign w:val="subscript"/>
        </w:rPr>
        <w:t>.975,R-1</w:t>
      </w:r>
      <w:r>
        <w:t xml:space="preserve"> multipliers. Parametric and neural contrast analyzers and oracle paired analyses omit t endpoints at R&lt;2 or zero observed variation; zero observed variation is not proof of no uncertainty. The older neural descriptive bias helper can return a zero-width algebraic interval when observed spread is zero, which must not be promoted to a coverage guarantee. Figure 5 fidelity intervals are t intervals over 24 estimated fitted-generator marginal means, including fitting/source and numerical variation. None of these intervals is multiplicity-adjusted or simultaneous. The source-0 amendment has no across-source interval because R=1.</w:t>
      </w:r>
    </w:p>
    <w:p>
      <w:pPr>
        <w:pStyle w:val="Heading1"/>
      </w:pPr>
      <w:r>
        <w:t>S11. Reproduction pointers and completion scope</w:t>
      </w:r>
    </w:p>
    <w:p>
      <w:r>
        <w:t xml:space="preserve">Principal code: </w:t>
      </w:r>
      <w:r>
        <w:rPr>
          <w:rFonts w:ascii="Consolas" w:hAnsi="Consolas"/>
          <w:sz w:val="16"/>
        </w:rPr>
        <w:t>src/experiment.py</w:t>
      </w:r>
      <w:r>
        <w:t xml:space="preserve">, </w:t>
      </w:r>
      <w:r>
        <w:rPr>
          <w:rFonts w:ascii="Consolas" w:hAnsi="Consolas"/>
          <w:sz w:val="16"/>
        </w:rPr>
        <w:t>parametric_matched.py</w:t>
      </w:r>
      <w:r>
        <w:t xml:space="preserve">, </w:t>
      </w:r>
      <w:r>
        <w:rPr>
          <w:rFonts w:ascii="Consolas" w:hAnsi="Consolas"/>
          <w:sz w:val="16"/>
        </w:rPr>
        <w:t>matched_generator.py</w:t>
      </w:r>
      <w:r>
        <w:t xml:space="preserve">, </w:t>
      </w:r>
      <w:r>
        <w:rPr>
          <w:rFonts w:ascii="Consolas" w:hAnsi="Consolas"/>
          <w:sz w:val="16"/>
        </w:rPr>
        <w:t>public_matched_generator.py</w:t>
      </w:r>
      <w:r>
        <w:t xml:space="preserve">, </w:t>
      </w:r>
      <w:r>
        <w:rPr>
          <w:rFonts w:ascii="Consolas" w:hAnsi="Consolas"/>
          <w:sz w:val="16"/>
        </w:rPr>
        <w:t>prepare_public_benchmark.py</w:t>
      </w:r>
      <w:r>
        <w:t xml:space="preserve">, </w:t>
      </w:r>
      <w:r>
        <w:rPr>
          <w:rFonts w:ascii="Consolas" w:hAnsi="Consolas"/>
          <w:sz w:val="16"/>
        </w:rPr>
        <w:t>analyze_parametric.py</w:t>
      </w:r>
      <w:r>
        <w:t xml:space="preserve">, </w:t>
      </w:r>
      <w:r>
        <w:rPr>
          <w:rFonts w:ascii="Consolas" w:hAnsi="Consolas"/>
          <w:sz w:val="16"/>
        </w:rPr>
        <w:t>compare_bootstrap_correction.py</w:t>
      </w:r>
      <w:r>
        <w:t xml:space="preserve">, </w:t>
      </w:r>
      <w:r>
        <w:rPr>
          <w:rFonts w:ascii="Consolas" w:hAnsi="Consolas"/>
          <w:sz w:val="16"/>
        </w:rPr>
        <w:t>analyze_matched.py</w:t>
      </w:r>
      <w:r>
        <w:t xml:space="preserve">, </w:t>
      </w:r>
      <w:r>
        <w:rPr>
          <w:rFonts w:ascii="Consolas" w:hAnsi="Consolas"/>
          <w:sz w:val="16"/>
        </w:rPr>
        <w:t>analyze_matched_contrasts.py</w:t>
      </w:r>
      <w:r>
        <w:t xml:space="preserve">, </w:t>
      </w:r>
      <w:r>
        <w:rPr>
          <w:rFonts w:ascii="Consolas" w:hAnsi="Consolas"/>
          <w:sz w:val="16"/>
        </w:rPr>
        <w:t>analyze_adequacy_source0.py</w:t>
      </w:r>
      <w:r>
        <w:t xml:space="preserve">, </w:t>
      </w:r>
      <w:r>
        <w:rPr>
          <w:rFonts w:ascii="Consolas" w:hAnsi="Consolas"/>
          <w:sz w:val="16"/>
        </w:rPr>
        <w:t>freeze_oracle_reference.py</w:t>
      </w:r>
      <w:r>
        <w:t xml:space="preserve">, </w:t>
      </w:r>
      <w:r>
        <w:rPr>
          <w:rFonts w:ascii="Consolas" w:hAnsi="Consolas"/>
          <w:sz w:val="16"/>
        </w:rPr>
        <w:t>analyze_oracle_diagnostic.py</w:t>
      </w:r>
      <w:r>
        <w:t xml:space="preserve">, and </w:t>
      </w:r>
      <w:r>
        <w:rPr>
          <w:rFonts w:ascii="Consolas" w:hAnsi="Consolas"/>
          <w:sz w:val="16"/>
        </w:rPr>
        <w:t>summarize_public_complete.py</w:t>
      </w:r>
      <w:r>
        <w:t>. Exact environment/settings/seeds and frozen predictors are in run manifests; serialized model dependencies matter for exact replay. Figure code and plot-row maps are retained separately.</w:t>
      </w:r>
    </w:p>
    <w:p>
      <w:r>
        <w:t xml:space="preserve">Completed analysis anchors are </w:t>
      </w:r>
      <w:r>
        <w:rPr>
          <w:rFonts w:ascii="Consolas" w:hAnsi="Consolas"/>
          <w:sz w:val="16"/>
        </w:rPr>
        <w:t>results/main</w:t>
      </w:r>
      <w:r>
        <w:t xml:space="preserve">; </w:t>
      </w:r>
      <w:r>
        <w:rPr>
          <w:rFonts w:ascii="Consolas" w:hAnsi="Consolas"/>
          <w:sz w:val="16"/>
        </w:rPr>
        <w:t>results/parametric_analysis/20260926T220848Z</w:t>
      </w:r>
      <w:r>
        <w:t xml:space="preserve">; </w:t>
      </w:r>
      <w:r>
        <w:rPr>
          <w:rFonts w:ascii="Consolas" w:hAnsi="Consolas"/>
          <w:sz w:val="16"/>
        </w:rPr>
        <w:t>results/bootstrap_correction_comparison/20260926T221358Z</w:t>
      </w:r>
      <w:r>
        <w:t xml:space="preserve">; </w:t>
      </w:r>
      <w:r>
        <w:rPr>
          <w:rFonts w:ascii="Consolas" w:hAnsi="Consolas"/>
          <w:sz w:val="16"/>
        </w:rPr>
        <w:t>results/matched_contrast_analysis/matched_ctgan_gpu_pilot_20260926T192456Z</w:t>
      </w:r>
      <w:r>
        <w:t xml:space="preserve">; </w:t>
      </w:r>
      <w:r>
        <w:rPr>
          <w:rFonts w:ascii="Consolas" w:hAnsi="Consolas"/>
          <w:sz w:val="16"/>
        </w:rPr>
        <w:t>results/adequacy_source0_analysis/20260926T223630Z</w:t>
      </w:r>
      <w:r>
        <w:t xml:space="preserve">; </w:t>
      </w:r>
      <w:r>
        <w:rPr>
          <w:rFonts w:ascii="Consolas" w:hAnsi="Consolas"/>
          <w:sz w:val="16"/>
        </w:rPr>
        <w:t>results/oracle_error_diagnostic/analysis_20260926T231034Z</w:t>
      </w:r>
      <w:r>
        <w:t xml:space="preserve"> with its frozen </w:t>
      </w:r>
      <w:r>
        <w:rPr>
          <w:rFonts w:ascii="Consolas" w:hAnsi="Consolas"/>
          <w:sz w:val="16"/>
        </w:rPr>
        <w:t>reference</w:t>
      </w:r>
      <w:r>
        <w:t xml:space="preserve"> directory; </w:t>
      </w:r>
      <w:r>
        <w:rPr>
          <w:rFonts w:ascii="Consolas" w:hAnsi="Consolas"/>
          <w:sz w:val="16"/>
        </w:rPr>
        <w:t>results/matched_contrast_analysis/public_ctgan_categorical_6000_pilot_20260927T061715Z</w:t>
      </w:r>
      <w:r>
        <w:t xml:space="preserve">; and </w:t>
      </w:r>
      <w:r>
        <w:rPr>
          <w:rFonts w:ascii="Consolas" w:hAnsi="Consolas"/>
          <w:sz w:val="16"/>
        </w:rPr>
        <w:t>results/public_complete_diagnostics/20260927T062939Z</w:t>
      </w:r>
      <w:r>
        <w:t>. The original invalid public pilot and superseded partial snapshots remain preserved as history, not silently overwritten by completed outputs.</w:t>
      </w:r>
    </w:p>
    <w:p>
      <w:r>
        <w:t>Historical known-truth CTGAN v1 completion markers lack historical artifact checksums. Current analyses record present-day hashes and reconstruct saved summary arithmetic without claiming equivalent past checksum protection or fresh prediction for every generated row. Public fit/completion markers carry historical artifact hashes; the detailed audit identifies files, such as optimizer traces, that have only current hashes. Frozen-reference and holdout checks validate exact schemas and hashes, and failures are errors rather than evidence of completion.</w:t>
      </w:r>
    </w:p>
    <w:p>
      <w:r>
        <w:t>Additional files 2–5 provide code, protocol and environment records, completed result tables, figure source maps and public benchmark tables. Additional file 6 contains frozen-oracle holdout arrays; Additional file 7 contains the public setup, frozen records, predictors and provenance; Additional files 8–11 contain lossless baseline source and release counts. Each archive includes a file inventory with SHA-256 hashes. These files support reproduction of the aggregate comparisons and figures with the stated dependencies; the accompanying archives do not contain every parametric source draw, bootstrap refit, neural checkpoint or generated row.</w:t>
      </w:r>
    </w:p>
    <w:sectPr w:rsidR="00FC693F" w:rsidRPr="0006063C" w:rsidSect="00034616">
      <w:headerReference w:type="default" r:id="rId9"/>
      <w:footerReference w:type="default" r:id="rId10"/>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Additional file 1 | BMC Medical Research Methodology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pageBreakBefore w:val="0"/>
      <w:widowControl/>
      <w:spacing w:line="360" w:lineRule="auto" w:after="100"/>
    </w:pPr>
    <w:rPr>
      <w:rFonts w:ascii="Times New Roman" w:hAnsi="Times New Roman"/>
      <w:color w:val="000000"/>
      <w:sz w:val="22"/>
    </w:rPr>
  </w:style>
  <w:style w:type="paragraph" w:styleId="Header">
    <w:name w:val="header"/>
    <w:basedOn w:val="Normal"/>
    <w:link w:val="HeaderChar"/>
    <w:uiPriority w:val="99"/>
    <w:unhideWhenUsed/>
    <w:rsid w:val="00E618BF"/>
    <w:pPr>
      <w:pageBreakBefore w:val="0"/>
      <w:tabs>
        <w:tab w:val="center" w:pos="4680"/>
        <w:tab w:val="right" w:pos="9360"/>
      </w:tabs>
      <w:spacing w:after="0" w:line="240" w:lineRule="auto"/>
    </w:pPr>
    <w:rPr>
      <w:rFonts w:ascii="Times New Roman" w:hAnsi="Times New Roman"/>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pageBreakBefore w:val="0"/>
      <w:tabs>
        <w:tab w:val="center" w:pos="4680"/>
        <w:tab w:val="right" w:pos="9360"/>
      </w:tabs>
      <w:spacing w:after="0" w:line="240" w:lineRule="auto"/>
    </w:pPr>
    <w:rPr>
      <w:rFonts w:ascii="Times New Roman" w:hAnsi="Times New Roman"/>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val="0"/>
      <w:spacing w:before="160" w:after="0"/>
      <w:outlineLvl w:val="0"/>
    </w:pPr>
    <w:rPr>
      <w:rFonts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pageBreakBefore w:val="0"/>
      <w:spacing w:before="160" w:after="0"/>
      <w:outlineLvl w:val="1"/>
    </w:pPr>
    <w:rPr>
      <w:rFonts w:cstheme="majorBidi"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ageBreakBefore w:val="0"/>
      <w:spacing w:after="300" w:line="240" w:lineRule="auto"/>
      <w:contextualSpacing/>
    </w:pPr>
    <w:rPr>
      <w:rFonts w:cstheme="majorBidi" w:ascii="Times New Roman" w:hAnsi="Times New Roman"/>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file 1: Completed experimental methods</dc:title>
  <dc:subject>Supplementary methods</dc:subject>
  <dc:creator>Tianyi Yu</dc:creator>
  <cp:keywords/>
  <dc:description>generated by python-docx</dc:description>
  <cp:lastModifiedBy/>
  <cp:revision>1</cp:revision>
  <dcterms:created xsi:type="dcterms:W3CDTF">2013-12-23T23:15:00Z</dcterms:created>
  <dcterms:modified xsi:type="dcterms:W3CDTF">2013-12-23T23:15:00Z</dcterms:modified>
  <cp:category/>
</cp:coreProperties>
</file>