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B0FAC">
      <w:pPr>
        <w:pStyle w:val="2"/>
        <w:keepNext w:val="0"/>
        <w:keepLines w:val="0"/>
        <w:widowControl/>
        <w:suppressLineNumbers w:val="0"/>
        <w:shd w:val="clear" w:fill="FFFFFF"/>
        <w:spacing w:before="320" w:beforeAutospacing="0" w:after="160" w:afterAutospacing="0"/>
        <w:ind w:left="0" w:right="0" w:firstLine="0"/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hd w:val="clear" w:fill="FFFFFF"/>
          <w:lang w:val="en-US" w:eastAsia="zh-CN"/>
        </w:rPr>
      </w:pP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hd w:val="clear" w:fill="FFFFFF"/>
          <w:lang w:val="en-US" w:eastAsia="zh-CN"/>
        </w:rPr>
        <w:t>Supplementary T</w:t>
      </w:r>
      <w:bookmarkStart w:id="0" w:name="_GoBack"/>
      <w:bookmarkEnd w:id="0"/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hd w:val="clear" w:fill="FFFFFF"/>
          <w:lang w:val="en-US" w:eastAsia="zh-CN"/>
        </w:rPr>
        <w:t xml:space="preserve">ables. </w:t>
      </w:r>
    </w:p>
    <w:p w14:paraId="46C4D6DF">
      <w:pPr>
        <w:pStyle w:val="2"/>
        <w:keepNext w:val="0"/>
        <w:keepLines w:val="0"/>
        <w:widowControl/>
        <w:suppressLineNumbers w:val="0"/>
        <w:shd w:val="clear" w:fill="FFFFFF"/>
        <w:spacing w:before="320" w:beforeAutospacing="0" w:after="160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hd w:val="clear" w:fill="FFFFFF"/>
          <w:lang w:val="en-US" w:eastAsia="zh-CN"/>
        </w:rPr>
      </w:pP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hd w:val="clear" w:fill="FFFFFF"/>
          <w:lang w:val="en-US" w:eastAsia="zh-CN"/>
        </w:rPr>
        <w:t>Supplementary Table S1. Sensitivity analysis of cumulative incidence of milestone events using interval midpoint approximation</w:t>
      </w: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28"/>
        <w:gridCol w:w="2358"/>
        <w:gridCol w:w="2975"/>
      </w:tblGrid>
      <w:tr w14:paraId="6B1A8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88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C8072C9">
            <w:pPr>
              <w:snapToGrid w:val="0"/>
              <w:ind w:left="0" w:leftChars="0" w:right="0" w:rightChars="0" w:firstLine="0" w:firstLineChars="0"/>
              <w:jc w:val="center"/>
              <w:rPr>
                <w:rFonts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Milestone event</w:t>
            </w:r>
          </w:p>
        </w:tc>
        <w:tc>
          <w:tcPr>
            <w:tcW w:w="137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1C51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Primary KM analysis, 10-year %</w:t>
            </w:r>
          </w:p>
        </w:tc>
        <w:tc>
          <w:tcPr>
            <w:tcW w:w="173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9FEFD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Interval midpoint sensitivity analysis, 10-year %</w:t>
            </w:r>
          </w:p>
        </w:tc>
      </w:tr>
      <w:tr w14:paraId="285F5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88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CD61D57">
            <w:pPr>
              <w:snapToGrid w:val="0"/>
              <w:ind w:left="0" w:leftChars="0" w:right="0" w:rightChars="0" w:firstLine="0" w:firstLineChars="0"/>
              <w:jc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Severe urinary incontinence/retention</w:t>
            </w:r>
          </w:p>
        </w:tc>
        <w:tc>
          <w:tcPr>
            <w:tcW w:w="13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32C38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21.0</w:t>
            </w:r>
          </w:p>
        </w:tc>
        <w:tc>
          <w:tcPr>
            <w:tcW w:w="17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557A72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20.9</w:t>
            </w:r>
          </w:p>
        </w:tc>
      </w:tr>
      <w:tr w14:paraId="54559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2F42F6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Severe dysphagia</w:t>
            </w:r>
          </w:p>
        </w:tc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7EDE6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8.6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ED4404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8.6</w:t>
            </w:r>
          </w:p>
        </w:tc>
      </w:tr>
      <w:tr w14:paraId="00539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30E1D0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Dysarthria</w:t>
            </w:r>
          </w:p>
        </w:tc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8B84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7.7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4DD7C9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7.7</w:t>
            </w:r>
          </w:p>
        </w:tc>
      </w:tr>
      <w:tr w14:paraId="44422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920F6F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Recurrent falls</w:t>
            </w:r>
          </w:p>
        </w:tc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74B03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23.9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B65D1B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23.7</w:t>
            </w:r>
          </w:p>
        </w:tc>
      </w:tr>
      <w:tr w14:paraId="48283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9635BA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Need for walking assistance</w:t>
            </w:r>
          </w:p>
        </w:tc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0AEDA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25.2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909E56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24.6</w:t>
            </w:r>
          </w:p>
        </w:tc>
      </w:tr>
      <w:tr w14:paraId="62089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88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5A7A5D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Wheelchair dependence</w:t>
            </w:r>
          </w:p>
        </w:tc>
        <w:tc>
          <w:tcPr>
            <w:tcW w:w="137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B3CD5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14.2</w:t>
            </w:r>
          </w:p>
        </w:tc>
        <w:tc>
          <w:tcPr>
            <w:tcW w:w="173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F60932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13.7</w:t>
            </w:r>
          </w:p>
        </w:tc>
      </w:tr>
    </w:tbl>
    <w:p w14:paraId="315DBE70">
      <w:pP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Cumulative incidence was estimated using Kaplan-Meier analysis in the primary analysis and interval midpoint approximation in the sensitivity analysis. All estimates differed from the primary analysis by less than 1 percentage point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</w:t>
      </w:r>
    </w:p>
    <w:p w14:paraId="182E3098">
      <w:pPr>
        <w:pStyle w:val="2"/>
        <w:keepNext w:val="0"/>
        <w:keepLines w:val="0"/>
        <w:widowControl/>
        <w:suppressLineNumbers w:val="0"/>
        <w:shd w:val="clear" w:fill="FFFFFF"/>
        <w:spacing w:before="320" w:beforeAutospacing="0" w:after="16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fill="FFFFFF"/>
        </w:rPr>
        <w:t>Supplementary Table S2. Comparison of cumulative incidence between primary and landmark analyses</w:t>
      </w: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57"/>
        <w:gridCol w:w="1866"/>
        <w:gridCol w:w="1957"/>
        <w:gridCol w:w="1654"/>
        <w:gridCol w:w="1867"/>
        <w:gridCol w:w="1958"/>
        <w:gridCol w:w="1654"/>
      </w:tblGrid>
      <w:tr w14:paraId="6E3F9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15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D48BB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Milestone event</w:t>
            </w:r>
          </w:p>
        </w:tc>
        <w:tc>
          <w:tcPr>
            <w:tcW w:w="66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7363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Primary 10-year %</w:t>
            </w:r>
          </w:p>
        </w:tc>
        <w:tc>
          <w:tcPr>
            <w:tcW w:w="70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A00E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Landmark 10-year %</w:t>
            </w:r>
          </w:p>
        </w:tc>
        <w:tc>
          <w:tcPr>
            <w:tcW w:w="54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F387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Difference</w:t>
            </w:r>
          </w:p>
        </w:tc>
        <w:tc>
          <w:tcPr>
            <w:tcW w:w="66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BE10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Primary 15-year %</w:t>
            </w:r>
          </w:p>
        </w:tc>
        <w:tc>
          <w:tcPr>
            <w:tcW w:w="70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BC4C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Landmark 15-year %</w:t>
            </w:r>
          </w:p>
        </w:tc>
        <w:tc>
          <w:tcPr>
            <w:tcW w:w="55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B156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Difference</w:t>
            </w:r>
          </w:p>
        </w:tc>
      </w:tr>
      <w:tr w14:paraId="1016B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EDB412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Severe urinary incontinence/retention</w:t>
            </w: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0F37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21.0</w:t>
            </w:r>
          </w:p>
        </w:tc>
        <w:tc>
          <w:tcPr>
            <w:tcW w:w="70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3FE0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15.3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3DAA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−5.7</w:t>
            </w: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6933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27.5</w:t>
            </w:r>
          </w:p>
        </w:tc>
        <w:tc>
          <w:tcPr>
            <w:tcW w:w="70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5B6C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22.4</w:t>
            </w:r>
          </w:p>
        </w:tc>
        <w:tc>
          <w:tcPr>
            <w:tcW w:w="55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98547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−5.1</w:t>
            </w:r>
          </w:p>
        </w:tc>
      </w:tr>
      <w:tr w14:paraId="192A9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2510E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Severe dysphagia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77EE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8.6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C505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7.8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29A7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−0.8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4F27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16.2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065F4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15.5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6E6A1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−0.7</w:t>
            </w:r>
          </w:p>
        </w:tc>
      </w:tr>
      <w:tr w14:paraId="3C959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11506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Dysarthria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C3E6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7.7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2A0E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4.8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6646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−2.9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2809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7.7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8ADF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4.8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AB8D7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−2.9</w:t>
            </w:r>
          </w:p>
        </w:tc>
      </w:tr>
      <w:tr w14:paraId="71259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F2EDD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Recurrent falls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3E44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23.9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16EF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15.5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5844E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−8.4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1831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27.9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B431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20.0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3CB52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−7.9</w:t>
            </w:r>
          </w:p>
        </w:tc>
      </w:tr>
      <w:tr w14:paraId="611B2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86E0D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Need for walking assistance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16E4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25.2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6EAD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20.5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2BE74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−4.7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A17A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36.6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ADC4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32.5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6B74B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−4.1</w:t>
            </w:r>
          </w:p>
        </w:tc>
      </w:tr>
      <w:tr w14:paraId="435B1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95AC9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Wheelchair dependence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7255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14.2</w:t>
            </w:r>
          </w:p>
        </w:tc>
        <w:tc>
          <w:tcPr>
            <w:tcW w:w="70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FB33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13.8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C40C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−0.4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238F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20.3</w:t>
            </w:r>
          </w:p>
        </w:tc>
        <w:tc>
          <w:tcPr>
            <w:tcW w:w="70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08B0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20.4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7626B3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+0.1</w:t>
            </w:r>
          </w:p>
        </w:tc>
      </w:tr>
    </w:tbl>
    <w:p w14:paraId="4B830DFD">
      <w:pP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br w:type="page"/>
      </w:r>
    </w:p>
    <w:p w14:paraId="6E1E97D9">
      <w:pPr>
        <w:pStyle w:val="2"/>
        <w:keepNext w:val="0"/>
        <w:keepLines w:val="0"/>
        <w:widowControl/>
        <w:suppressLineNumbers w:val="0"/>
        <w:shd w:val="clear" w:fill="FFFFFF"/>
        <w:spacing w:before="320" w:beforeAutospacing="0" w:after="16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fill="FFFFFF"/>
        </w:rPr>
        <w:t>Supplementary Table S3. Comparison of Cox regression models between primary and landmark analyses</w:t>
      </w:r>
    </w:p>
    <w:tbl>
      <w:tblPr>
        <w:tblStyle w:val="3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02"/>
        <w:gridCol w:w="4110"/>
        <w:gridCol w:w="1424"/>
        <w:gridCol w:w="4726"/>
        <w:gridCol w:w="1142"/>
      </w:tblGrid>
      <w:tr w14:paraId="36A3D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98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68FBD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Variable</w:t>
            </w:r>
          </w:p>
        </w:tc>
        <w:tc>
          <w:tcPr>
            <w:tcW w:w="144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A888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Primary analysis HR (95% CI)</w:t>
            </w:r>
          </w:p>
        </w:tc>
        <w:tc>
          <w:tcPr>
            <w:tcW w:w="50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6683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P</w:t>
            </w:r>
          </w:p>
        </w:tc>
        <w:tc>
          <w:tcPr>
            <w:tcW w:w="166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F5B3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Landmark analysis HR (95% CI)</w:t>
            </w:r>
          </w:p>
        </w:tc>
        <w:tc>
          <w:tcPr>
            <w:tcW w:w="40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65DB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b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P</w:t>
            </w:r>
          </w:p>
        </w:tc>
      </w:tr>
      <w:tr w14:paraId="46165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598C7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Age at onset</w:t>
            </w:r>
          </w:p>
        </w:tc>
        <w:tc>
          <w:tcPr>
            <w:tcW w:w="144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4E9C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1.070 (1.046–1.094)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BBA63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&lt;0.001</w:t>
            </w:r>
          </w:p>
        </w:tc>
        <w:tc>
          <w:tcPr>
            <w:tcW w:w="166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3159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1.081 (1.049–1.114)</w:t>
            </w:r>
          </w:p>
        </w:tc>
        <w:tc>
          <w:tcPr>
            <w:tcW w:w="40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CA9B7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&lt;0.001</w:t>
            </w:r>
          </w:p>
        </w:tc>
      </w:tr>
      <w:tr w14:paraId="1F6FF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46E4EE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Sex (female vs male)</w:t>
            </w:r>
          </w:p>
        </w:tc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60F72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0.690 (0.400–1.191)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FC34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0.183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E47F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0.927 (0.459–1.872)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D8B0A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0.832</w:t>
            </w:r>
          </w:p>
        </w:tc>
      </w:tr>
      <w:tr w14:paraId="39552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DD6D6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H-Y stage</w:t>
            </w:r>
          </w:p>
        </w:tc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5BCE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1.455 (1.154–1.834)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6193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0.002</w:t>
            </w:r>
          </w:p>
        </w:tc>
        <w:tc>
          <w:tcPr>
            <w:tcW w:w="16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DFCE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1.645 (1.189–2.276)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06BB8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0.003</w:t>
            </w:r>
          </w:p>
        </w:tc>
      </w:tr>
      <w:tr w14:paraId="2C565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8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325DE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Disease duration</w:t>
            </w:r>
          </w:p>
        </w:tc>
        <w:tc>
          <w:tcPr>
            <w:tcW w:w="144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16D3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0.851 (0.742–0.977)</w:t>
            </w:r>
          </w:p>
        </w:tc>
        <w:tc>
          <w:tcPr>
            <w:tcW w:w="50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868D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0.022</w:t>
            </w:r>
          </w:p>
        </w:tc>
        <w:tc>
          <w:tcPr>
            <w:tcW w:w="166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9CC1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Not included (effect disappeared)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F317A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—</w:t>
            </w:r>
          </w:p>
        </w:tc>
      </w:tr>
    </w:tbl>
    <w:p w14:paraId="3A260ECB">
      <w:pP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17FFF"/>
    <w:rsid w:val="01B276FE"/>
    <w:rsid w:val="02C5631E"/>
    <w:rsid w:val="0A1139FA"/>
    <w:rsid w:val="0B49165D"/>
    <w:rsid w:val="0C6C42FA"/>
    <w:rsid w:val="129C6917"/>
    <w:rsid w:val="29F84CC5"/>
    <w:rsid w:val="301B7575"/>
    <w:rsid w:val="30867436"/>
    <w:rsid w:val="42D178CF"/>
    <w:rsid w:val="447B5365"/>
    <w:rsid w:val="61772657"/>
    <w:rsid w:val="72F81224"/>
    <w:rsid w:val="7C6E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255</Words>
  <Characters>1324</Characters>
  <Lines>0</Lines>
  <Paragraphs>0</Paragraphs>
  <TotalTime>1</TotalTime>
  <ScaleCrop>false</ScaleCrop>
  <LinksUpToDate>false</LinksUpToDate>
  <CharactersWithSpaces>1492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2026-09-23T08:30:00Z</dcterms:created>
  <dc:creator>user2020</dc:creator>
  <cp:lastModifiedBy>张绿明</cp:lastModifiedBy>
  <dcterms:modified xsi:type="dcterms:W3CDTF">2026-09-28T16:51:33Z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eyJoZGlkIjoiODhlOTI4YTg0NDRhYjcwMTE4YzI3NzlkMTYwNWQ1MjIiLCJ1c2VySWQiOiIyMjAzMjQ1ODEifQ==</vt:lpwstr>
  </property>
  <property fmtid="{D5CDD505-2E9C-101B-9397-08002B2CF9AE}" pid="4" name="ICV">
    <vt:lpwstr>C496E5E93387468BB271127F75E48DA5_12</vt:lpwstr>
  </property>
</Properties>
</file>