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7C11" w:rsidRPr="002A09D4" w:rsidRDefault="00794E3C" w:rsidP="00B47C11">
      <w:pPr>
        <w:rPr>
          <w:rFonts w:ascii="Times New Roman" w:hAnsi="Times New Roman" w:cs="Times New Roman"/>
          <w:b/>
          <w:sz w:val="24"/>
          <w:szCs w:val="24"/>
        </w:rPr>
      </w:pPr>
      <w:r w:rsidRPr="00794E3C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546907" w:rsidRPr="00546907">
        <w:rPr>
          <w:rFonts w:ascii="Times New Roman" w:hAnsi="Times New Roman" w:cs="Times New Roman"/>
          <w:b/>
          <w:sz w:val="24"/>
          <w:szCs w:val="24"/>
        </w:rPr>
        <w:t xml:space="preserve">Figure legends </w:t>
      </w:r>
    </w:p>
    <w:p w:rsidR="008217DB" w:rsidRDefault="00794E3C" w:rsidP="00B47C11">
      <w:pPr>
        <w:spacing w:line="480" w:lineRule="auto"/>
        <w:rPr>
          <w:rFonts w:ascii="Times New Roman" w:eastAsia="等线" w:hAnsi="Times New Roman"/>
          <w:sz w:val="24"/>
          <w:szCs w:val="24"/>
        </w:rPr>
      </w:pPr>
      <w:r w:rsidRPr="00794E3C">
        <w:rPr>
          <w:rFonts w:ascii="Times New Roman" w:hAnsi="Times New Roman" w:cs="Times New Roman"/>
          <w:b/>
          <w:sz w:val="24"/>
          <w:szCs w:val="24"/>
        </w:rPr>
        <w:t>Supplementary Fig. 1</w:t>
      </w:r>
      <w:r w:rsidR="003B7A5F" w:rsidRPr="002A09D4">
        <w:rPr>
          <w:rFonts w:ascii="Times New Roman" w:hAnsi="Times New Roman" w:cs="Times New Roman"/>
          <w:sz w:val="24"/>
          <w:szCs w:val="24"/>
        </w:rPr>
        <w:t xml:space="preserve"> </w:t>
      </w:r>
      <w:r w:rsidR="008217DB" w:rsidRPr="00AD61C7">
        <w:rPr>
          <w:rFonts w:ascii="Times New Roman" w:eastAsia="等线" w:hAnsi="Times New Roman"/>
          <w:sz w:val="24"/>
          <w:szCs w:val="24"/>
        </w:rPr>
        <w:t>Coregulatory network analysis</w:t>
      </w:r>
      <w:r w:rsidR="008217DB" w:rsidRPr="00AD61C7">
        <w:rPr>
          <w:rFonts w:ascii="Times New Roman" w:hAnsi="Times New Roman"/>
          <w:sz w:val="24"/>
          <w:szCs w:val="24"/>
        </w:rPr>
        <w:t xml:space="preserve"> </w:t>
      </w:r>
      <w:r w:rsidR="008217DB" w:rsidRPr="00AD61C7">
        <w:rPr>
          <w:rFonts w:ascii="Times New Roman" w:eastAsia="等线" w:hAnsi="Times New Roman"/>
          <w:sz w:val="24"/>
          <w:szCs w:val="24"/>
        </w:rPr>
        <w:t xml:space="preserve">of </w:t>
      </w:r>
      <w:r w:rsidR="009A5DC6">
        <w:rPr>
          <w:rFonts w:ascii="Times New Roman" w:eastAsia="等线" w:hAnsi="Times New Roman"/>
          <w:sz w:val="24"/>
          <w:szCs w:val="24"/>
        </w:rPr>
        <w:t>MYC</w:t>
      </w:r>
      <w:r w:rsidR="008217DB" w:rsidRPr="00AD61C7">
        <w:rPr>
          <w:rFonts w:ascii="Times New Roman" w:eastAsia="等线" w:hAnsi="Times New Roman"/>
          <w:sz w:val="24"/>
          <w:szCs w:val="24"/>
        </w:rPr>
        <w:t xml:space="preserve"> and its related hub genes using WebGestalt GSAT. </w:t>
      </w:r>
    </w:p>
    <w:p w:rsidR="00B47C11" w:rsidRPr="002A09D4" w:rsidRDefault="00794E3C" w:rsidP="00B47C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4E3C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3B7A5F">
        <w:rPr>
          <w:rFonts w:ascii="Times New Roman" w:hAnsi="Times New Roman" w:cs="Times New Roman"/>
          <w:sz w:val="24"/>
          <w:szCs w:val="24"/>
        </w:rPr>
        <w:t xml:space="preserve"> </w:t>
      </w:r>
      <w:r w:rsidR="00B47C11" w:rsidRPr="002A09D4">
        <w:rPr>
          <w:rFonts w:ascii="Times New Roman" w:hAnsi="Times New Roman" w:cs="Times New Roman"/>
          <w:sz w:val="24"/>
          <w:szCs w:val="24"/>
        </w:rPr>
        <w:t xml:space="preserve">Western blot analysis of Rad50 in the HGSOC tissues and </w:t>
      </w:r>
      <w:r w:rsidR="00B47C11" w:rsidRPr="002A09D4">
        <w:rPr>
          <w:rFonts w:ascii="Times New Roman" w:hAnsi="Times New Roman" w:cs="Times New Roman" w:hint="eastAsia"/>
          <w:sz w:val="24"/>
          <w:szCs w:val="24"/>
        </w:rPr>
        <w:t>ov</w:t>
      </w:r>
      <w:r w:rsidR="00B47C11" w:rsidRPr="002A09D4">
        <w:rPr>
          <w:rFonts w:ascii="Times New Roman" w:hAnsi="Times New Roman" w:cs="Times New Roman"/>
          <w:sz w:val="24"/>
          <w:szCs w:val="24"/>
        </w:rPr>
        <w:t xml:space="preserve">arian cancer cell lines.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="00B47C11" w:rsidRPr="002A09D4">
        <w:rPr>
          <w:rFonts w:ascii="Times New Roman" w:hAnsi="Times New Roman" w:cs="Times New Roman"/>
          <w:sz w:val="24"/>
          <w:szCs w:val="24"/>
        </w:rPr>
        <w:t xml:space="preserve"> Western blot analysis of Rad50 in HGSOC (n=42) compared to normal fimbria (n=31).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 w:rsidR="00B47C11" w:rsidRPr="002A09D4">
        <w:rPr>
          <w:rFonts w:ascii="Times New Roman" w:hAnsi="Times New Roman" w:cs="Times New Roman"/>
          <w:sz w:val="24"/>
          <w:szCs w:val="24"/>
        </w:rPr>
        <w:t xml:space="preserve"> </w:t>
      </w:r>
      <w:r w:rsidR="00A822B4">
        <w:rPr>
          <w:rFonts w:ascii="Times New Roman" w:hAnsi="Times New Roman" w:cs="Times New Roman"/>
          <w:sz w:val="24"/>
          <w:szCs w:val="24"/>
        </w:rPr>
        <w:t xml:space="preserve">RNA-seq analysis of Rad50 expresison in ovarian cancer cells treated with or without olparib.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="00A822B4" w:rsidRPr="002A09D4">
        <w:rPr>
          <w:rFonts w:ascii="Times New Roman" w:hAnsi="Times New Roman" w:cs="Times New Roman"/>
          <w:sz w:val="24"/>
          <w:szCs w:val="24"/>
        </w:rPr>
        <w:t xml:space="preserve">, </w:t>
      </w:r>
      <w:r w:rsidR="00D61690">
        <w:rPr>
          <w:rFonts w:ascii="Times New Roman" w:hAnsi="Times New Roman" w:cs="Times New Roman"/>
          <w:sz w:val="24"/>
          <w:szCs w:val="24"/>
        </w:rPr>
        <w:t xml:space="preserve">CPTAC analysis of Rad50 expression across cancers. </w:t>
      </w:r>
      <w:bookmarkStart w:id="0" w:name="_GoBack"/>
      <w:bookmarkEnd w:id="0"/>
      <w:r w:rsidR="00D61690" w:rsidRPr="00D61690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D61690">
        <w:rPr>
          <w:rFonts w:ascii="Times New Roman" w:hAnsi="Times New Roman" w:cs="Times New Roman"/>
          <w:sz w:val="24"/>
          <w:szCs w:val="24"/>
        </w:rPr>
        <w:t xml:space="preserve"> </w:t>
      </w:r>
      <w:r w:rsidR="00B47C11" w:rsidRPr="002A09D4">
        <w:rPr>
          <w:rFonts w:ascii="Times New Roman" w:hAnsi="Times New Roman" w:cs="Times New Roman"/>
          <w:sz w:val="24"/>
          <w:szCs w:val="24"/>
        </w:rPr>
        <w:t>Western blot analysis of Rad50 in different cell lines with Rad50 overexpression (Rad50-OVE) or knockdown (shRad50)</w:t>
      </w:r>
      <w:r w:rsidR="00D61690">
        <w:rPr>
          <w:rFonts w:ascii="Times New Roman" w:hAnsi="Times New Roman" w:cs="Times New Roman"/>
          <w:sz w:val="24"/>
          <w:szCs w:val="24"/>
        </w:rPr>
        <w:t xml:space="preserve"> and control cells</w:t>
      </w:r>
      <w:r w:rsidR="00B47C11" w:rsidRPr="002A09D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47C11" w:rsidRPr="002A09D4" w:rsidRDefault="00794E3C" w:rsidP="00B47C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4E3C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3B7A5F" w:rsidRPr="002A09D4">
        <w:rPr>
          <w:rFonts w:ascii="Times New Roman" w:hAnsi="Times New Roman" w:cs="Times New Roman"/>
          <w:sz w:val="24"/>
          <w:szCs w:val="24"/>
        </w:rPr>
        <w:t xml:space="preserve"> </w:t>
      </w:r>
      <w:r w:rsidR="00B47C11" w:rsidRPr="002A09D4">
        <w:rPr>
          <w:rFonts w:ascii="Times New Roman" w:hAnsi="Times New Roman" w:cs="Times New Roman"/>
          <w:sz w:val="24"/>
          <w:szCs w:val="24"/>
        </w:rPr>
        <w:t>Cell cycle analysis of synchronized A2780 cells with Rad50 knockdown compared to control cells using PI staining.</w:t>
      </w:r>
    </w:p>
    <w:p w:rsidR="00B47C11" w:rsidRPr="002A09D4" w:rsidRDefault="00794E3C" w:rsidP="00B47C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4E3C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621D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7C11" w:rsidRPr="002A09D4">
        <w:rPr>
          <w:rFonts w:ascii="Times New Roman" w:hAnsi="Times New Roman" w:cs="Times New Roman"/>
          <w:sz w:val="24"/>
          <w:szCs w:val="24"/>
        </w:rPr>
        <w:t xml:space="preserve">Quantifications of </w:t>
      </w:r>
      <w:r w:rsidR="00B47C11" w:rsidRPr="002A09D4">
        <w:rPr>
          <w:rFonts w:ascii="Times New Roman" w:hAnsi="Times New Roman" w:cs="Times New Roman"/>
          <w:bCs/>
          <w:sz w:val="24"/>
          <w:szCs w:val="24"/>
        </w:rPr>
        <w:t>Western Blots</w:t>
      </w:r>
      <w:r w:rsidR="00B47C11" w:rsidRPr="002A09D4">
        <w:rPr>
          <w:rFonts w:ascii="Times New Roman" w:hAnsi="Times New Roman" w:cs="Times New Roman"/>
          <w:sz w:val="24"/>
          <w:szCs w:val="24"/>
        </w:rPr>
        <w:t xml:space="preserve"> of EMT-related markers related to Figure 3D.</w:t>
      </w:r>
    </w:p>
    <w:p w:rsidR="00621D30" w:rsidRPr="002A09D4" w:rsidRDefault="00794E3C" w:rsidP="00621D30">
      <w:pPr>
        <w:spacing w:line="480" w:lineRule="auto"/>
        <w:rPr>
          <w:rFonts w:ascii="TimesNewRomanPSMT" w:hAnsi="TimesNewRomanPSMT" w:hint="eastAsia"/>
          <w:color w:val="000000"/>
          <w:sz w:val="24"/>
          <w:szCs w:val="24"/>
        </w:rPr>
      </w:pPr>
      <w:r w:rsidRPr="00794E3C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621D30" w:rsidRPr="002A09D4">
        <w:rPr>
          <w:rFonts w:ascii="TimesNewRomanPSMT" w:hAnsi="TimesNewRomanPSMT"/>
          <w:color w:val="000000"/>
          <w:sz w:val="24"/>
          <w:szCs w:val="24"/>
        </w:rPr>
        <w:t xml:space="preserve"> Interference of Rad50 expression reverses MYC driven ovarian cancer cell proliferation and invasion. </w:t>
      </w:r>
      <w:r>
        <w:rPr>
          <w:rFonts w:ascii="TimesNewRomanPSMT" w:hAnsi="TimesNewRomanPSMT"/>
          <w:b/>
          <w:color w:val="000000"/>
          <w:sz w:val="24"/>
          <w:szCs w:val="24"/>
        </w:rPr>
        <w:t>a</w:t>
      </w:r>
      <w:r w:rsidR="00621D30" w:rsidRPr="002A09D4">
        <w:rPr>
          <w:rFonts w:ascii="TimesNewRomanPSMT" w:hAnsi="TimesNewRomanPSMT"/>
          <w:b/>
          <w:color w:val="000000"/>
          <w:sz w:val="24"/>
          <w:szCs w:val="24"/>
        </w:rPr>
        <w:t>-</w:t>
      </w:r>
      <w:r>
        <w:rPr>
          <w:rFonts w:ascii="TimesNewRomanPSMT" w:hAnsi="TimesNewRomanPSMT"/>
          <w:b/>
          <w:color w:val="000000"/>
          <w:sz w:val="24"/>
          <w:szCs w:val="24"/>
        </w:rPr>
        <w:t>b</w:t>
      </w:r>
      <w:r w:rsidR="00621D30" w:rsidRPr="002A09D4">
        <w:rPr>
          <w:rFonts w:ascii="TimesNewRomanPSMT" w:hAnsi="TimesNewRomanPSMT"/>
          <w:color w:val="000000"/>
          <w:sz w:val="24"/>
          <w:szCs w:val="24"/>
        </w:rPr>
        <w:t xml:space="preserve"> The transwell assay revealed that the promotion effect of migration caused by MYC could be suppressed by interference of Rad50. </w:t>
      </w:r>
      <w:r>
        <w:rPr>
          <w:rFonts w:ascii="TimesNewRomanPSMT" w:hAnsi="TimesNewRomanPSMT"/>
          <w:b/>
          <w:color w:val="000000"/>
          <w:sz w:val="24"/>
          <w:szCs w:val="24"/>
        </w:rPr>
        <w:t>c</w:t>
      </w:r>
      <w:r w:rsidR="00621D30" w:rsidRPr="002A09D4">
        <w:rPr>
          <w:rFonts w:ascii="TimesNewRomanPSMT" w:hAnsi="TimesNewRomanPSMT"/>
          <w:b/>
          <w:color w:val="000000"/>
          <w:sz w:val="24"/>
          <w:szCs w:val="24"/>
        </w:rPr>
        <w:t>-</w:t>
      </w:r>
      <w:r>
        <w:rPr>
          <w:rFonts w:ascii="TimesNewRomanPSMT" w:hAnsi="TimesNewRomanPSMT"/>
          <w:b/>
          <w:color w:val="000000"/>
          <w:sz w:val="24"/>
          <w:szCs w:val="24"/>
        </w:rPr>
        <w:t>d</w:t>
      </w:r>
      <w:r w:rsidR="00621D30" w:rsidRPr="002A09D4">
        <w:rPr>
          <w:rFonts w:ascii="Times New Roman" w:hAnsi="Times New Roman" w:cs="Times New Roman"/>
          <w:sz w:val="24"/>
          <w:szCs w:val="24"/>
        </w:rPr>
        <w:t xml:space="preserve"> Clonogenic assay showed that the proliferation capability of ovarian cancer cell driven by MYC could be reduced by interference of Rad50.*P &lt; 0.05, **P&lt;0.01, ***P&lt;0.001, when compared with control group.</w:t>
      </w:r>
    </w:p>
    <w:p w:rsidR="00B47C11" w:rsidRPr="002A09D4" w:rsidRDefault="00794E3C" w:rsidP="00B47C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4E3C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="00B47C11" w:rsidRPr="002A09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7C11" w:rsidRPr="002A09D4">
        <w:rPr>
          <w:rFonts w:ascii="Times New Roman" w:hAnsi="Times New Roman" w:cs="Times New Roman"/>
          <w:sz w:val="24"/>
          <w:szCs w:val="24"/>
        </w:rPr>
        <w:t xml:space="preserve">Rad50 promotes tumor metastasis of xenografts. Representative images showed much more disseminated peritoneal tumors in Rad50-overexpressed A2780 group compared with the control group.  </w:t>
      </w:r>
    </w:p>
    <w:p w:rsidR="00B47C11" w:rsidRPr="002A09D4" w:rsidRDefault="00794E3C" w:rsidP="00B47C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4E3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="00B47C11" w:rsidRPr="002A09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7C11" w:rsidRPr="002A09D4">
        <w:rPr>
          <w:rFonts w:ascii="Times New Roman" w:hAnsi="Times New Roman" w:cs="Times New Roman"/>
          <w:sz w:val="24"/>
          <w:szCs w:val="24"/>
        </w:rPr>
        <w:t xml:space="preserve">Matrigel invasion assays of A2780 and SKOV3 cells with indicated treatments.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="00B47C11" w:rsidRPr="002A09D4">
        <w:rPr>
          <w:rFonts w:ascii="Times New Roman" w:hAnsi="Times New Roman" w:cs="Times New Roman"/>
          <w:sz w:val="24"/>
          <w:szCs w:val="24"/>
        </w:rPr>
        <w:t xml:space="preserve"> Representative images of transwell assays showed the migration/invasion ability of A2780 cells with or without Rad50 overexpression in the absence or presence of NF-κB inhibitor PDTC.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 w:rsidR="00B47C11" w:rsidRPr="002A09D4">
        <w:rPr>
          <w:rFonts w:ascii="Times New Roman" w:hAnsi="Times New Roman" w:cs="Times New Roman"/>
          <w:sz w:val="24"/>
          <w:szCs w:val="24"/>
        </w:rPr>
        <w:t xml:space="preserve"> Transwell assays of SKOV3 and A2780 cells transfected with indicated combinations of siRNA or vectors. </w:t>
      </w:r>
    </w:p>
    <w:p w:rsidR="00B56304" w:rsidRPr="002A09D4" w:rsidRDefault="00D61690">
      <w:pPr>
        <w:rPr>
          <w:sz w:val="24"/>
          <w:szCs w:val="24"/>
        </w:rPr>
      </w:pPr>
    </w:p>
    <w:sectPr w:rsidR="00B56304" w:rsidRPr="002A0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7DB" w:rsidRDefault="008217DB" w:rsidP="008217DB">
      <w:pPr>
        <w:spacing w:after="0"/>
      </w:pPr>
      <w:r>
        <w:separator/>
      </w:r>
    </w:p>
  </w:endnote>
  <w:endnote w:type="continuationSeparator" w:id="0">
    <w:p w:rsidR="008217DB" w:rsidRDefault="008217DB" w:rsidP="008217D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7DB" w:rsidRDefault="008217DB" w:rsidP="008217DB">
      <w:pPr>
        <w:spacing w:after="0"/>
      </w:pPr>
      <w:r>
        <w:separator/>
      </w:r>
    </w:p>
  </w:footnote>
  <w:footnote w:type="continuationSeparator" w:id="0">
    <w:p w:rsidR="008217DB" w:rsidRDefault="008217DB" w:rsidP="008217D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C11"/>
    <w:rsid w:val="00256654"/>
    <w:rsid w:val="002A09D4"/>
    <w:rsid w:val="002C215F"/>
    <w:rsid w:val="003B7A5F"/>
    <w:rsid w:val="00546907"/>
    <w:rsid w:val="00621D30"/>
    <w:rsid w:val="0078168F"/>
    <w:rsid w:val="00794E3C"/>
    <w:rsid w:val="008217DB"/>
    <w:rsid w:val="009A5DC6"/>
    <w:rsid w:val="00A822B4"/>
    <w:rsid w:val="00B47C11"/>
    <w:rsid w:val="00C43128"/>
    <w:rsid w:val="00CA1B3D"/>
    <w:rsid w:val="00D37BD7"/>
    <w:rsid w:val="00D61690"/>
    <w:rsid w:val="00DD6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86E1234"/>
  <w15:chartTrackingRefBased/>
  <w15:docId w15:val="{151CDA9E-26A0-4617-9190-8E9B6B828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C11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17D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17DB"/>
    <w:rPr>
      <w:rFonts w:ascii="Tahoma" w:eastAsia="微软雅黑" w:hAnsi="Tahoma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17D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17DB"/>
    <w:rPr>
      <w:rFonts w:ascii="Tahoma" w:eastAsia="微软雅黑" w:hAnsi="Tahoma"/>
      <w:kern w:val="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822B4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822B4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Zhaojian</dc:creator>
  <cp:keywords/>
  <dc:description/>
  <cp:lastModifiedBy>Liu Zhaojian</cp:lastModifiedBy>
  <cp:revision>15</cp:revision>
  <cp:lastPrinted>2020-01-02T02:50:00Z</cp:lastPrinted>
  <dcterms:created xsi:type="dcterms:W3CDTF">2019-12-21T12:32:00Z</dcterms:created>
  <dcterms:modified xsi:type="dcterms:W3CDTF">2020-04-01T12:53:00Z</dcterms:modified>
</cp:coreProperties>
</file>