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6112C">
      <w:pPr>
        <w:keepNext w:val="0"/>
        <w:pageBreakBefore w:val="0"/>
        <w:spacing w:before="0" w:after="120" w:line="276" w:lineRule="auto"/>
      </w:pPr>
      <w:r>
        <w:rPr>
          <w:rFonts w:ascii="Times New Roman" w:hAnsi="Times New Roman" w:eastAsia="Times New Roman"/>
          <w:b/>
          <w:sz w:val="28"/>
        </w:rPr>
        <w:t>Online Resource 1</w:t>
      </w:r>
    </w:p>
    <w:p w14:paraId="00FB8CA3">
      <w:pPr>
        <w:keepNext w:val="0"/>
        <w:pageBreakBefore w:val="0"/>
        <w:spacing w:before="0" w:after="120" w:line="276" w:lineRule="auto"/>
      </w:pPr>
      <w:r>
        <w:rPr>
          <w:rFonts w:ascii="Times New Roman" w:hAnsi="Times New Roman" w:eastAsia="Times New Roman"/>
          <w:i/>
          <w:sz w:val="22"/>
        </w:rPr>
        <w:t>World Journal of Urology</w:t>
      </w:r>
    </w:p>
    <w:p w14:paraId="3AA18777">
      <w:pPr>
        <w:keepNext w:val="0"/>
        <w:pageBreakBefore w:val="0"/>
        <w:spacing w:before="0" w:after="120" w:line="276" w:lineRule="auto"/>
      </w:pPr>
      <w:r>
        <w:rPr>
          <w:rFonts w:ascii="Times New Roman" w:hAnsi="Times New Roman" w:eastAsia="Times New Roman"/>
          <w:b/>
          <w:sz w:val="22"/>
        </w:rPr>
        <w:t>Cardiovascular Mortality as a Negative Control Outcome for the Apparent Survival Benefit of Cytoreductive Nephrectomy in De Novo Metastatic Renal Cell Carcinoma</w:t>
      </w:r>
    </w:p>
    <w:p w14:paraId="4DCE3F9F">
      <w:pPr>
        <w:keepNext w:val="0"/>
        <w:pageBreakBefore w:val="0"/>
        <w:spacing w:before="0" w:after="120" w:line="276" w:lineRule="auto"/>
      </w:pPr>
      <w:r>
        <w:rPr>
          <w:rFonts w:ascii="Times New Roman" w:hAnsi="Times New Roman" w:eastAsia="Times New Roman"/>
          <w:sz w:val="22"/>
        </w:rPr>
        <w:t>Xin Huang, Jin Kuang, Yi Huang, Hailin Luo, Xianxin Zhu, Jianqiang Zhang, Xiaolin Deng, Chuance Du, Cong Lai*, Mayao Luo*, Qiang Wei*</w:t>
      </w:r>
    </w:p>
    <w:p w14:paraId="2086D761">
      <w:pPr>
        <w:keepNext w:val="0"/>
        <w:pageBreakBefore w:val="0"/>
        <w:spacing w:before="0" w:after="120" w:line="276" w:lineRule="auto"/>
      </w:pPr>
      <w:r>
        <w:rPr>
          <w:rFonts w:ascii="Times New Roman" w:hAnsi="Times New Roman" w:eastAsia="Times New Roman"/>
          <w:sz w:val="20"/>
        </w:rPr>
        <w:t xml:space="preserve">*Corresponding authors: Cong Lai (Department of Urology, Sun Yat-sen Memorial Hospital, Sun Yat-sen University, Guangzhou, China; </w:t>
      </w:r>
      <w:r>
        <w:rPr>
          <w:rFonts w:eastAsia="Times New Roman"/>
          <w:kern w:val="0"/>
          <w:sz w:val="20"/>
          <w:szCs w:val="20"/>
          <w:lang w:val="en-GB" w:eastAsia="it-IT"/>
        </w:rPr>
        <w:t>laic3@mail.sysu.edu.cn</w:t>
      </w:r>
      <w:r>
        <w:rPr>
          <w:rFonts w:ascii="Times New Roman" w:hAnsi="Times New Roman" w:eastAsia="Times New Roman"/>
          <w:sz w:val="20"/>
        </w:rPr>
        <w:t xml:space="preserve">); Mayao Luo (Department of Urology, Guangdong Provincial People's Hospital, Southern Medical University, Guangzhou, China; </w:t>
      </w:r>
      <w:r>
        <w:rPr>
          <w:rFonts w:eastAsia="Times New Roman"/>
          <w:kern w:val="0"/>
          <w:sz w:val="20"/>
          <w:szCs w:val="20"/>
          <w:lang w:val="en-GB" w:eastAsia="it-IT"/>
        </w:rPr>
        <w:t>Romanyaogr@163.com</w:t>
      </w:r>
      <w:r>
        <w:rPr>
          <w:rFonts w:ascii="Times New Roman" w:hAnsi="Times New Roman" w:eastAsia="Times New Roman"/>
          <w:sz w:val="20"/>
        </w:rPr>
        <w:t xml:space="preserve">); Qiang Wei (Department of Urology, Nanfang Hospital, Southern Medical University, Guangzhou, China; </w:t>
      </w:r>
      <w:r>
        <w:rPr>
          <w:rFonts w:eastAsia="Times New Roman"/>
          <w:kern w:val="0"/>
          <w:sz w:val="20"/>
          <w:szCs w:val="20"/>
          <w:lang w:val="en-GB" w:eastAsia="it-IT"/>
        </w:rPr>
        <w:t>qwei@smu.edu.cn</w:t>
      </w:r>
      <w:r>
        <w:rPr>
          <w:rFonts w:ascii="Times New Roman" w:hAnsi="Times New Roman" w:eastAsia="Times New Roman"/>
          <w:sz w:val="20"/>
        </w:rPr>
        <w:t>)</w:t>
      </w:r>
    </w:p>
    <w:p w14:paraId="6C592470">
      <w:pPr>
        <w:keepNext w:val="0"/>
        <w:pageBreakBefore w:val="0"/>
        <w:spacing w:before="0" w:after="240" w:line="276" w:lineRule="auto"/>
      </w:pPr>
      <w:r>
        <w:rPr>
          <w:rFonts w:ascii="Times New Roman" w:hAnsi="Times New Roman" w:eastAsia="Times New Roman"/>
          <w:i/>
          <w:sz w:val="20"/>
        </w:rPr>
        <w:t>Contents: Supplementary methods; Tables S1–S8; Figs. S1–S6. Reference numbers in square brackets refer to the reference list of the main article.</w:t>
      </w:r>
    </w:p>
    <w:p w14:paraId="0B8E2833">
      <w:pPr>
        <w:keepNext/>
        <w:pageBreakBefore w:val="0"/>
        <w:spacing w:before="0" w:after="120" w:line="276" w:lineRule="auto"/>
      </w:pPr>
      <w:r>
        <w:rPr>
          <w:rFonts w:ascii="Times New Roman" w:hAnsi="Times New Roman" w:eastAsia="Times New Roman"/>
          <w:b/>
          <w:sz w:val="24"/>
        </w:rPr>
        <w:t>Supplementary methods</w:t>
      </w:r>
    </w:p>
    <w:p w14:paraId="449B6E4E">
      <w:pPr>
        <w:keepNext/>
        <w:pageBreakBefore w:val="0"/>
        <w:spacing w:before="0" w:after="60" w:line="276" w:lineRule="auto"/>
      </w:pPr>
      <w:r>
        <w:rPr>
          <w:rFonts w:ascii="Times New Roman" w:hAnsi="Times New Roman" w:eastAsia="Times New Roman"/>
          <w:b/>
          <w:sz w:val="22"/>
        </w:rPr>
        <w:t>Data source</w:t>
      </w:r>
    </w:p>
    <w:p w14:paraId="77EA9C83">
      <w:pPr>
        <w:keepNext w:val="0"/>
        <w:pageBreakBefore w:val="0"/>
        <w:spacing w:before="0" w:after="120" w:line="276" w:lineRule="auto"/>
      </w:pPr>
      <w:r>
        <w:rPr>
          <w:rFonts w:ascii="Times New Roman" w:hAnsi="Times New Roman" w:eastAsia="Times New Roman"/>
          <w:sz w:val="22"/>
        </w:rPr>
        <w:t>Data were obtained from the Surveillance, Epidemiology, and End Results (SEER) Program of the US National Cancer Institute, using the SEER*Stat database Incidence – SEER Research Data, 17 Registries, Nov 2025 Sub (2000–2023) – Linked To County Attributes – Time Dependent (1990–2024) Income/Rurality, 1969–2024 Counties (National Cancer Institute, DCCPS, Surveillance Research Program; released April 2026, based on the November 2025 submission). Case listings were extracted with SEER*Stat software version 9.0.43.0. The SEER 17 registries cover approximately 26.5% of the US population.</w:t>
      </w:r>
    </w:p>
    <w:p w14:paraId="167C6138">
      <w:pPr>
        <w:keepNext/>
        <w:pageBreakBefore w:val="0"/>
        <w:spacing w:before="0" w:after="60" w:line="276" w:lineRule="auto"/>
      </w:pPr>
      <w:r>
        <w:rPr>
          <w:rFonts w:ascii="Times New Roman" w:hAnsi="Times New Roman" w:eastAsia="Times New Roman"/>
          <w:b/>
          <w:sz w:val="22"/>
        </w:rPr>
        <w:t>Study population</w:t>
      </w:r>
    </w:p>
    <w:p w14:paraId="13186FCE">
      <w:pPr>
        <w:keepNext w:val="0"/>
        <w:pageBreakBefore w:val="0"/>
        <w:spacing w:before="0" w:after="120" w:line="276" w:lineRule="auto"/>
      </w:pPr>
      <w:r>
        <w:rPr>
          <w:rFonts w:ascii="Times New Roman" w:hAnsi="Times New Roman" w:eastAsia="Times New Roman"/>
          <w:sz w:val="22"/>
        </w:rPr>
        <w:t>We included cases with a primary site code of C64.9 (kidney). At extraction, we further required malignant behaviour, microscopic confirmation, a first or only primary tumour, a reporting source other than autopsy or death certificate only, and known age at diagnosis. Histology was restricted to renal cell carcinoma, defined by ICD-O-3 morphology codes 8310 (clear cell), 8260 (papillary), 8317 (chromophobe), 8318 (sarcomatoid), 8319 (collecting duct), 8312 (renal cell carcinoma, not otherwise specified), 8316, 8320, 8323, 8510 and 8311.</w:t>
      </w:r>
    </w:p>
    <w:p w14:paraId="10D7A228">
      <w:pPr>
        <w:keepNext w:val="0"/>
        <w:pageBreakBefore w:val="0"/>
        <w:spacing w:before="0" w:after="120" w:line="276" w:lineRule="auto"/>
      </w:pPr>
      <w:r>
        <w:rPr>
          <w:rFonts w:ascii="Times New Roman" w:hAnsi="Times New Roman" w:eastAsia="Times New Roman"/>
          <w:sz w:val="22"/>
        </w:rPr>
        <w:t>Patients aged 18 years or older and diagnosed between 2010 and 2022 were eligible. Cases diagnosed in 2023 were excluded because SEER introduced a new surgery of primary site field (RX Summ—Surg Prim Site 2023) from that year, which is not comparable with earlier coding. Distant metastasis at diagnosis (M1) was ascertained with three staging fields according to year of diagnosis: the American Joint Committee on Cancer (AJCC) 7th edition M category for 2010–2015, the SEER Combined M category for 2016–2017, and the EOD 2018 M category for 2018–2022.</w:t>
      </w:r>
    </w:p>
    <w:p w14:paraId="0158F0DF">
      <w:pPr>
        <w:keepNext w:val="0"/>
        <w:pageBreakBefore w:val="0"/>
        <w:spacing w:before="0" w:after="120" w:line="276" w:lineRule="auto"/>
      </w:pPr>
      <w:r>
        <w:rPr>
          <w:rFonts w:ascii="Times New Roman" w:hAnsi="Times New Roman" w:eastAsia="Times New Roman"/>
          <w:sz w:val="22"/>
        </w:rPr>
        <w:t>We then sequentially excluded patients with missing survival time; patients with surgery of primary site codes 10–15 (local tumour destruction), 90 (surgery, not otherwise specified), 99 (unknown) or missing; patients for whom all four metastatic sites (bone, brain, liver and lung) were unknown; and patients who died with an uninterpretable cause-of-death code. Because the last exclusion depends on outcome information, it is reported separately (Fig. S1).</w:t>
      </w:r>
    </w:p>
    <w:p w14:paraId="0BDBAD23">
      <w:pPr>
        <w:keepNext/>
        <w:pageBreakBefore w:val="0"/>
        <w:spacing w:before="0" w:after="60" w:line="276" w:lineRule="auto"/>
      </w:pPr>
      <w:r>
        <w:rPr>
          <w:rFonts w:ascii="Times New Roman" w:hAnsi="Times New Roman" w:eastAsia="Times New Roman"/>
          <w:b/>
          <w:sz w:val="22"/>
        </w:rPr>
        <w:t>Exposure</w:t>
      </w:r>
    </w:p>
    <w:p w14:paraId="4B84E4FE">
      <w:pPr>
        <w:keepNext w:val="0"/>
        <w:pageBreakBefore w:val="0"/>
        <w:spacing w:before="0" w:after="120" w:line="276" w:lineRule="auto"/>
      </w:pPr>
      <w:r>
        <w:rPr>
          <w:rFonts w:ascii="Times New Roman" w:hAnsi="Times New Roman" w:eastAsia="Times New Roman"/>
          <w:sz w:val="22"/>
        </w:rPr>
        <w:t>The exposure was cytoreductive nephrectomy, defined from the field RX Summ—Surg Prim Site (1998–2022). Under the primary definition, codes 30 (partial or subtotal nephrectomy), 40 (complete or total nephrectomy), 50 (radical nephrectomy), 70 (nephrectomy in continuity with resection of other organs) and 80 (nephrectomy, not otherwise specified) were classified as nephrectomy, and code 00 as no surgery. Codes 20–27 (local tumour excision or excisional biopsy) may represent either a therapeutic or a diagnostic procedure; they were classified as no nephrectomy under the primary definition and as nephrectomy under an alternative definition used as a sensitivity analysis (SA1).</w:t>
      </w:r>
    </w:p>
    <w:p w14:paraId="47879C5E">
      <w:pPr>
        <w:keepNext/>
        <w:pageBreakBefore w:val="0"/>
        <w:spacing w:before="0" w:after="60" w:line="276" w:lineRule="auto"/>
      </w:pPr>
      <w:r>
        <w:rPr>
          <w:rFonts w:ascii="Times New Roman" w:hAnsi="Times New Roman" w:eastAsia="Times New Roman"/>
          <w:b/>
          <w:sz w:val="22"/>
        </w:rPr>
        <w:t>Outcomes</w:t>
      </w:r>
    </w:p>
    <w:p w14:paraId="26F0137A">
      <w:pPr>
        <w:keepNext w:val="0"/>
        <w:pageBreakBefore w:val="0"/>
        <w:spacing w:before="0" w:after="120" w:line="276" w:lineRule="auto"/>
      </w:pPr>
      <w:r>
        <w:rPr>
          <w:rFonts w:ascii="Times New Roman" w:hAnsi="Times New Roman" w:eastAsia="Times New Roman"/>
          <w:sz w:val="22"/>
        </w:rPr>
        <w:t>The outcome of interest was all-cause death, the end point most often reported in observational studies of cytoreductive nephrectomy.</w:t>
      </w:r>
    </w:p>
    <w:p w14:paraId="1FDE111C">
      <w:pPr>
        <w:keepNext w:val="0"/>
        <w:pageBreakBefore w:val="0"/>
        <w:spacing w:before="0" w:after="120" w:line="276" w:lineRule="auto"/>
      </w:pPr>
      <w:r>
        <w:rPr>
          <w:rFonts w:ascii="Times New Roman" w:hAnsi="Times New Roman" w:eastAsia="Times New Roman"/>
          <w:sz w:val="22"/>
        </w:rPr>
        <w:t>At the design stage, cerebrovascular death alone was considered as the negative control outcome. A preliminary analysis showed only 71 events under this definition, and the resulting confidence interval was too wide to constrain the bias meaningfully. The primary analysis therefore used death from heart disease or cerebrovascular disease as the negative control outcome, and cerebrovascular death alone is reported as a sensitivity analysis (SA3). This change was made after the preliminary cerebrovascular results had been seen.</w:t>
      </w:r>
    </w:p>
    <w:p w14:paraId="31573D04">
      <w:pPr>
        <w:keepNext w:val="0"/>
        <w:pageBreakBefore w:val="0"/>
        <w:spacing w:before="0" w:after="120" w:line="276" w:lineRule="auto"/>
      </w:pPr>
      <w:r>
        <w:rPr>
          <w:rFonts w:ascii="Times New Roman" w:hAnsi="Times New Roman" w:eastAsia="Times New Roman"/>
          <w:sz w:val="22"/>
        </w:rPr>
        <w:t>Follow-up started in the month of diagnosis and ended at death or last follow-up, with a study cut-off date of 31 December 2023; median follow-up was estimated with the reverse Kaplan–Meier method.</w:t>
      </w:r>
    </w:p>
    <w:p w14:paraId="2692CB6F">
      <w:pPr>
        <w:keepNext/>
        <w:pageBreakBefore w:val="0"/>
        <w:spacing w:before="0" w:after="60" w:line="276" w:lineRule="auto"/>
      </w:pPr>
      <w:r>
        <w:rPr>
          <w:rFonts w:ascii="Times New Roman" w:hAnsi="Times New Roman" w:eastAsia="Times New Roman"/>
          <w:b/>
          <w:sz w:val="22"/>
        </w:rPr>
        <w:t>Covariates</w:t>
      </w:r>
    </w:p>
    <w:p w14:paraId="6E2281DB">
      <w:pPr>
        <w:keepNext w:val="0"/>
        <w:pageBreakBefore w:val="0"/>
        <w:spacing w:before="0" w:after="120" w:line="276" w:lineRule="auto"/>
      </w:pPr>
      <w:r>
        <w:rPr>
          <w:rFonts w:ascii="Times New Roman" w:hAnsi="Times New Roman" w:eastAsia="Times New Roman"/>
          <w:sz w:val="22"/>
        </w:rPr>
        <w:t>Covariates comprised demographic characteristics (age at diagnosis, sex, race and ethnicity, marital status, quartile of county median household income, and residence: metropolitan area of ≥1 million, metropolitan area of &lt;1 million, or non-metropolitan, based on the Rural–Urban Continuum Codes); year of diagnosis; tumour characteristics (histological type: clear cell, papillary, chromophobe, sarcomatoid, or other/not otherwise specified; grade: Fuhrman or WHO/ISUP grade 1, 2, 3 or 4, from 2018 pathological grade when available and clinical grade otherwise; T category; and N category, with TX and NX retained as separate levels); metastatic burden (the number of involved sites among bone, brain, liver and lung: 0–1, 2 or ≥3, with unknown status for an individual site treated as not involved); and coding era (2010–2015, 2016–2017 and 2018–2022), to absorb the two revisions of the staging and grading schemes.</w:t>
      </w:r>
    </w:p>
    <w:p w14:paraId="68F22A31">
      <w:pPr>
        <w:keepNext w:val="0"/>
        <w:pageBreakBefore w:val="0"/>
        <w:spacing w:before="0" w:after="120" w:line="276" w:lineRule="auto"/>
      </w:pPr>
      <w:r>
        <w:rPr>
          <w:rFonts w:ascii="Times New Roman" w:hAnsi="Times New Roman" w:eastAsia="Times New Roman"/>
          <w:sz w:val="22"/>
        </w:rPr>
        <w:t>Age was modelled with a restricted cubic spline with four knots at the 5th, 35th, 65th and 95th percentiles, and year of diagnosis with three knots at the 10th, 50th and 90th percentiles; knot locations were fixed in the full cohort and held constant across bootstrap resamples. Categorical levels with fewer than 50 patients were merged into the most frequent (reference) level before estimation (Table S1). First-course chemotherapy and radiotherapy occur after the exposure; they are reported descriptively and were not adjusted for.</w:t>
      </w:r>
    </w:p>
    <w:p w14:paraId="7C3C48EC">
      <w:pPr>
        <w:keepNext/>
        <w:pageBreakBefore w:val="0"/>
        <w:spacing w:before="0" w:after="60" w:line="276" w:lineRule="auto"/>
      </w:pPr>
      <w:r>
        <w:rPr>
          <w:rFonts w:ascii="Times New Roman" w:hAnsi="Times New Roman" w:eastAsia="Times New Roman"/>
          <w:b/>
          <w:sz w:val="22"/>
        </w:rPr>
        <w:t>Missing data</w:t>
      </w:r>
    </w:p>
    <w:p w14:paraId="27389986">
      <w:pPr>
        <w:keepNext w:val="0"/>
        <w:pageBreakBefore w:val="0"/>
        <w:spacing w:before="0" w:after="120" w:line="276" w:lineRule="auto"/>
      </w:pPr>
      <w:r>
        <w:rPr>
          <w:rFonts w:ascii="Times New Roman" w:hAnsi="Times New Roman" w:eastAsia="Times New Roman"/>
          <w:sz w:val="22"/>
        </w:rPr>
        <w:t>Missing grade occurred predominantly among patients without surgery, because grade is usually assigned from a surgical specimen. It was handled by multiple imputation by chained equations (MICE) using classification and regression trees (CART), with 10 imputed datasets and 5 iterations each. Imputation was performed separately within the no-surgery, local-excision and nephrectomy groups to preserve the association between exposure and grade. The imputation model included all covariates, the event indicators for both outcomes and the Nelson–Aalen estimates of the cumulative hazard for both outcomes.</w:t>
      </w:r>
    </w:p>
    <w:p w14:paraId="1BCDDB8B">
      <w:pPr>
        <w:keepNext/>
        <w:pageBreakBefore w:val="0"/>
        <w:spacing w:before="0" w:after="60" w:line="276" w:lineRule="auto"/>
      </w:pPr>
      <w:r>
        <w:rPr>
          <w:rFonts w:ascii="Times New Roman" w:hAnsi="Times New Roman" w:eastAsia="Times New Roman"/>
          <w:b/>
          <w:sz w:val="22"/>
        </w:rPr>
        <w:t>Statistical analysis</w:t>
      </w:r>
    </w:p>
    <w:p w14:paraId="4B358703">
      <w:pPr>
        <w:keepNext w:val="0"/>
        <w:pageBreakBefore w:val="0"/>
        <w:spacing w:before="0" w:after="120" w:line="276" w:lineRule="auto"/>
      </w:pPr>
      <w:r>
        <w:rPr>
          <w:rFonts w:ascii="Times New Roman" w:hAnsi="Times New Roman" w:eastAsia="Times New Roman"/>
          <w:sz w:val="22"/>
        </w:rPr>
        <w:t>Three successive Cox proportional hazards models were fitted: M0, unadjusted; M1, adjusted for all covariates; and M2, overlap-weighted (primary analysis). In M2, the propensity score e(X) was estimated by logistic regression including all covariates, and the overlap weight was w = 1 − e(X) for patients who underwent nephrectomy and w = e(X) for those who did not. Overlap weighting emphasises patients for whom either treatment would be clinically plausible, is robust to extreme propensity scores and, with a logistic propensity model, yields exact balance of weighted covariate means [16, 17].</w:t>
      </w:r>
    </w:p>
    <w:p w14:paraId="5F100A55">
      <w:pPr>
        <w:keepNext w:val="0"/>
        <w:pageBreakBefore w:val="0"/>
        <w:spacing w:before="0" w:after="120" w:line="276" w:lineRule="auto"/>
      </w:pPr>
      <w:r>
        <w:rPr>
          <w:rFonts w:ascii="Times New Roman" w:hAnsi="Times New Roman" w:eastAsia="Times New Roman"/>
          <w:sz w:val="22"/>
        </w:rPr>
        <w:t>Covariate balance was assessed with standardised mean differences (SMDs), with an absolute SMD below 0.10 considered adequate [17]. The effective sample size of each group was ESS = (Σw)² / Σw². We also report the c-statistic of the propensity model and the proportion of patients outside the region of common support, and assessed the proportional hazards assumption with a test based on Schoenfeld residuals.</w:t>
      </w:r>
    </w:p>
    <w:p w14:paraId="43B351C5">
      <w:pPr>
        <w:keepNext w:val="0"/>
        <w:pageBreakBefore w:val="0"/>
        <w:spacing w:before="0" w:after="120" w:line="276" w:lineRule="auto"/>
      </w:pPr>
      <w:r>
        <w:rPr>
          <w:rFonts w:ascii="Times New Roman" w:hAnsi="Times New Roman" w:eastAsia="Times New Roman"/>
          <w:sz w:val="22"/>
        </w:rPr>
        <w:t>The between-group difference in restricted mean survival time (RMST) at 60 months was obtained by integrating the overlap-weighted Kaplan–Meier curves: RMST(τ) = ∫ Ŝ(t) dt from 0 to τ, with τ = 60 months.</w:t>
      </w:r>
    </w:p>
    <w:p w14:paraId="28FC37A7">
      <w:pPr>
        <w:keepNext w:val="0"/>
        <w:pageBreakBefore w:val="0"/>
        <w:spacing w:before="0" w:after="120" w:line="276" w:lineRule="auto"/>
      </w:pPr>
      <w:r>
        <w:rPr>
          <w:rFonts w:ascii="Times New Roman" w:hAnsi="Times New Roman" w:eastAsia="Times New Roman"/>
          <w:sz w:val="22"/>
        </w:rPr>
        <w:t>Point estimates were the mean log hazard ratio across the 10 imputed datasets. The 95% confidence intervals (CIs) were percentile intervals from 500 non-parametric bootstrap resamples; in each resample, patients were drawn with replacement and the multiple imputation, propensity score estimation and all model fits were repeated in full [18]. Both outcomes were estimated in the same resamples, so that CIs could be obtained directly for any function of the two estimates, including the calibrated estimates.</w:t>
      </w:r>
    </w:p>
    <w:p w14:paraId="18692CA3">
      <w:pPr>
        <w:keepNext/>
        <w:pageBreakBefore w:val="0"/>
        <w:spacing w:before="0" w:after="60" w:line="276" w:lineRule="auto"/>
      </w:pPr>
      <w:r>
        <w:rPr>
          <w:rFonts w:ascii="Times New Roman" w:hAnsi="Times New Roman" w:eastAsia="Times New Roman"/>
          <w:b/>
          <w:sz w:val="22"/>
        </w:rPr>
        <w:t>Bias calibration with the negative control outcome</w:t>
      </w:r>
    </w:p>
    <w:p w14:paraId="4F1FBACA">
      <w:pPr>
        <w:keepNext w:val="0"/>
        <w:pageBreakBefore w:val="0"/>
        <w:spacing w:before="0" w:after="120" w:line="276" w:lineRule="auto"/>
      </w:pPr>
      <w:r>
        <w:rPr>
          <w:rFonts w:ascii="Times New Roman" w:hAnsi="Times New Roman" w:eastAsia="Times New Roman"/>
          <w:sz w:val="22"/>
        </w:rPr>
        <w:t>Under the negative control assumption, the association with the negative control outcome arises entirely from bias [13, 14]. Transferring this bias proportionally to all-cause death gives the calibrated hazard ratio, log HR(cal) = log HR(all) − λ × log HR(NCO), and the proportion of the observed all-cause association attributable to bias, P(bias) = λ × log HR(NCO) / log HR(all) × 100%, where λ is a bias-transportability parameter: λ = 1 assumes equal bias for the two outcomes (the reference assumption), λ &lt; 1 less bias for all-cause death, and λ &gt; 1 the reverse. Results are reported for λ = 0.50, 0.75, 1.00, 1.50 and 2.00.</w:t>
      </w:r>
    </w:p>
    <w:p w14:paraId="7E0D410F">
      <w:pPr>
        <w:keepNext/>
        <w:pageBreakBefore w:val="0"/>
        <w:spacing w:before="0" w:after="60" w:line="276" w:lineRule="auto"/>
      </w:pPr>
      <w:r>
        <w:rPr>
          <w:rFonts w:ascii="Times New Roman" w:hAnsi="Times New Roman" w:eastAsia="Times New Roman"/>
          <w:b/>
          <w:sz w:val="22"/>
        </w:rPr>
        <w:t>Sensitivity analyses</w:t>
      </w:r>
    </w:p>
    <w:p w14:paraId="1B5CD2E2">
      <w:pPr>
        <w:keepNext w:val="0"/>
        <w:pageBreakBefore w:val="0"/>
        <w:spacing w:before="0" w:after="120" w:line="276" w:lineRule="auto"/>
      </w:pPr>
      <w:r>
        <w:rPr>
          <w:rFonts w:ascii="Times New Roman" w:hAnsi="Times New Roman" w:eastAsia="Times New Roman"/>
          <w:i/>
          <w:sz w:val="22"/>
        </w:rPr>
        <w:t xml:space="preserve">Exclusion restriction. </w:t>
      </w:r>
      <w:r>
        <w:rPr>
          <w:rFonts w:ascii="Times New Roman" w:hAnsi="Times New Roman" w:eastAsia="Times New Roman"/>
          <w:sz w:val="22"/>
        </w:rPr>
        <w:t>Nephrectomy could affect cardiovascular death directly through loss of nephron mass and reduced renal function, which may increase cardiovascular death [15], or through removal of the primary tumour and tumour thrombus, which may reduce deaths such as pulmonary embolism that are classified under diseases of the heart. Denoting the true causal effect of nephrectomy on the negative control outcome by γ (hazard ratio scale), the part of the observed association that reflects bias is log HR(bias) = log HR(NCO) − log γ. We repeated the calibration at λ = 1 for γ between 0.6 and 1.3 and computed two tipping points: the value at which the all-cause association is fully explained by bias, γ = HR(NCO) / HR(all), and the value at which the negative control association is entirely caused by nephrectomy, γ = HR(NCO) (Table S4, Fig. S5).</w:t>
      </w:r>
    </w:p>
    <w:p w14:paraId="55BE1316">
      <w:pPr>
        <w:keepNext w:val="0"/>
        <w:pageBreakBefore w:val="0"/>
        <w:spacing w:before="0" w:after="120" w:line="276" w:lineRule="auto"/>
      </w:pPr>
      <w:r>
        <w:rPr>
          <w:rFonts w:ascii="Times New Roman" w:hAnsi="Times New Roman" w:eastAsia="Times New Roman"/>
          <w:i/>
          <w:sz w:val="22"/>
        </w:rPr>
        <w:t xml:space="preserve">Administrative truncation. </w:t>
      </w:r>
      <w:r>
        <w:rPr>
          <w:rFonts w:ascii="Times New Roman" w:hAnsi="Times New Roman" w:eastAsia="Times New Roman"/>
          <w:sz w:val="22"/>
        </w:rPr>
        <w:t>The primary analysis was repeated with follow-up truncated at 12, 24, 36 and 60 months, to examine whether the associations with the two outcomes changed in parallel and whether the proportion attributable to bias was stable across time windows (Table S2).</w:t>
      </w:r>
    </w:p>
    <w:p w14:paraId="4CE39B87">
      <w:pPr>
        <w:keepNext w:val="0"/>
        <w:pageBreakBefore w:val="0"/>
        <w:spacing w:before="0" w:after="120" w:line="276" w:lineRule="auto"/>
      </w:pPr>
      <w:r>
        <w:rPr>
          <w:rFonts w:ascii="Times New Roman" w:hAnsi="Times New Roman" w:eastAsia="Times New Roman"/>
          <w:i/>
          <w:sz w:val="22"/>
        </w:rPr>
        <w:t xml:space="preserve">Landmark analysis. </w:t>
      </w:r>
      <w:r>
        <w:rPr>
          <w:rFonts w:ascii="Times New Roman" w:hAnsi="Times New Roman" w:eastAsia="Times New Roman"/>
          <w:sz w:val="22"/>
        </w:rPr>
        <w:t>To reduce immortal time bias, which has been raised specifically for registry analyses of cytoreductive nephrectomy [19], we excluded patients who died or were lost to follow-up within 3 months of diagnosis, reset the time origin to the landmark and repeated all analyses [20] (Table S7).</w:t>
      </w:r>
    </w:p>
    <w:p w14:paraId="6822C93B">
      <w:pPr>
        <w:keepNext w:val="0"/>
        <w:pageBreakBefore w:val="0"/>
        <w:spacing w:before="0" w:after="120" w:line="276" w:lineRule="auto"/>
      </w:pPr>
      <w:r>
        <w:rPr>
          <w:rFonts w:ascii="Times New Roman" w:hAnsi="Times New Roman" w:eastAsia="Times New Roman"/>
          <w:i/>
          <w:sz w:val="22"/>
        </w:rPr>
        <w:t xml:space="preserve">Pre-specified analytical variants. </w:t>
      </w:r>
      <w:r>
        <w:rPr>
          <w:rFonts w:ascii="Times New Roman" w:hAnsi="Times New Roman" w:eastAsia="Times New Roman"/>
          <w:sz w:val="22"/>
        </w:rPr>
        <w:t>SA1, alternative exposure definition (including codes 20–27); SA2, death from any non-neoplastic cause as the negative control outcome; SA3, cerebrovascular death alone as the negative control outcome; SA4, exclusion of patients with brain metastasis at diagnosis; SA5, exclusion of patients diagnosed in 2016–2017; SA6, restriction to 2010–2017 (before publication of the CARMENA trial); SA7, restriction to 2018–2022 (after publication of the CARMENA trial); SA8a, inverse probability of treatment weighting targeting the average treatment effect; SA8b, 1:1 nearest-neighbour propensity score matching with a caliper of 0.2 standard deviations of the logit of the propensity score and robust standard errors clustered on matched pairs (Table S3).</w:t>
      </w:r>
    </w:p>
    <w:p w14:paraId="157103A8">
      <w:pPr>
        <w:keepNext w:val="0"/>
        <w:pageBreakBefore w:val="0"/>
        <w:spacing w:before="0" w:after="120" w:line="276" w:lineRule="auto"/>
      </w:pPr>
      <w:r>
        <w:rPr>
          <w:rFonts w:ascii="Times New Roman" w:hAnsi="Times New Roman" w:eastAsia="Times New Roman"/>
          <w:i/>
          <w:sz w:val="22"/>
        </w:rPr>
        <w:t xml:space="preserve">Definition of partial nephrectomy (SA9). </w:t>
      </w:r>
      <w:r>
        <w:rPr>
          <w:rFonts w:ascii="Times New Roman" w:hAnsi="Times New Roman" w:eastAsia="Times New Roman"/>
          <w:sz w:val="22"/>
        </w:rPr>
        <w:t>Because it is debated whether partial nephrectomy constitutes cytoreductive surgery, we additionally excluded patients who underwent partial nephrectomy (code 30), classified only codes 40, 50, 70 and 80 as exposure, and repeated the primary analysis and calibration.</w:t>
      </w:r>
    </w:p>
    <w:p w14:paraId="2E1A3383">
      <w:pPr>
        <w:keepNext w:val="0"/>
        <w:pageBreakBefore w:val="0"/>
        <w:spacing w:before="0" w:after="120" w:line="276" w:lineRule="auto"/>
      </w:pPr>
      <w:r>
        <w:rPr>
          <w:rFonts w:ascii="Times New Roman" w:hAnsi="Times New Roman" w:eastAsia="Times New Roman"/>
          <w:i/>
          <w:sz w:val="22"/>
        </w:rPr>
        <w:t xml:space="preserve">Handling of missing grade (SA10, SA11). </w:t>
      </w:r>
      <w:r>
        <w:rPr>
          <w:rFonts w:ascii="Times New Roman" w:hAnsi="Times New Roman" w:eastAsia="Times New Roman"/>
          <w:sz w:val="22"/>
        </w:rPr>
        <w:t>Missing grade arose mainly from the absence of a surgical specimen, so the missing-at-random assumption underlying multiple imputation may not hold. All analyses were therefore repeated in two further ways: in SA10, unknown grade was entered in the models as a separate category without imputation (missing-indicator approach [21]); in SA11, grade was omitted from the models (Table S8).</w:t>
      </w:r>
    </w:p>
    <w:p w14:paraId="0B212838">
      <w:pPr>
        <w:keepNext w:val="0"/>
        <w:pageBreakBefore w:val="0"/>
        <w:spacing w:before="0" w:after="120" w:line="276" w:lineRule="auto"/>
      </w:pPr>
      <w:r>
        <w:rPr>
          <w:rFonts w:ascii="Times New Roman" w:hAnsi="Times New Roman" w:eastAsia="Times New Roman"/>
          <w:i/>
          <w:sz w:val="22"/>
        </w:rPr>
        <w:t xml:space="preserve">Bootstrap. </w:t>
      </w:r>
      <w:r>
        <w:rPr>
          <w:rFonts w:ascii="Times New Roman" w:hAnsi="Times New Roman" w:eastAsia="Times New Roman"/>
          <w:sz w:val="22"/>
        </w:rPr>
        <w:t>SA1, SA2, SA3, SA8a and SA9 used the same bootstrap resamples as the primary analysis and are reported with CIs; the other variants are reported as point estimates pooled over the imputed datasets. SA10 and SA11 each used their own 500 bootstrap resamples.</w:t>
      </w:r>
    </w:p>
    <w:p w14:paraId="0A24FF64">
      <w:pPr>
        <w:keepNext w:val="0"/>
        <w:pageBreakBefore w:val="0"/>
        <w:spacing w:before="0" w:after="120" w:line="276" w:lineRule="auto"/>
      </w:pPr>
      <w:r>
        <w:rPr>
          <w:rFonts w:ascii="Times New Roman" w:hAnsi="Times New Roman" w:eastAsia="Times New Roman"/>
          <w:i/>
          <w:sz w:val="22"/>
        </w:rPr>
        <w:t xml:space="preserve">Functional form of age and age strata. </w:t>
      </w:r>
      <w:r>
        <w:rPr>
          <w:rFonts w:ascii="Times New Roman" w:hAnsi="Times New Roman" w:eastAsia="Times New Roman"/>
          <w:sz w:val="22"/>
        </w:rPr>
        <w:t>Age was alternatively modelled with 5-year categories and with single-year indicators. The propensity score and the negative control association were also re-estimated within age strata (&lt;50, 50–69 and ≥70 years), with a linear age term within each stratum (Table S5, Fig. S6).</w:t>
      </w:r>
    </w:p>
    <w:p w14:paraId="617D04AE">
      <w:pPr>
        <w:keepNext w:val="0"/>
        <w:pageBreakBefore w:val="0"/>
        <w:spacing w:before="0" w:after="120" w:line="276" w:lineRule="auto"/>
      </w:pPr>
      <w:r>
        <w:rPr>
          <w:rFonts w:ascii="Times New Roman" w:hAnsi="Times New Roman" w:eastAsia="Times New Roman"/>
          <w:i/>
          <w:sz w:val="22"/>
        </w:rPr>
        <w:t xml:space="preserve">E-values. </w:t>
      </w:r>
      <w:r>
        <w:rPr>
          <w:rFonts w:ascii="Times New Roman" w:hAnsi="Times New Roman" w:eastAsia="Times New Roman"/>
          <w:sz w:val="22"/>
        </w:rPr>
        <w:t>Because neither outcome was rare in this cohort, each hazard ratio was converted approximately to a risk ratio before the E-value was calculated [22]: RR ≈ (1 − 0.5^√HR) / (1 − 0.5^√(1/HR)), and E = RR* + √(RR* × (RR* − 1)), where RR* is the reciprocal of RR when RR &lt; 1 (Table S6).</w:t>
      </w:r>
    </w:p>
    <w:p w14:paraId="4D4A451A">
      <w:pPr>
        <w:keepNext w:val="0"/>
        <w:pageBreakBefore w:val="0"/>
        <w:spacing w:before="0" w:after="120" w:line="276" w:lineRule="auto"/>
      </w:pPr>
      <w:r>
        <w:rPr>
          <w:rFonts w:ascii="Times New Roman" w:hAnsi="Times New Roman" w:eastAsia="Times New Roman"/>
          <w:i/>
          <w:sz w:val="22"/>
        </w:rPr>
        <w:t xml:space="preserve">Decisions made after the preliminary analysis. </w:t>
      </w:r>
      <w:r>
        <w:rPr>
          <w:rFonts w:ascii="Times New Roman" w:hAnsi="Times New Roman" w:eastAsia="Times New Roman"/>
          <w:sz w:val="22"/>
        </w:rPr>
        <w:t>The rule for merging sparse covariate levels (changed from a threshold based on negative control events to one based on the number of patients), the 3-month landmark analysis, SA9, SA10 and SA11, and the separation of grade 3 from grade 4 were specified after the preliminary analysis.</w:t>
      </w:r>
    </w:p>
    <w:p w14:paraId="3AC8F6A8">
      <w:pPr>
        <w:keepNext/>
        <w:pageBreakBefore w:val="0"/>
        <w:spacing w:before="0" w:after="60" w:line="276" w:lineRule="auto"/>
      </w:pPr>
      <w:r>
        <w:rPr>
          <w:rFonts w:ascii="Times New Roman" w:hAnsi="Times New Roman" w:eastAsia="Times New Roman"/>
          <w:b/>
          <w:sz w:val="22"/>
        </w:rPr>
        <w:t>Software</w:t>
      </w:r>
    </w:p>
    <w:p w14:paraId="3F2D0364">
      <w:pPr>
        <w:keepNext w:val="0"/>
        <w:pageBreakBefore w:val="0"/>
        <w:spacing w:before="0" w:after="120" w:line="276" w:lineRule="auto"/>
      </w:pPr>
      <w:r>
        <w:rPr>
          <w:rFonts w:ascii="Times New Roman" w:hAnsi="Times New Roman" w:eastAsia="Times New Roman"/>
          <w:sz w:val="22"/>
        </w:rPr>
        <w:t>Data were extracted with SEER*Stat 9.0.43.0. Analyses were performed in R 4.6.1 (R Foundation for Statistical Computing, Vienna, Austria) with survival 3.8.6 (Cox models and Kaplan–Meier estimation), rms 8.1.1 (restricted cubic splines), mice 3.19.0 (multiple imputation), MatchIt 4.7.2 (propensity score matching), data.table 1.18.6.1 (data management), ggplot2 4.0.3 and patchwork 1.3.2 (figures), and flextable 0.10.0 (tables). The random seed was fixed at 20260101. Results are reported as estimates with 95% CIs, without a P value threshold for statistical significance.</w:t>
      </w:r>
    </w:p>
    <w:p w14:paraId="3D5D2BB7">
      <w:pPr>
        <w:pageBreakBefore/>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S1. Covariate levels with fewer than 50 patients merged into the reference level</w:t>
      </w:r>
    </w:p>
    <w:tbl>
      <w:tblPr>
        <w:tblStyle w:val="8"/>
        <w:tblW w:w="0" w:type="auto"/>
        <w:jc w:val="center"/>
        <w:tblLayout w:type="fixed"/>
        <w:tblCellMar>
          <w:top w:w="0" w:type="dxa"/>
          <w:left w:w="108" w:type="dxa"/>
          <w:bottom w:w="0" w:type="dxa"/>
          <w:right w:w="108" w:type="dxa"/>
        </w:tblCellMar>
      </w:tblPr>
      <w:tblGrid>
        <w:gridCol w:w="1872"/>
        <w:gridCol w:w="2160"/>
        <w:gridCol w:w="1008"/>
        <w:gridCol w:w="2304"/>
        <w:gridCol w:w="2016"/>
      </w:tblGrid>
      <w:tr w14:paraId="62A07BEA">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CE9B8A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Variable</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0198FB7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Level</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3309BB1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n</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13B2975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Negative control deaths</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322C36A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Merged into</w:t>
            </w:r>
          </w:p>
        </w:tc>
      </w:tr>
      <w:tr w14:paraId="2CA0F03C">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D90E64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race</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1CDCD4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Unknown</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6F8DBAB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44</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DAF4F4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29EAFF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NH White</w:t>
            </w:r>
          </w:p>
        </w:tc>
      </w:tr>
      <w:tr w14:paraId="4886940E">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56071D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rural</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E7BE7A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Unknown</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6CAFEF9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32</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9135AA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3844842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Metro &gt;=1M</w:t>
            </w:r>
          </w:p>
        </w:tc>
      </w:tr>
    </w:tbl>
    <w:p w14:paraId="18E594CD">
      <w:r>
        <w:br w:type="page"/>
      </w:r>
    </w:p>
    <w:p w14:paraId="0D7389FB">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S2. Administrative truncation of follow-up</w:t>
      </w:r>
    </w:p>
    <w:tbl>
      <w:tblPr>
        <w:tblStyle w:val="8"/>
        <w:tblW w:w="0" w:type="auto"/>
        <w:jc w:val="center"/>
        <w:tblLayout w:type="fixed"/>
        <w:tblCellMar>
          <w:top w:w="0" w:type="dxa"/>
          <w:left w:w="108" w:type="dxa"/>
          <w:bottom w:w="0" w:type="dxa"/>
          <w:right w:w="108" w:type="dxa"/>
        </w:tblCellMar>
      </w:tblPr>
      <w:tblGrid>
        <w:gridCol w:w="1872"/>
        <w:gridCol w:w="1440"/>
        <w:gridCol w:w="2088"/>
        <w:gridCol w:w="2088"/>
        <w:gridCol w:w="2088"/>
      </w:tblGrid>
      <w:tr w14:paraId="04F58933">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2F1645C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Follow-up truncated at</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0071476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Cardiovascular deaths</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E78579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All-cause death</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HR (95% CI)</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FA3D14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Cardiovascular death</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HR (95% CI)</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68F6A8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Proportion explained</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at λ = 1, %</w:t>
            </w:r>
          </w:p>
        </w:tc>
      </w:tr>
      <w:tr w14:paraId="2D061F60">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13A0849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 months</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E3CA45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231</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7FE999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0.363 (0.340–0.390)</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2D1E134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0.456 (0.285–0.661)</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6AAD464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77.5 (41.7 to 123.4)</w:t>
            </w:r>
          </w:p>
        </w:tc>
      </w:tr>
      <w:tr w14:paraId="6696037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4C09FB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24 months</w:t>
            </w:r>
          </w:p>
        </w:tc>
        <w:tc>
          <w:tcPr>
            <w:tcBorders>
              <w:top w:val="nil"/>
              <w:left w:val="nil"/>
              <w:bottom w:val="nil"/>
              <w:right w:val="nil"/>
            </w:tcBorders>
            <w:shd w:val="clear" w:color="auto" w:fill="FFFFFF"/>
            <w:tcMar>
              <w:top w:w="0" w:type="dxa"/>
              <w:left w:w="0" w:type="dxa"/>
              <w:bottom w:w="0" w:type="dxa"/>
              <w:right w:w="0" w:type="dxa"/>
            </w:tcMar>
            <w:vAlign w:val="center"/>
          </w:tcPr>
          <w:p w14:paraId="5EB74E4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285</w:t>
            </w:r>
          </w:p>
        </w:tc>
        <w:tc>
          <w:tcPr>
            <w:tcBorders>
              <w:top w:val="nil"/>
              <w:left w:val="nil"/>
              <w:bottom w:val="nil"/>
              <w:right w:val="nil"/>
            </w:tcBorders>
            <w:shd w:val="clear" w:color="auto" w:fill="FFFFFF"/>
            <w:tcMar>
              <w:top w:w="0" w:type="dxa"/>
              <w:left w:w="0" w:type="dxa"/>
              <w:bottom w:w="0" w:type="dxa"/>
              <w:right w:w="0" w:type="dxa"/>
            </w:tcMar>
            <w:vAlign w:val="center"/>
          </w:tcPr>
          <w:p w14:paraId="42EBDAC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0.387 (0.366–0.411)</w:t>
            </w:r>
          </w:p>
        </w:tc>
        <w:tc>
          <w:tcPr>
            <w:tcBorders>
              <w:top w:val="nil"/>
              <w:left w:val="nil"/>
              <w:bottom w:val="nil"/>
              <w:right w:val="nil"/>
            </w:tcBorders>
            <w:shd w:val="clear" w:color="auto" w:fill="FFFFFF"/>
            <w:tcMar>
              <w:top w:w="0" w:type="dxa"/>
              <w:left w:w="0" w:type="dxa"/>
              <w:bottom w:w="0" w:type="dxa"/>
              <w:right w:w="0" w:type="dxa"/>
            </w:tcMar>
            <w:vAlign w:val="center"/>
          </w:tcPr>
          <w:p w14:paraId="42664BE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0.485 (0.341–0.688)</w:t>
            </w:r>
          </w:p>
        </w:tc>
        <w:tc>
          <w:tcPr>
            <w:tcBorders>
              <w:top w:val="nil"/>
              <w:left w:val="nil"/>
              <w:bottom w:val="nil"/>
              <w:right w:val="nil"/>
            </w:tcBorders>
            <w:shd w:val="clear" w:color="auto" w:fill="FFFFFF"/>
            <w:tcMar>
              <w:top w:w="0" w:type="dxa"/>
              <w:left w:w="0" w:type="dxa"/>
              <w:bottom w:w="0" w:type="dxa"/>
              <w:right w:w="0" w:type="dxa"/>
            </w:tcMar>
            <w:vAlign w:val="center"/>
          </w:tcPr>
          <w:p w14:paraId="2D8ADB5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76.3 (38.6 to 111.6)</w:t>
            </w:r>
          </w:p>
        </w:tc>
      </w:tr>
      <w:tr w14:paraId="71FF4D4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69F1DA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36 months</w:t>
            </w:r>
          </w:p>
        </w:tc>
        <w:tc>
          <w:tcPr>
            <w:tcBorders>
              <w:top w:val="nil"/>
              <w:left w:val="nil"/>
              <w:bottom w:val="nil"/>
              <w:right w:val="nil"/>
            </w:tcBorders>
            <w:shd w:val="clear" w:color="auto" w:fill="FFFFFF"/>
            <w:tcMar>
              <w:top w:w="0" w:type="dxa"/>
              <w:left w:w="0" w:type="dxa"/>
              <w:bottom w:w="0" w:type="dxa"/>
              <w:right w:w="0" w:type="dxa"/>
            </w:tcMar>
            <w:vAlign w:val="center"/>
          </w:tcPr>
          <w:p w14:paraId="54FC5C6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312</w:t>
            </w:r>
          </w:p>
        </w:tc>
        <w:tc>
          <w:tcPr>
            <w:tcBorders>
              <w:top w:val="nil"/>
              <w:left w:val="nil"/>
              <w:bottom w:val="nil"/>
              <w:right w:val="nil"/>
            </w:tcBorders>
            <w:shd w:val="clear" w:color="auto" w:fill="FFFFFF"/>
            <w:tcMar>
              <w:top w:w="0" w:type="dxa"/>
              <w:left w:w="0" w:type="dxa"/>
              <w:bottom w:w="0" w:type="dxa"/>
              <w:right w:w="0" w:type="dxa"/>
            </w:tcMar>
            <w:vAlign w:val="center"/>
          </w:tcPr>
          <w:p w14:paraId="44FE1F3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0.403 (0.382–0.425)</w:t>
            </w:r>
          </w:p>
        </w:tc>
        <w:tc>
          <w:tcPr>
            <w:tcBorders>
              <w:top w:val="nil"/>
              <w:left w:val="nil"/>
              <w:bottom w:val="nil"/>
              <w:right w:val="nil"/>
            </w:tcBorders>
            <w:shd w:val="clear" w:color="auto" w:fill="FFFFFF"/>
            <w:tcMar>
              <w:top w:w="0" w:type="dxa"/>
              <w:left w:w="0" w:type="dxa"/>
              <w:bottom w:w="0" w:type="dxa"/>
              <w:right w:w="0" w:type="dxa"/>
            </w:tcMar>
            <w:vAlign w:val="center"/>
          </w:tcPr>
          <w:p w14:paraId="43CBA70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0.509 (0.374–0.684)</w:t>
            </w:r>
          </w:p>
        </w:tc>
        <w:tc>
          <w:tcPr>
            <w:tcBorders>
              <w:top w:val="nil"/>
              <w:left w:val="nil"/>
              <w:bottom w:val="nil"/>
              <w:right w:val="nil"/>
            </w:tcBorders>
            <w:shd w:val="clear" w:color="auto" w:fill="FFFFFF"/>
            <w:tcMar>
              <w:top w:w="0" w:type="dxa"/>
              <w:left w:w="0" w:type="dxa"/>
              <w:bottom w:w="0" w:type="dxa"/>
              <w:right w:w="0" w:type="dxa"/>
            </w:tcMar>
            <w:vAlign w:val="center"/>
          </w:tcPr>
          <w:p w14:paraId="1A2874A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74.2 (41.8 to 108.3)</w:t>
            </w:r>
          </w:p>
        </w:tc>
      </w:tr>
      <w:tr w14:paraId="3AF6C01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E774F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60 months</w:t>
            </w:r>
          </w:p>
        </w:tc>
        <w:tc>
          <w:tcPr>
            <w:tcBorders>
              <w:top w:val="nil"/>
              <w:left w:val="nil"/>
              <w:bottom w:val="nil"/>
              <w:right w:val="nil"/>
            </w:tcBorders>
            <w:shd w:val="clear" w:color="auto" w:fill="FFFFFF"/>
            <w:tcMar>
              <w:top w:w="0" w:type="dxa"/>
              <w:left w:w="0" w:type="dxa"/>
              <w:bottom w:w="0" w:type="dxa"/>
              <w:right w:w="0" w:type="dxa"/>
            </w:tcMar>
            <w:vAlign w:val="center"/>
          </w:tcPr>
          <w:p w14:paraId="6280DD4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353</w:t>
            </w:r>
          </w:p>
        </w:tc>
        <w:tc>
          <w:tcPr>
            <w:tcBorders>
              <w:top w:val="nil"/>
              <w:left w:val="nil"/>
              <w:bottom w:val="nil"/>
              <w:right w:val="nil"/>
            </w:tcBorders>
            <w:shd w:val="clear" w:color="auto" w:fill="FFFFFF"/>
            <w:tcMar>
              <w:top w:w="0" w:type="dxa"/>
              <w:left w:w="0" w:type="dxa"/>
              <w:bottom w:w="0" w:type="dxa"/>
              <w:right w:w="0" w:type="dxa"/>
            </w:tcMar>
            <w:vAlign w:val="center"/>
          </w:tcPr>
          <w:p w14:paraId="1FEA2C9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0.416 (0.396–0.437)</w:t>
            </w:r>
          </w:p>
        </w:tc>
        <w:tc>
          <w:tcPr>
            <w:tcBorders>
              <w:top w:val="nil"/>
              <w:left w:val="nil"/>
              <w:bottom w:val="nil"/>
              <w:right w:val="nil"/>
            </w:tcBorders>
            <w:shd w:val="clear" w:color="auto" w:fill="FFFFFF"/>
            <w:tcMar>
              <w:top w:w="0" w:type="dxa"/>
              <w:left w:w="0" w:type="dxa"/>
              <w:bottom w:w="0" w:type="dxa"/>
              <w:right w:w="0" w:type="dxa"/>
            </w:tcMar>
            <w:vAlign w:val="center"/>
          </w:tcPr>
          <w:p w14:paraId="4A8EDAB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0.519 (0.381–0.701)</w:t>
            </w:r>
          </w:p>
        </w:tc>
        <w:tc>
          <w:tcPr>
            <w:tcBorders>
              <w:top w:val="nil"/>
              <w:left w:val="nil"/>
              <w:bottom w:val="nil"/>
              <w:right w:val="nil"/>
            </w:tcBorders>
            <w:shd w:val="clear" w:color="auto" w:fill="FFFFFF"/>
            <w:tcMar>
              <w:top w:w="0" w:type="dxa"/>
              <w:left w:w="0" w:type="dxa"/>
              <w:bottom w:w="0" w:type="dxa"/>
              <w:right w:w="0" w:type="dxa"/>
            </w:tcMar>
            <w:vAlign w:val="center"/>
          </w:tcPr>
          <w:p w14:paraId="2E87216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74.9 (40.6 to 110.6)</w:t>
            </w:r>
          </w:p>
        </w:tc>
      </w:tr>
      <w:tr w14:paraId="4161316B">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1285071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Full follow-up</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60B8325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394</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1C2567C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0.424 (0.403–0.447)</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0FF2934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0.528 (0.391–0.701)</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045EFAD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74.6 (42.0 to 108.9)</w:t>
            </w:r>
          </w:p>
        </w:tc>
      </w:tr>
    </w:tbl>
    <w:p w14:paraId="337B6BE3">
      <w:pPr>
        <w:pBdr>
          <w:top w:val="none" w:color="000000" w:sz="0" w:space="0"/>
          <w:left w:val="none" w:color="000000" w:sz="0" w:space="0"/>
          <w:bottom w:val="none" w:color="000000" w:sz="0" w:space="0"/>
          <w:right w:val="none" w:color="000000" w:sz="0" w:space="0"/>
        </w:pBdr>
        <w:spacing w:before="60" w:after="0" w:line="264" w:lineRule="auto"/>
        <w:ind w:left="0" w:right="0" w:firstLine="0" w:firstLineChars="0"/>
        <w:jc w:val="left"/>
      </w:pPr>
      <w:r>
        <w:rPr>
          <w:rFonts w:ascii="Times New Roman" w:hAnsi="Times New Roman" w:eastAsia="Times New Roman" w:cs="Times New Roman"/>
          <w:b w:val="0"/>
          <w:i w:val="0"/>
          <w:strike w:val="0"/>
          <w:color w:val="000000"/>
          <w:sz w:val="16"/>
          <w:szCs w:val="16"/>
          <w:u w:val="none"/>
        </w:rPr>
        <w:t>Spearman rank correlation of the two outcomes' HRs across the five windows: 1.000. Range of the proportion explained across windows: 3.3 percentage points (bootstrap median 16.0; 95% interval 5.8 to 40.3).</w:t>
      </w:r>
    </w:p>
    <w:p w14:paraId="2991371D">
      <w:r>
        <w:br w:type="page"/>
      </w:r>
    </w:p>
    <w:p w14:paraId="79FCBFD2">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S3. Negative control association across pre-specified analytical variants</w:t>
      </w:r>
    </w:p>
    <w:tbl>
      <w:tblPr>
        <w:tblStyle w:val="8"/>
        <w:tblW w:w="0" w:type="auto"/>
        <w:jc w:val="center"/>
        <w:tblLayout w:type="fixed"/>
        <w:tblCellMar>
          <w:top w:w="0" w:type="dxa"/>
          <w:left w:w="108" w:type="dxa"/>
          <w:bottom w:w="0" w:type="dxa"/>
          <w:right w:w="108" w:type="dxa"/>
        </w:tblCellMar>
      </w:tblPr>
      <w:tblGrid>
        <w:gridCol w:w="6048"/>
        <w:gridCol w:w="3168"/>
      </w:tblGrid>
      <w:tr w14:paraId="2E7EC3DA">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25BF13F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Analysis</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6FABD61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HR for cardiovascular death (95% CI)</w:t>
            </w:r>
          </w:p>
        </w:tc>
      </w:tr>
      <w:tr w14:paraId="2217ACB0">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5671EDA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Main analysis</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1CFFDD4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0.528 (0.391–0.701)</w:t>
            </w:r>
          </w:p>
        </w:tc>
      </w:tr>
      <w:tr w14:paraId="09AD4D8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61B93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SA1 local excision (codes 20-27) included</w:t>
            </w:r>
          </w:p>
        </w:tc>
        <w:tc>
          <w:tcPr>
            <w:tcBorders>
              <w:top w:val="nil"/>
              <w:left w:val="nil"/>
              <w:bottom w:val="nil"/>
              <w:right w:val="nil"/>
            </w:tcBorders>
            <w:shd w:val="clear" w:color="auto" w:fill="FFFFFF"/>
            <w:tcMar>
              <w:top w:w="0" w:type="dxa"/>
              <w:left w:w="0" w:type="dxa"/>
              <w:bottom w:w="0" w:type="dxa"/>
              <w:right w:w="0" w:type="dxa"/>
            </w:tcMar>
            <w:vAlign w:val="center"/>
          </w:tcPr>
          <w:p w14:paraId="6D35B34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0.541 (0.404–0.723)</w:t>
            </w:r>
          </w:p>
        </w:tc>
      </w:tr>
      <w:tr w14:paraId="79F2834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F61AF7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SA2 NCO = non-cancer death</w:t>
            </w:r>
          </w:p>
        </w:tc>
        <w:tc>
          <w:tcPr>
            <w:tcBorders>
              <w:top w:val="nil"/>
              <w:left w:val="nil"/>
              <w:bottom w:val="nil"/>
              <w:right w:val="nil"/>
            </w:tcBorders>
            <w:shd w:val="clear" w:color="auto" w:fill="FFFFFF"/>
            <w:tcMar>
              <w:top w:w="0" w:type="dxa"/>
              <w:left w:w="0" w:type="dxa"/>
              <w:bottom w:w="0" w:type="dxa"/>
              <w:right w:w="0" w:type="dxa"/>
            </w:tcMar>
            <w:vAlign w:val="center"/>
          </w:tcPr>
          <w:p w14:paraId="1C59B22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0.584 (0.480–0.689)</w:t>
            </w:r>
          </w:p>
        </w:tc>
      </w:tr>
      <w:tr w14:paraId="34326B5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6863FD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SA3 NCO = cerebrovascular death only</w:t>
            </w:r>
          </w:p>
        </w:tc>
        <w:tc>
          <w:tcPr>
            <w:tcBorders>
              <w:top w:val="nil"/>
              <w:left w:val="nil"/>
              <w:bottom w:val="nil"/>
              <w:right w:val="nil"/>
            </w:tcBorders>
            <w:shd w:val="clear" w:color="auto" w:fill="FFFFFF"/>
            <w:tcMar>
              <w:top w:w="0" w:type="dxa"/>
              <w:left w:w="0" w:type="dxa"/>
              <w:bottom w:w="0" w:type="dxa"/>
              <w:right w:w="0" w:type="dxa"/>
            </w:tcMar>
            <w:vAlign w:val="center"/>
          </w:tcPr>
          <w:p w14:paraId="3125A2C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0.608 (0.316–1.243)</w:t>
            </w:r>
          </w:p>
        </w:tc>
      </w:tr>
      <w:tr w14:paraId="0D3359A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E87819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SA4 brain metastasis at diagnosis excluded</w:t>
            </w:r>
          </w:p>
        </w:tc>
        <w:tc>
          <w:tcPr>
            <w:tcBorders>
              <w:top w:val="nil"/>
              <w:left w:val="nil"/>
              <w:bottom w:val="nil"/>
              <w:right w:val="nil"/>
            </w:tcBorders>
            <w:shd w:val="clear" w:color="auto" w:fill="FFFFFF"/>
            <w:tcMar>
              <w:top w:w="0" w:type="dxa"/>
              <w:left w:w="0" w:type="dxa"/>
              <w:bottom w:w="0" w:type="dxa"/>
              <w:right w:w="0" w:type="dxa"/>
            </w:tcMar>
            <w:vAlign w:val="center"/>
          </w:tcPr>
          <w:p w14:paraId="2D8746A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0.573</w:t>
            </w:r>
          </w:p>
        </w:tc>
      </w:tr>
      <w:tr w14:paraId="1FB028D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3D91AA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SA5 2016-2017 excluded</w:t>
            </w:r>
          </w:p>
        </w:tc>
        <w:tc>
          <w:tcPr>
            <w:tcBorders>
              <w:top w:val="nil"/>
              <w:left w:val="nil"/>
              <w:bottom w:val="nil"/>
              <w:right w:val="nil"/>
            </w:tcBorders>
            <w:shd w:val="clear" w:color="auto" w:fill="FFFFFF"/>
            <w:tcMar>
              <w:top w:w="0" w:type="dxa"/>
              <w:left w:w="0" w:type="dxa"/>
              <w:bottom w:w="0" w:type="dxa"/>
              <w:right w:w="0" w:type="dxa"/>
            </w:tcMar>
            <w:vAlign w:val="center"/>
          </w:tcPr>
          <w:p w14:paraId="0957C69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0.538</w:t>
            </w:r>
          </w:p>
        </w:tc>
      </w:tr>
      <w:tr w14:paraId="7C5F41B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583779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SA6 pre-CARMENA only (2010-2017)</w:t>
            </w:r>
          </w:p>
        </w:tc>
        <w:tc>
          <w:tcPr>
            <w:tcBorders>
              <w:top w:val="nil"/>
              <w:left w:val="nil"/>
              <w:bottom w:val="nil"/>
              <w:right w:val="nil"/>
            </w:tcBorders>
            <w:shd w:val="clear" w:color="auto" w:fill="FFFFFF"/>
            <w:tcMar>
              <w:top w:w="0" w:type="dxa"/>
              <w:left w:w="0" w:type="dxa"/>
              <w:bottom w:w="0" w:type="dxa"/>
              <w:right w:w="0" w:type="dxa"/>
            </w:tcMar>
            <w:vAlign w:val="center"/>
          </w:tcPr>
          <w:p w14:paraId="297BE68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0.538</w:t>
            </w:r>
          </w:p>
        </w:tc>
      </w:tr>
      <w:tr w14:paraId="0923FB8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E495EB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SA7 post-CARMENA only (2018-2022)</w:t>
            </w:r>
          </w:p>
        </w:tc>
        <w:tc>
          <w:tcPr>
            <w:tcBorders>
              <w:top w:val="nil"/>
              <w:left w:val="nil"/>
              <w:bottom w:val="nil"/>
              <w:right w:val="nil"/>
            </w:tcBorders>
            <w:shd w:val="clear" w:color="auto" w:fill="FFFFFF"/>
            <w:tcMar>
              <w:top w:w="0" w:type="dxa"/>
              <w:left w:w="0" w:type="dxa"/>
              <w:bottom w:w="0" w:type="dxa"/>
              <w:right w:w="0" w:type="dxa"/>
            </w:tcMar>
            <w:vAlign w:val="center"/>
          </w:tcPr>
          <w:p w14:paraId="78D999C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0.490</w:t>
            </w:r>
          </w:p>
        </w:tc>
      </w:tr>
      <w:tr w14:paraId="26E5492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ED3FC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SA8a IPTW (ATE)</w:t>
            </w:r>
          </w:p>
        </w:tc>
        <w:tc>
          <w:tcPr>
            <w:tcBorders>
              <w:top w:val="nil"/>
              <w:left w:val="nil"/>
              <w:bottom w:val="nil"/>
              <w:right w:val="nil"/>
            </w:tcBorders>
            <w:shd w:val="clear" w:color="auto" w:fill="FFFFFF"/>
            <w:tcMar>
              <w:top w:w="0" w:type="dxa"/>
              <w:left w:w="0" w:type="dxa"/>
              <w:bottom w:w="0" w:type="dxa"/>
              <w:right w:w="0" w:type="dxa"/>
            </w:tcMar>
            <w:vAlign w:val="center"/>
          </w:tcPr>
          <w:p w14:paraId="5021A75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0.361 (0.254–0.523)</w:t>
            </w:r>
          </w:p>
        </w:tc>
      </w:tr>
      <w:tr w14:paraId="75E0EF4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A8AC9A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SA8b 1:1 matching</w:t>
            </w:r>
          </w:p>
        </w:tc>
        <w:tc>
          <w:tcPr>
            <w:tcBorders>
              <w:top w:val="nil"/>
              <w:left w:val="nil"/>
              <w:bottom w:val="nil"/>
              <w:right w:val="nil"/>
            </w:tcBorders>
            <w:shd w:val="clear" w:color="auto" w:fill="FFFFFF"/>
            <w:tcMar>
              <w:top w:w="0" w:type="dxa"/>
              <w:left w:w="0" w:type="dxa"/>
              <w:bottom w:w="0" w:type="dxa"/>
              <w:right w:w="0" w:type="dxa"/>
            </w:tcMar>
            <w:vAlign w:val="center"/>
          </w:tcPr>
          <w:p w14:paraId="40AB547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0.517</w:t>
            </w:r>
          </w:p>
        </w:tc>
      </w:tr>
      <w:tr w14:paraId="35EED83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63F3A6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SA9 partial nephrectomy (code 30) excluded</w:t>
            </w:r>
          </w:p>
        </w:tc>
        <w:tc>
          <w:tcPr>
            <w:tcBorders>
              <w:top w:val="nil"/>
              <w:left w:val="nil"/>
              <w:bottom w:val="nil"/>
              <w:right w:val="nil"/>
            </w:tcBorders>
            <w:shd w:val="clear" w:color="auto" w:fill="FFFFFF"/>
            <w:tcMar>
              <w:top w:w="0" w:type="dxa"/>
              <w:left w:w="0" w:type="dxa"/>
              <w:bottom w:w="0" w:type="dxa"/>
              <w:right w:w="0" w:type="dxa"/>
            </w:tcMar>
            <w:vAlign w:val="center"/>
          </w:tcPr>
          <w:p w14:paraId="0F94537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0.524 (0.391–0.700)</w:t>
            </w:r>
          </w:p>
        </w:tc>
      </w:tr>
      <w:tr w14:paraId="447B835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520ECC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Age: restricted cubic spline</w:t>
            </w:r>
          </w:p>
        </w:tc>
        <w:tc>
          <w:tcPr>
            <w:tcBorders>
              <w:top w:val="nil"/>
              <w:left w:val="nil"/>
              <w:bottom w:val="nil"/>
              <w:right w:val="nil"/>
            </w:tcBorders>
            <w:shd w:val="clear" w:color="auto" w:fill="FFFFFF"/>
            <w:tcMar>
              <w:top w:w="0" w:type="dxa"/>
              <w:left w:w="0" w:type="dxa"/>
              <w:bottom w:w="0" w:type="dxa"/>
              <w:right w:w="0" w:type="dxa"/>
            </w:tcMar>
            <w:vAlign w:val="center"/>
          </w:tcPr>
          <w:p w14:paraId="088EF81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0.528</w:t>
            </w:r>
          </w:p>
        </w:tc>
      </w:tr>
      <w:tr w14:paraId="2009E4F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1EB9D5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Age: 5-year bands</w:t>
            </w:r>
          </w:p>
        </w:tc>
        <w:tc>
          <w:tcPr>
            <w:tcBorders>
              <w:top w:val="nil"/>
              <w:left w:val="nil"/>
              <w:bottom w:val="nil"/>
              <w:right w:val="nil"/>
            </w:tcBorders>
            <w:shd w:val="clear" w:color="auto" w:fill="FFFFFF"/>
            <w:tcMar>
              <w:top w:w="0" w:type="dxa"/>
              <w:left w:w="0" w:type="dxa"/>
              <w:bottom w:w="0" w:type="dxa"/>
              <w:right w:w="0" w:type="dxa"/>
            </w:tcMar>
            <w:vAlign w:val="center"/>
          </w:tcPr>
          <w:p w14:paraId="35866DB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0.530</w:t>
            </w:r>
          </w:p>
        </w:tc>
      </w:tr>
      <w:tr w14:paraId="3D0E0658">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55FBD29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Age: single years</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9D0CC4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0.525</w:t>
            </w:r>
          </w:p>
        </w:tc>
      </w:tr>
    </w:tbl>
    <w:p w14:paraId="1EA8F0B9">
      <w:pPr>
        <w:pBdr>
          <w:top w:val="none" w:color="000000" w:sz="0" w:space="0"/>
          <w:left w:val="none" w:color="000000" w:sz="0" w:space="0"/>
          <w:bottom w:val="none" w:color="000000" w:sz="0" w:space="0"/>
          <w:right w:val="none" w:color="000000" w:sz="0" w:space="0"/>
        </w:pBdr>
        <w:spacing w:before="60" w:after="0" w:line="264" w:lineRule="auto"/>
        <w:ind w:left="0" w:right="0" w:firstLine="0" w:firstLineChars="0"/>
        <w:jc w:val="left"/>
      </w:pPr>
      <w:r>
        <w:rPr>
          <w:rFonts w:ascii="Times New Roman" w:hAnsi="Times New Roman" w:eastAsia="Times New Roman" w:cs="Times New Roman"/>
          <w:b w:val="0"/>
          <w:i w:val="0"/>
          <w:strike w:val="0"/>
          <w:color w:val="000000"/>
          <w:sz w:val="16"/>
          <w:szCs w:val="16"/>
          <w:u w:val="none"/>
        </w:rPr>
        <w:t>Intervals are shown only where the bootstrap was run; other rows are point estimates pooled over imputations. IPTW-calibrated HR for all-cause death at λ = 1: 1.124 (0.798–1.631). SA9 excluded 250 patients who underwent partial nephrectomy (code 30), restricting the exposure to total, radical or unspecified nephrectomy; HR for all-cause death 0.429 (0.407–0.452); calibrated HR at λ = 1 0.819 (0.620–1.103).</w:t>
      </w:r>
    </w:p>
    <w:p w14:paraId="2FB43F67">
      <w:r>
        <w:br w:type="page"/>
      </w:r>
    </w:p>
    <w:p w14:paraId="5DD3B6FE">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S4. Sensitivity to violation of the exclusion restriction</w:t>
      </w:r>
    </w:p>
    <w:tbl>
      <w:tblPr>
        <w:tblStyle w:val="8"/>
        <w:tblW w:w="0" w:type="auto"/>
        <w:jc w:val="center"/>
        <w:tblLayout w:type="fixed"/>
        <w:tblCellMar>
          <w:top w:w="0" w:type="dxa"/>
          <w:left w:w="108" w:type="dxa"/>
          <w:bottom w:w="0" w:type="dxa"/>
          <w:right w:w="108" w:type="dxa"/>
        </w:tblCellMar>
      </w:tblPr>
      <w:tblGrid>
        <w:gridCol w:w="1872"/>
        <w:gridCol w:w="2592"/>
        <w:gridCol w:w="2592"/>
        <w:gridCol w:w="2304"/>
      </w:tblGrid>
      <w:tr w14:paraId="58566F1A">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09C464C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Assumed direct</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effect, HR (γ)</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3BDFC0F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Implied bias,</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HR (95% CI)</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5960AB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Calibrated all-cause</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HR (95% CI)</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3D138C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Proportion</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explained, %</w:t>
            </w:r>
          </w:p>
        </w:tc>
      </w:tr>
      <w:tr w14:paraId="384D3232">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2A1FE2E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735207C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0.880 (0.651–1.168)</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16C70D3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0.483 (0.366–0.649)</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71562D1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15.0 (−18.2 to 49.6)</w:t>
            </w:r>
          </w:p>
        </w:tc>
      </w:tr>
      <w:tr w14:paraId="579EA13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7064C4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w:t>
            </w:r>
          </w:p>
        </w:tc>
        <w:tc>
          <w:tcPr>
            <w:tcBorders>
              <w:top w:val="nil"/>
              <w:left w:val="nil"/>
              <w:bottom w:val="nil"/>
              <w:right w:val="nil"/>
            </w:tcBorders>
            <w:shd w:val="clear" w:color="auto" w:fill="FFFFFF"/>
            <w:tcMar>
              <w:top w:w="0" w:type="dxa"/>
              <w:left w:w="0" w:type="dxa"/>
              <w:bottom w:w="0" w:type="dxa"/>
              <w:right w:w="0" w:type="dxa"/>
            </w:tcMar>
            <w:vAlign w:val="center"/>
          </w:tcPr>
          <w:p w14:paraId="4B56FED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0.754 (0.558–1.001)</w:t>
            </w:r>
          </w:p>
        </w:tc>
        <w:tc>
          <w:tcPr>
            <w:tcBorders>
              <w:top w:val="nil"/>
              <w:left w:val="nil"/>
              <w:bottom w:val="nil"/>
              <w:right w:val="nil"/>
            </w:tcBorders>
            <w:shd w:val="clear" w:color="auto" w:fill="FFFFFF"/>
            <w:tcMar>
              <w:top w:w="0" w:type="dxa"/>
              <w:left w:w="0" w:type="dxa"/>
              <w:bottom w:w="0" w:type="dxa"/>
              <w:right w:w="0" w:type="dxa"/>
            </w:tcMar>
            <w:vAlign w:val="center"/>
          </w:tcPr>
          <w:p w14:paraId="7820A30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0.563 (0.427–0.758)</w:t>
            </w:r>
          </w:p>
        </w:tc>
        <w:tc>
          <w:tcPr>
            <w:tcBorders>
              <w:top w:val="nil"/>
              <w:left w:val="nil"/>
              <w:bottom w:val="nil"/>
              <w:right w:val="nil"/>
            </w:tcBorders>
            <w:shd w:val="clear" w:color="auto" w:fill="FFFFFF"/>
            <w:tcMar>
              <w:top w:w="0" w:type="dxa"/>
              <w:left w:w="0" w:type="dxa"/>
              <w:bottom w:w="0" w:type="dxa"/>
              <w:right w:w="0" w:type="dxa"/>
            </w:tcMar>
            <w:vAlign w:val="center"/>
          </w:tcPr>
          <w:p w14:paraId="4036600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33.0 (−0.1 to 67.3)</w:t>
            </w:r>
          </w:p>
        </w:tc>
      </w:tr>
      <w:tr w14:paraId="3827B9D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7150EB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w:t>
            </w:r>
          </w:p>
        </w:tc>
        <w:tc>
          <w:tcPr>
            <w:tcBorders>
              <w:top w:val="nil"/>
              <w:left w:val="nil"/>
              <w:bottom w:val="nil"/>
              <w:right w:val="nil"/>
            </w:tcBorders>
            <w:shd w:val="clear" w:color="auto" w:fill="FFFFFF"/>
            <w:tcMar>
              <w:top w:w="0" w:type="dxa"/>
              <w:left w:w="0" w:type="dxa"/>
              <w:bottom w:w="0" w:type="dxa"/>
              <w:right w:w="0" w:type="dxa"/>
            </w:tcMar>
            <w:vAlign w:val="center"/>
          </w:tcPr>
          <w:p w14:paraId="5F5B733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0.660 (0.489–0.876)</w:t>
            </w:r>
          </w:p>
        </w:tc>
        <w:tc>
          <w:tcPr>
            <w:tcBorders>
              <w:top w:val="nil"/>
              <w:left w:val="nil"/>
              <w:bottom w:val="nil"/>
              <w:right w:val="nil"/>
            </w:tcBorders>
            <w:shd w:val="clear" w:color="auto" w:fill="FFFFFF"/>
            <w:tcMar>
              <w:top w:w="0" w:type="dxa"/>
              <w:left w:w="0" w:type="dxa"/>
              <w:bottom w:w="0" w:type="dxa"/>
              <w:right w:w="0" w:type="dxa"/>
            </w:tcMar>
            <w:vAlign w:val="center"/>
          </w:tcPr>
          <w:p w14:paraId="7EAFF5B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0.643 (0.488–0.866)</w:t>
            </w:r>
          </w:p>
        </w:tc>
        <w:tc>
          <w:tcPr>
            <w:tcBorders>
              <w:top w:val="nil"/>
              <w:left w:val="nil"/>
              <w:bottom w:val="nil"/>
              <w:right w:val="nil"/>
            </w:tcBorders>
            <w:shd w:val="clear" w:color="auto" w:fill="FFFFFF"/>
            <w:tcMar>
              <w:top w:w="0" w:type="dxa"/>
              <w:left w:w="0" w:type="dxa"/>
              <w:bottom w:w="0" w:type="dxa"/>
              <w:right w:w="0" w:type="dxa"/>
            </w:tcMar>
            <w:vAlign w:val="center"/>
          </w:tcPr>
          <w:p w14:paraId="1CD74A4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48.5 (15.6 to 83.1)</w:t>
            </w:r>
          </w:p>
        </w:tc>
      </w:tr>
      <w:tr w14:paraId="09AD9BA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A44A5A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0.9</w:t>
            </w:r>
          </w:p>
        </w:tc>
        <w:tc>
          <w:tcPr>
            <w:tcBorders>
              <w:top w:val="nil"/>
              <w:left w:val="nil"/>
              <w:bottom w:val="nil"/>
              <w:right w:val="nil"/>
            </w:tcBorders>
            <w:shd w:val="clear" w:color="auto" w:fill="FFFFFF"/>
            <w:tcMar>
              <w:top w:w="0" w:type="dxa"/>
              <w:left w:w="0" w:type="dxa"/>
              <w:bottom w:w="0" w:type="dxa"/>
              <w:right w:w="0" w:type="dxa"/>
            </w:tcMar>
            <w:vAlign w:val="center"/>
          </w:tcPr>
          <w:p w14:paraId="37371CC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0.586 (0.434–0.779)</w:t>
            </w:r>
          </w:p>
        </w:tc>
        <w:tc>
          <w:tcPr>
            <w:tcBorders>
              <w:top w:val="nil"/>
              <w:left w:val="nil"/>
              <w:bottom w:val="nil"/>
              <w:right w:val="nil"/>
            </w:tcBorders>
            <w:shd w:val="clear" w:color="auto" w:fill="FFFFFF"/>
            <w:tcMar>
              <w:top w:w="0" w:type="dxa"/>
              <w:left w:w="0" w:type="dxa"/>
              <w:bottom w:w="0" w:type="dxa"/>
              <w:right w:w="0" w:type="dxa"/>
            </w:tcMar>
            <w:vAlign w:val="center"/>
          </w:tcPr>
          <w:p w14:paraId="775AED1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0.724 (0.549–0.974)</w:t>
            </w:r>
          </w:p>
        </w:tc>
        <w:tc>
          <w:tcPr>
            <w:tcBorders>
              <w:top w:val="nil"/>
              <w:left w:val="nil"/>
              <w:bottom w:val="nil"/>
              <w:right w:val="nil"/>
            </w:tcBorders>
            <w:shd w:val="clear" w:color="auto" w:fill="FFFFFF"/>
            <w:tcMar>
              <w:top w:w="0" w:type="dxa"/>
              <w:left w:w="0" w:type="dxa"/>
              <w:bottom w:w="0" w:type="dxa"/>
              <w:right w:w="0" w:type="dxa"/>
            </w:tcMar>
            <w:vAlign w:val="center"/>
          </w:tcPr>
          <w:p w14:paraId="230B792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62.3 (29.6 to 97.0)</w:t>
            </w:r>
          </w:p>
        </w:tc>
      </w:tr>
      <w:tr w14:paraId="0D74480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A7B605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1.0</w:t>
            </w:r>
          </w:p>
        </w:tc>
        <w:tc>
          <w:tcPr>
            <w:tcBorders>
              <w:top w:val="nil"/>
              <w:left w:val="nil"/>
              <w:bottom w:val="nil"/>
              <w:right w:val="nil"/>
            </w:tcBorders>
            <w:shd w:val="clear" w:color="auto" w:fill="FFFFFF"/>
            <w:tcMar>
              <w:top w:w="0" w:type="dxa"/>
              <w:left w:w="0" w:type="dxa"/>
              <w:bottom w:w="0" w:type="dxa"/>
              <w:right w:w="0" w:type="dxa"/>
            </w:tcMar>
            <w:vAlign w:val="center"/>
          </w:tcPr>
          <w:p w14:paraId="103E96F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0.528 (0.391–0.701)</w:t>
            </w:r>
          </w:p>
        </w:tc>
        <w:tc>
          <w:tcPr>
            <w:tcBorders>
              <w:top w:val="nil"/>
              <w:left w:val="nil"/>
              <w:bottom w:val="nil"/>
              <w:right w:val="nil"/>
            </w:tcBorders>
            <w:shd w:val="clear" w:color="auto" w:fill="FFFFFF"/>
            <w:tcMar>
              <w:top w:w="0" w:type="dxa"/>
              <w:left w:w="0" w:type="dxa"/>
              <w:bottom w:w="0" w:type="dxa"/>
              <w:right w:w="0" w:type="dxa"/>
            </w:tcMar>
            <w:vAlign w:val="center"/>
          </w:tcPr>
          <w:p w14:paraId="680BE51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0.804 (0.610–1.082)</w:t>
            </w:r>
          </w:p>
        </w:tc>
        <w:tc>
          <w:tcPr>
            <w:tcBorders>
              <w:top w:val="nil"/>
              <w:left w:val="nil"/>
              <w:bottom w:val="nil"/>
              <w:right w:val="nil"/>
            </w:tcBorders>
            <w:shd w:val="clear" w:color="auto" w:fill="FFFFFF"/>
            <w:tcMar>
              <w:top w:w="0" w:type="dxa"/>
              <w:left w:w="0" w:type="dxa"/>
              <w:bottom w:w="0" w:type="dxa"/>
              <w:right w:w="0" w:type="dxa"/>
            </w:tcMar>
            <w:vAlign w:val="center"/>
          </w:tcPr>
          <w:p w14:paraId="23B71CC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74.6 (42.0 to 108.9)</w:t>
            </w:r>
          </w:p>
        </w:tc>
      </w:tr>
      <w:tr w14:paraId="6BD4A90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4DE32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w:t>
            </w:r>
          </w:p>
        </w:tc>
        <w:tc>
          <w:tcPr>
            <w:tcBorders>
              <w:top w:val="nil"/>
              <w:left w:val="nil"/>
              <w:bottom w:val="nil"/>
              <w:right w:val="nil"/>
            </w:tcBorders>
            <w:shd w:val="clear" w:color="auto" w:fill="FFFFFF"/>
            <w:tcMar>
              <w:top w:w="0" w:type="dxa"/>
              <w:left w:w="0" w:type="dxa"/>
              <w:bottom w:w="0" w:type="dxa"/>
              <w:right w:w="0" w:type="dxa"/>
            </w:tcMar>
            <w:vAlign w:val="center"/>
          </w:tcPr>
          <w:p w14:paraId="0CBD61A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0.480 (0.355–0.637)</w:t>
            </w:r>
          </w:p>
        </w:tc>
        <w:tc>
          <w:tcPr>
            <w:tcBorders>
              <w:top w:val="nil"/>
              <w:left w:val="nil"/>
              <w:bottom w:val="nil"/>
              <w:right w:val="nil"/>
            </w:tcBorders>
            <w:shd w:val="clear" w:color="auto" w:fill="FFFFFF"/>
            <w:tcMar>
              <w:top w:w="0" w:type="dxa"/>
              <w:left w:w="0" w:type="dxa"/>
              <w:bottom w:w="0" w:type="dxa"/>
              <w:right w:w="0" w:type="dxa"/>
            </w:tcMar>
            <w:vAlign w:val="center"/>
          </w:tcPr>
          <w:p w14:paraId="07F8D08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0.885 (0.670–1.191)</w:t>
            </w:r>
          </w:p>
        </w:tc>
        <w:tc>
          <w:tcPr>
            <w:tcBorders>
              <w:top w:val="nil"/>
              <w:left w:val="nil"/>
              <w:bottom w:val="nil"/>
              <w:right w:val="nil"/>
            </w:tcBorders>
            <w:shd w:val="clear" w:color="auto" w:fill="FFFFFF"/>
            <w:tcMar>
              <w:top w:w="0" w:type="dxa"/>
              <w:left w:w="0" w:type="dxa"/>
              <w:bottom w:w="0" w:type="dxa"/>
              <w:right w:w="0" w:type="dxa"/>
            </w:tcMar>
            <w:vAlign w:val="center"/>
          </w:tcPr>
          <w:p w14:paraId="09219E5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85.7 (53.2 to 119.9)</w:t>
            </w:r>
          </w:p>
        </w:tc>
      </w:tr>
      <w:tr w14:paraId="7A33224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0F8879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w:t>
            </w:r>
          </w:p>
        </w:tc>
        <w:tc>
          <w:tcPr>
            <w:tcBorders>
              <w:top w:val="nil"/>
              <w:left w:val="nil"/>
              <w:bottom w:val="nil"/>
              <w:right w:val="nil"/>
            </w:tcBorders>
            <w:shd w:val="clear" w:color="auto" w:fill="FFFFFF"/>
            <w:tcMar>
              <w:top w:w="0" w:type="dxa"/>
              <w:left w:w="0" w:type="dxa"/>
              <w:bottom w:w="0" w:type="dxa"/>
              <w:right w:w="0" w:type="dxa"/>
            </w:tcMar>
            <w:vAlign w:val="center"/>
          </w:tcPr>
          <w:p w14:paraId="12B0FD5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0.440 (0.326–0.584)</w:t>
            </w:r>
          </w:p>
        </w:tc>
        <w:tc>
          <w:tcPr>
            <w:tcBorders>
              <w:top w:val="nil"/>
              <w:left w:val="nil"/>
              <w:bottom w:val="nil"/>
              <w:right w:val="nil"/>
            </w:tcBorders>
            <w:shd w:val="clear" w:color="auto" w:fill="FFFFFF"/>
            <w:tcMar>
              <w:top w:w="0" w:type="dxa"/>
              <w:left w:w="0" w:type="dxa"/>
              <w:bottom w:w="0" w:type="dxa"/>
              <w:right w:w="0" w:type="dxa"/>
            </w:tcMar>
            <w:vAlign w:val="center"/>
          </w:tcPr>
          <w:p w14:paraId="743785F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0.965 (0.731–1.299)</w:t>
            </w:r>
          </w:p>
        </w:tc>
        <w:tc>
          <w:tcPr>
            <w:tcBorders>
              <w:top w:val="nil"/>
              <w:left w:val="nil"/>
              <w:bottom w:val="nil"/>
              <w:right w:val="nil"/>
            </w:tcBorders>
            <w:shd w:val="clear" w:color="auto" w:fill="FFFFFF"/>
            <w:tcMar>
              <w:top w:w="0" w:type="dxa"/>
              <w:left w:w="0" w:type="dxa"/>
              <w:bottom w:w="0" w:type="dxa"/>
              <w:right w:w="0" w:type="dxa"/>
            </w:tcMar>
            <w:vAlign w:val="center"/>
          </w:tcPr>
          <w:p w14:paraId="089BF00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95.9 (63.6 to 130.2)</w:t>
            </w:r>
          </w:p>
        </w:tc>
      </w:tr>
      <w:tr w14:paraId="1EC9420A">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160880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9B7985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0.406 (0.301–0.539)</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55AF84C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1.046 (0.792–1.407)</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497CDB3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105.2 (73.2 to 139.9)</w:t>
            </w:r>
          </w:p>
        </w:tc>
      </w:tr>
    </w:tbl>
    <w:p w14:paraId="2CBD171F">
      <w:pPr>
        <w:pBdr>
          <w:top w:val="none" w:color="000000" w:sz="0" w:space="0"/>
          <w:left w:val="none" w:color="000000" w:sz="0" w:space="0"/>
          <w:bottom w:val="none" w:color="000000" w:sz="0" w:space="0"/>
          <w:right w:val="none" w:color="000000" w:sz="0" w:space="0"/>
        </w:pBdr>
        <w:spacing w:before="60" w:after="0" w:line="264" w:lineRule="auto"/>
        <w:ind w:left="0" w:right="0" w:firstLine="0" w:firstLineChars="0"/>
        <w:jc w:val="left"/>
      </w:pPr>
      <w:r>
        <w:rPr>
          <w:rFonts w:ascii="Times New Roman" w:hAnsi="Times New Roman" w:eastAsia="Times New Roman" w:cs="Times New Roman"/>
          <w:b w:val="0"/>
          <w:i w:val="0"/>
          <w:strike w:val="0"/>
          <w:color w:val="000000"/>
          <w:sz w:val="16"/>
          <w:szCs w:val="16"/>
          <w:u w:val="none"/>
        </w:rPr>
        <w:t>γ is the assumed causal effect of nephrectomy on the negative control outcome. γ = 1 (bold) corresponds to the exclusion restriction; γ &gt; 1 represents harm (for example, reduced renal function) and γ &lt; 1 benefit (for example, removal of tumour thrombus). Implied bias = observed negative control HR / γ; calibration at λ = 1. The all-cause association is fully explained by bias when γ = 1.24; the negative control association is entirely causal only when γ = 0.53.</w:t>
      </w:r>
    </w:p>
    <w:p w14:paraId="0475967E">
      <w:r>
        <w:br w:type="page"/>
      </w:r>
    </w:p>
    <w:p w14:paraId="292D0A9E">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S5. Negative control association within age strata</w:t>
      </w:r>
    </w:p>
    <w:tbl>
      <w:tblPr>
        <w:tblStyle w:val="8"/>
        <w:tblW w:w="0" w:type="auto"/>
        <w:jc w:val="center"/>
        <w:tblLayout w:type="fixed"/>
        <w:tblCellMar>
          <w:top w:w="0" w:type="dxa"/>
          <w:left w:w="108" w:type="dxa"/>
          <w:bottom w:w="0" w:type="dxa"/>
          <w:right w:w="108" w:type="dxa"/>
        </w:tblCellMar>
      </w:tblPr>
      <w:tblGrid>
        <w:gridCol w:w="2592"/>
        <w:gridCol w:w="2592"/>
        <w:gridCol w:w="2592"/>
      </w:tblGrid>
      <w:tr w14:paraId="46471E33">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6FD0B01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Age stratum</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701936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Cardiovascular deaths</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792834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HR (point estimate)</w:t>
            </w:r>
          </w:p>
        </w:tc>
      </w:tr>
      <w:tr w14:paraId="7AAF2DE3">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0A8BAD6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&lt;50 years</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5C282B8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10</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7C40151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0.039</w:t>
            </w:r>
          </w:p>
        </w:tc>
      </w:tr>
      <w:tr w14:paraId="4C7F97F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C5A663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50-69 years</w:t>
            </w:r>
          </w:p>
        </w:tc>
        <w:tc>
          <w:tcPr>
            <w:tcBorders>
              <w:top w:val="nil"/>
              <w:left w:val="nil"/>
              <w:bottom w:val="nil"/>
              <w:right w:val="nil"/>
            </w:tcBorders>
            <w:shd w:val="clear" w:color="auto" w:fill="FFFFFF"/>
            <w:tcMar>
              <w:top w:w="0" w:type="dxa"/>
              <w:left w:w="0" w:type="dxa"/>
              <w:bottom w:w="0" w:type="dxa"/>
              <w:right w:w="0" w:type="dxa"/>
            </w:tcMar>
            <w:vAlign w:val="center"/>
          </w:tcPr>
          <w:p w14:paraId="4BC32E4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214</w:t>
            </w:r>
          </w:p>
        </w:tc>
        <w:tc>
          <w:tcPr>
            <w:tcBorders>
              <w:top w:val="nil"/>
              <w:left w:val="nil"/>
              <w:bottom w:val="nil"/>
              <w:right w:val="nil"/>
            </w:tcBorders>
            <w:shd w:val="clear" w:color="auto" w:fill="FFFFFF"/>
            <w:tcMar>
              <w:top w:w="0" w:type="dxa"/>
              <w:left w:w="0" w:type="dxa"/>
              <w:bottom w:w="0" w:type="dxa"/>
              <w:right w:w="0" w:type="dxa"/>
            </w:tcMar>
            <w:vAlign w:val="center"/>
          </w:tcPr>
          <w:p w14:paraId="6510ED2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0.487</w:t>
            </w:r>
          </w:p>
        </w:tc>
      </w:tr>
      <w:tr w14:paraId="03697BF3">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416725C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≥70 years</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43CA363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170</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9F2788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0.712</w:t>
            </w:r>
          </w:p>
        </w:tc>
      </w:tr>
    </w:tbl>
    <w:p w14:paraId="7AFE8EE9">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pPr>
      <w:r>
        <w:rPr>
          <w:rFonts w:ascii="Arial" w:hAnsi="Arial" w:eastAsia="Arial" w:cs="Arial"/>
          <w:b w:val="0"/>
          <w:i w:val="0"/>
          <w:strike w:val="0"/>
          <w:color w:val="000000"/>
          <w:sz w:val="12"/>
          <w:szCs w:val="12"/>
          <w:u w:val="none"/>
        </w:rPr>
        <w:t xml:space="preserve"> </w:t>
      </w:r>
    </w:p>
    <w:p w14:paraId="46BBF588">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S6. Model diagnostics</w:t>
      </w:r>
    </w:p>
    <w:tbl>
      <w:tblPr>
        <w:tblStyle w:val="8"/>
        <w:tblW w:w="0" w:type="auto"/>
        <w:jc w:val="center"/>
        <w:tblLayout w:type="fixed"/>
        <w:tblCellMar>
          <w:top w:w="0" w:type="dxa"/>
          <w:left w:w="108" w:type="dxa"/>
          <w:bottom w:w="0" w:type="dxa"/>
          <w:right w:w="108" w:type="dxa"/>
        </w:tblCellMar>
      </w:tblPr>
      <w:tblGrid>
        <w:gridCol w:w="6048"/>
        <w:gridCol w:w="2304"/>
      </w:tblGrid>
      <w:tr w14:paraId="0C19B202">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5C66C8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Diagnostic</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19BEC9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Value</w:t>
            </w:r>
          </w:p>
        </w:tc>
      </w:tr>
      <w:tr w14:paraId="20381710">
        <w:tblPrEx>
          <w:tblCellMar>
            <w:top w:w="0" w:type="dxa"/>
            <w:left w:w="108" w:type="dxa"/>
            <w:bottom w:w="0" w:type="dxa"/>
            <w:right w:w="108" w:type="dxa"/>
          </w:tblCellMar>
        </w:tblPrEx>
        <w:trPr>
          <w:trHeight w:val="0" w:hRule="atLeast"/>
          <w:jc w:val="center"/>
        </w:trPr>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78E87DA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Propensity score c-statistic</w:t>
            </w:r>
          </w:p>
        </w:tc>
        <w:tc>
          <w:tcPr>
            <w:tcBorders>
              <w:top w:val="single" w:color="000000" w:sz="6" w:space="0"/>
              <w:left w:val="nil"/>
              <w:bottom w:val="nil"/>
              <w:right w:val="nil"/>
            </w:tcBorders>
            <w:shd w:val="clear" w:color="auto" w:fill="FFFFFF"/>
            <w:tcMar>
              <w:top w:w="0" w:type="dxa"/>
              <w:left w:w="0" w:type="dxa"/>
              <w:bottom w:w="0" w:type="dxa"/>
              <w:right w:w="0" w:type="dxa"/>
            </w:tcMar>
            <w:vAlign w:val="center"/>
          </w:tcPr>
          <w:p w14:paraId="335ECEB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0.888</w:t>
            </w:r>
          </w:p>
        </w:tc>
      </w:tr>
      <w:tr w14:paraId="2B75BE2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FBF064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Patients outside common support, %</w:t>
            </w:r>
          </w:p>
        </w:tc>
        <w:tc>
          <w:tcPr>
            <w:tcBorders>
              <w:top w:val="nil"/>
              <w:left w:val="nil"/>
              <w:bottom w:val="nil"/>
              <w:right w:val="nil"/>
            </w:tcBorders>
            <w:shd w:val="clear" w:color="auto" w:fill="FFFFFF"/>
            <w:tcMar>
              <w:top w:w="0" w:type="dxa"/>
              <w:left w:w="0" w:type="dxa"/>
              <w:bottom w:w="0" w:type="dxa"/>
              <w:right w:w="0" w:type="dxa"/>
            </w:tcMar>
            <w:vAlign w:val="center"/>
          </w:tcPr>
          <w:p w14:paraId="4B9B2F7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1.59</w:t>
            </w:r>
          </w:p>
        </w:tc>
      </w:tr>
      <w:tr w14:paraId="24984CA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9E2EF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Effective sample size,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4F4A3CE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3,862</w:t>
            </w:r>
          </w:p>
        </w:tc>
      </w:tr>
      <w:tr w14:paraId="7419472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9E82BF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Effective sample size,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4919AF6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4,865</w:t>
            </w:r>
          </w:p>
        </w:tc>
      </w:tr>
      <w:tr w14:paraId="35814F1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154774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Proportional hazards test P, all-cause death</w:t>
            </w:r>
          </w:p>
        </w:tc>
        <w:tc>
          <w:tcPr>
            <w:tcBorders>
              <w:top w:val="nil"/>
              <w:left w:val="nil"/>
              <w:bottom w:val="nil"/>
              <w:right w:val="nil"/>
            </w:tcBorders>
            <w:shd w:val="clear" w:color="auto" w:fill="FFFFFF"/>
            <w:tcMar>
              <w:top w:w="0" w:type="dxa"/>
              <w:left w:w="0" w:type="dxa"/>
              <w:bottom w:w="0" w:type="dxa"/>
              <w:right w:w="0" w:type="dxa"/>
            </w:tcMar>
            <w:vAlign w:val="center"/>
          </w:tcPr>
          <w:p w14:paraId="1CE2E7B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&lt;0.001</w:t>
            </w:r>
          </w:p>
        </w:tc>
      </w:tr>
      <w:tr w14:paraId="65C8BA0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69F6DF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Proportional hazards test P, cardiovascular death</w:t>
            </w:r>
          </w:p>
        </w:tc>
        <w:tc>
          <w:tcPr>
            <w:tcBorders>
              <w:top w:val="nil"/>
              <w:left w:val="nil"/>
              <w:bottom w:val="nil"/>
              <w:right w:val="nil"/>
            </w:tcBorders>
            <w:shd w:val="clear" w:color="auto" w:fill="FFFFFF"/>
            <w:tcMar>
              <w:top w:w="0" w:type="dxa"/>
              <w:left w:w="0" w:type="dxa"/>
              <w:bottom w:w="0" w:type="dxa"/>
              <w:right w:w="0" w:type="dxa"/>
            </w:tcMar>
            <w:vAlign w:val="center"/>
          </w:tcPr>
          <w:p w14:paraId="65D8BFD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0.54</w:t>
            </w:r>
          </w:p>
        </w:tc>
      </w:tr>
      <w:tr w14:paraId="4BCAB7E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83213E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E-value, all-cause death</w:t>
            </w:r>
          </w:p>
        </w:tc>
        <w:tc>
          <w:tcPr>
            <w:tcBorders>
              <w:top w:val="nil"/>
              <w:left w:val="nil"/>
              <w:bottom w:val="nil"/>
              <w:right w:val="nil"/>
            </w:tcBorders>
            <w:shd w:val="clear" w:color="auto" w:fill="FFFFFF"/>
            <w:tcMar>
              <w:top w:w="0" w:type="dxa"/>
              <w:left w:w="0" w:type="dxa"/>
              <w:bottom w:w="0" w:type="dxa"/>
              <w:right w:w="0" w:type="dxa"/>
            </w:tcMar>
            <w:vAlign w:val="center"/>
          </w:tcPr>
          <w:p w14:paraId="0F6599F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3.00</w:t>
            </w:r>
          </w:p>
        </w:tc>
      </w:tr>
      <w:tr w14:paraId="2881E04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1E0CA0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E-value, cardiovascular death</w:t>
            </w:r>
          </w:p>
        </w:tc>
        <w:tc>
          <w:tcPr>
            <w:tcBorders>
              <w:top w:val="nil"/>
              <w:left w:val="nil"/>
              <w:bottom w:val="nil"/>
              <w:right w:val="nil"/>
            </w:tcBorders>
            <w:shd w:val="clear" w:color="auto" w:fill="FFFFFF"/>
            <w:tcMar>
              <w:top w:w="0" w:type="dxa"/>
              <w:left w:w="0" w:type="dxa"/>
              <w:bottom w:w="0" w:type="dxa"/>
              <w:right w:w="0" w:type="dxa"/>
            </w:tcMar>
            <w:vAlign w:val="center"/>
          </w:tcPr>
          <w:p w14:paraId="6BB76FB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2.48</w:t>
            </w:r>
          </w:p>
        </w:tc>
      </w:tr>
      <w:tr w14:paraId="7A3FA0F9">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4E5FFC8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Bootstrap resamples completed</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5C33538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499</w:t>
            </w:r>
          </w:p>
        </w:tc>
      </w:tr>
    </w:tbl>
    <w:p w14:paraId="451B34A4">
      <w:pPr>
        <w:keepNext w:val="0"/>
        <w:pageBreakBefore w:val="0"/>
        <w:spacing w:before="0" w:after="120" w:line="276" w:lineRule="auto"/>
      </w:pPr>
      <w:r>
        <w:br w:type="page"/>
      </w:r>
    </w:p>
    <w:p w14:paraId="2D49640B">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S7. Primary analysis and 3-month landmark analysis compared</w:t>
      </w:r>
    </w:p>
    <w:tbl>
      <w:tblPr>
        <w:tblStyle w:val="8"/>
        <w:tblW w:w="0" w:type="auto"/>
        <w:jc w:val="center"/>
        <w:tblLayout w:type="fixed"/>
        <w:tblCellMar>
          <w:top w:w="0" w:type="dxa"/>
          <w:left w:w="108" w:type="dxa"/>
          <w:bottom w:w="0" w:type="dxa"/>
          <w:right w:w="108" w:type="dxa"/>
        </w:tblCellMar>
      </w:tblPr>
      <w:tblGrid>
        <w:gridCol w:w="4752"/>
        <w:gridCol w:w="2448"/>
        <w:gridCol w:w="2448"/>
      </w:tblGrid>
      <w:tr w14:paraId="7EBB7E18">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31C8C0E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Measure</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35F43CF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Primary analysis</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(from diagnosis)</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0917DC1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3-month landmark</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analysis</w:t>
            </w:r>
          </w:p>
        </w:tc>
      </w:tr>
      <w:tr w14:paraId="43B69008">
        <w:tblPrEx>
          <w:tblCellMar>
            <w:top w:w="0" w:type="dxa"/>
            <w:left w:w="108" w:type="dxa"/>
            <w:bottom w:w="0" w:type="dxa"/>
            <w:right w:w="108" w:type="dxa"/>
          </w:tblCellMar>
        </w:tblPrEx>
        <w:trPr>
          <w:trHeight w:val="0" w:hRule="atLeast"/>
          <w:jc w:val="center"/>
        </w:trPr>
        <w:tc>
          <w:tcPr>
            <w:gridSpan w:val="3"/>
            <w:tcBorders>
              <w:top w:val="single" w:color="000000" w:sz="6" w:space="0"/>
              <w:left w:val="nil"/>
              <w:bottom w:val="nil"/>
              <w:right w:val="nil"/>
            </w:tcBorders>
            <w:shd w:val="clear" w:color="auto" w:fill="EFEFEF"/>
            <w:tcMar>
              <w:top w:w="0" w:type="dxa"/>
              <w:left w:w="0" w:type="dxa"/>
              <w:bottom w:w="0" w:type="dxa"/>
              <w:right w:w="0" w:type="dxa"/>
            </w:tcMar>
            <w:vAlign w:val="center"/>
          </w:tcPr>
          <w:p w14:paraId="26BA822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Cohort</w:t>
            </w:r>
          </w:p>
        </w:tc>
      </w:tr>
      <w:tr w14:paraId="7A2EF75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13F78D4">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Patients, n</w:t>
            </w:r>
          </w:p>
        </w:tc>
        <w:tc>
          <w:tcPr>
            <w:tcBorders>
              <w:top w:val="nil"/>
              <w:left w:val="nil"/>
              <w:bottom w:val="nil"/>
              <w:right w:val="nil"/>
            </w:tcBorders>
            <w:shd w:val="clear" w:color="auto" w:fill="FFFFFF"/>
            <w:tcMar>
              <w:top w:w="0" w:type="dxa"/>
              <w:left w:w="0" w:type="dxa"/>
              <w:bottom w:w="0" w:type="dxa"/>
              <w:right w:w="0" w:type="dxa"/>
            </w:tcMar>
            <w:vAlign w:val="center"/>
          </w:tcPr>
          <w:p w14:paraId="1BD6EAD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16,736</w:t>
            </w:r>
          </w:p>
        </w:tc>
        <w:tc>
          <w:tcPr>
            <w:tcBorders>
              <w:top w:val="nil"/>
              <w:left w:val="nil"/>
              <w:bottom w:val="nil"/>
              <w:right w:val="nil"/>
            </w:tcBorders>
            <w:shd w:val="clear" w:color="auto" w:fill="FFFFFF"/>
            <w:tcMar>
              <w:top w:w="0" w:type="dxa"/>
              <w:left w:w="0" w:type="dxa"/>
              <w:bottom w:w="0" w:type="dxa"/>
              <w:right w:w="0" w:type="dxa"/>
            </w:tcMar>
            <w:vAlign w:val="center"/>
          </w:tcPr>
          <w:p w14:paraId="04EDE3B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13,172</w:t>
            </w:r>
          </w:p>
        </w:tc>
      </w:tr>
      <w:tr w14:paraId="2F59055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F7CBC4">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Nephrectomy, n (%)</w:t>
            </w:r>
          </w:p>
        </w:tc>
        <w:tc>
          <w:tcPr>
            <w:tcBorders>
              <w:top w:val="nil"/>
              <w:left w:val="nil"/>
              <w:bottom w:val="nil"/>
              <w:right w:val="nil"/>
            </w:tcBorders>
            <w:shd w:val="clear" w:color="auto" w:fill="FFFFFF"/>
            <w:tcMar>
              <w:top w:w="0" w:type="dxa"/>
              <w:left w:w="0" w:type="dxa"/>
              <w:bottom w:w="0" w:type="dxa"/>
              <w:right w:w="0" w:type="dxa"/>
            </w:tcMar>
            <w:vAlign w:val="center"/>
          </w:tcPr>
          <w:p w14:paraId="587501C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5,988 (35.8)</w:t>
            </w:r>
          </w:p>
        </w:tc>
        <w:tc>
          <w:tcPr>
            <w:tcBorders>
              <w:top w:val="nil"/>
              <w:left w:val="nil"/>
              <w:bottom w:val="nil"/>
              <w:right w:val="nil"/>
            </w:tcBorders>
            <w:shd w:val="clear" w:color="auto" w:fill="FFFFFF"/>
            <w:tcMar>
              <w:top w:w="0" w:type="dxa"/>
              <w:left w:w="0" w:type="dxa"/>
              <w:bottom w:w="0" w:type="dxa"/>
              <w:right w:w="0" w:type="dxa"/>
            </w:tcMar>
            <w:vAlign w:val="center"/>
          </w:tcPr>
          <w:p w14:paraId="1ADEF19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5,609 (42.6)</w:t>
            </w:r>
          </w:p>
        </w:tc>
      </w:tr>
      <w:tr w14:paraId="0BF995D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E0AE93B">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Median follow-up (IQR), months</w:t>
            </w:r>
          </w:p>
        </w:tc>
        <w:tc>
          <w:tcPr>
            <w:tcBorders>
              <w:top w:val="nil"/>
              <w:left w:val="nil"/>
              <w:bottom w:val="nil"/>
              <w:right w:val="nil"/>
            </w:tcBorders>
            <w:shd w:val="clear" w:color="auto" w:fill="FFFFFF"/>
            <w:tcMar>
              <w:top w:w="0" w:type="dxa"/>
              <w:left w:w="0" w:type="dxa"/>
              <w:bottom w:w="0" w:type="dxa"/>
              <w:right w:w="0" w:type="dxa"/>
            </w:tcMar>
            <w:vAlign w:val="center"/>
          </w:tcPr>
          <w:p w14:paraId="766FDA1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69 (38–109)</w:t>
            </w:r>
          </w:p>
        </w:tc>
        <w:tc>
          <w:tcPr>
            <w:tcBorders>
              <w:top w:val="nil"/>
              <w:left w:val="nil"/>
              <w:bottom w:val="nil"/>
              <w:right w:val="nil"/>
            </w:tcBorders>
            <w:shd w:val="clear" w:color="auto" w:fill="FFFFFF"/>
            <w:tcMar>
              <w:top w:w="0" w:type="dxa"/>
              <w:left w:w="0" w:type="dxa"/>
              <w:bottom w:w="0" w:type="dxa"/>
              <w:right w:w="0" w:type="dxa"/>
            </w:tcMar>
            <w:vAlign w:val="center"/>
          </w:tcPr>
          <w:p w14:paraId="2D8FA7A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66 (35–106)</w:t>
            </w:r>
          </w:p>
        </w:tc>
      </w:tr>
      <w:tr w14:paraId="6F3F1A4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C96505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All-cause deaths,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3676D77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4,203 / 9,418</w:t>
            </w:r>
          </w:p>
        </w:tc>
        <w:tc>
          <w:tcPr>
            <w:tcBorders>
              <w:top w:val="nil"/>
              <w:left w:val="nil"/>
              <w:bottom w:val="nil"/>
              <w:right w:val="nil"/>
            </w:tcBorders>
            <w:shd w:val="clear" w:color="auto" w:fill="FFFFFF"/>
            <w:tcMar>
              <w:top w:w="0" w:type="dxa"/>
              <w:left w:w="0" w:type="dxa"/>
              <w:bottom w:w="0" w:type="dxa"/>
              <w:right w:w="0" w:type="dxa"/>
            </w:tcMar>
            <w:vAlign w:val="center"/>
          </w:tcPr>
          <w:p w14:paraId="574DBDE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3,834 / 6,294</w:t>
            </w:r>
          </w:p>
        </w:tc>
      </w:tr>
      <w:tr w14:paraId="2A692CC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440B13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Cardiovascular deaths,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232B60D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133 / 261</w:t>
            </w:r>
          </w:p>
        </w:tc>
        <w:tc>
          <w:tcPr>
            <w:tcBorders>
              <w:top w:val="nil"/>
              <w:left w:val="nil"/>
              <w:bottom w:val="nil"/>
              <w:right w:val="nil"/>
            </w:tcBorders>
            <w:shd w:val="clear" w:color="auto" w:fill="FFFFFF"/>
            <w:tcMar>
              <w:top w:w="0" w:type="dxa"/>
              <w:left w:w="0" w:type="dxa"/>
              <w:bottom w:w="0" w:type="dxa"/>
              <w:right w:w="0" w:type="dxa"/>
            </w:tcMar>
            <w:vAlign w:val="center"/>
          </w:tcPr>
          <w:p w14:paraId="32D4291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120 / 161</w:t>
            </w:r>
          </w:p>
        </w:tc>
      </w:tr>
      <w:tr w14:paraId="28146D61">
        <w:tblPrEx>
          <w:tblCellMar>
            <w:top w:w="0" w:type="dxa"/>
            <w:left w:w="108" w:type="dxa"/>
            <w:bottom w:w="0" w:type="dxa"/>
            <w:right w:w="108" w:type="dxa"/>
          </w:tblCellMar>
        </w:tblPrEx>
        <w:trPr>
          <w:trHeight w:val="0" w:hRule="atLeast"/>
          <w:jc w:val="center"/>
        </w:trPr>
        <w:tc>
          <w:tcPr>
            <w:gridSpan w:val="3"/>
            <w:tcBorders>
              <w:top w:val="nil"/>
              <w:left w:val="nil"/>
              <w:bottom w:val="nil"/>
              <w:right w:val="nil"/>
            </w:tcBorders>
            <w:shd w:val="clear" w:color="auto" w:fill="EFEFEF"/>
            <w:tcMar>
              <w:top w:w="0" w:type="dxa"/>
              <w:left w:w="0" w:type="dxa"/>
              <w:bottom w:w="0" w:type="dxa"/>
              <w:right w:w="0" w:type="dxa"/>
            </w:tcMar>
            <w:vAlign w:val="center"/>
          </w:tcPr>
          <w:p w14:paraId="1321D77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All-cause death, HR (95% CI)</w:t>
            </w:r>
          </w:p>
        </w:tc>
      </w:tr>
      <w:tr w14:paraId="17E5080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C193EC">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M0, unadjusted</w:t>
            </w:r>
          </w:p>
        </w:tc>
        <w:tc>
          <w:tcPr>
            <w:tcBorders>
              <w:top w:val="nil"/>
              <w:left w:val="nil"/>
              <w:bottom w:val="nil"/>
              <w:right w:val="nil"/>
            </w:tcBorders>
            <w:shd w:val="clear" w:color="auto" w:fill="FFFFFF"/>
            <w:tcMar>
              <w:top w:w="0" w:type="dxa"/>
              <w:left w:w="0" w:type="dxa"/>
              <w:bottom w:w="0" w:type="dxa"/>
              <w:right w:w="0" w:type="dxa"/>
            </w:tcMar>
            <w:vAlign w:val="center"/>
          </w:tcPr>
          <w:p w14:paraId="78FDEDA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0.384 (0.371–0.397)</w:t>
            </w:r>
          </w:p>
        </w:tc>
        <w:tc>
          <w:tcPr>
            <w:tcBorders>
              <w:top w:val="nil"/>
              <w:left w:val="nil"/>
              <w:bottom w:val="nil"/>
              <w:right w:val="nil"/>
            </w:tcBorders>
            <w:shd w:val="clear" w:color="auto" w:fill="FFFFFF"/>
            <w:tcMar>
              <w:top w:w="0" w:type="dxa"/>
              <w:left w:w="0" w:type="dxa"/>
              <w:bottom w:w="0" w:type="dxa"/>
              <w:right w:w="0" w:type="dxa"/>
            </w:tcMar>
            <w:vAlign w:val="center"/>
          </w:tcPr>
          <w:p w14:paraId="667371F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0.446 (0.427–0.463)</w:t>
            </w:r>
          </w:p>
        </w:tc>
      </w:tr>
      <w:tr w14:paraId="2894E2C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A1AB0D">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M1, multivariable-adjusted</w:t>
            </w:r>
          </w:p>
        </w:tc>
        <w:tc>
          <w:tcPr>
            <w:tcBorders>
              <w:top w:val="nil"/>
              <w:left w:val="nil"/>
              <w:bottom w:val="nil"/>
              <w:right w:val="nil"/>
            </w:tcBorders>
            <w:shd w:val="clear" w:color="auto" w:fill="FFFFFF"/>
            <w:tcMar>
              <w:top w:w="0" w:type="dxa"/>
              <w:left w:w="0" w:type="dxa"/>
              <w:bottom w:w="0" w:type="dxa"/>
              <w:right w:w="0" w:type="dxa"/>
            </w:tcMar>
            <w:vAlign w:val="center"/>
          </w:tcPr>
          <w:p w14:paraId="2ED332D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0.406 (0.386–0.434)</w:t>
            </w:r>
          </w:p>
        </w:tc>
        <w:tc>
          <w:tcPr>
            <w:tcBorders>
              <w:top w:val="nil"/>
              <w:left w:val="nil"/>
              <w:bottom w:val="nil"/>
              <w:right w:val="nil"/>
            </w:tcBorders>
            <w:shd w:val="clear" w:color="auto" w:fill="FFFFFF"/>
            <w:tcMar>
              <w:top w:w="0" w:type="dxa"/>
              <w:left w:w="0" w:type="dxa"/>
              <w:bottom w:w="0" w:type="dxa"/>
              <w:right w:w="0" w:type="dxa"/>
            </w:tcMar>
            <w:vAlign w:val="center"/>
          </w:tcPr>
          <w:p w14:paraId="412E4DD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0.443 (0.419–0.472)</w:t>
            </w:r>
          </w:p>
        </w:tc>
      </w:tr>
      <w:tr w14:paraId="433DE62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DF8A972">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M2, overlap-weighted</w:t>
            </w:r>
          </w:p>
        </w:tc>
        <w:tc>
          <w:tcPr>
            <w:tcBorders>
              <w:top w:val="nil"/>
              <w:left w:val="nil"/>
              <w:bottom w:val="nil"/>
              <w:right w:val="nil"/>
            </w:tcBorders>
            <w:shd w:val="clear" w:color="auto" w:fill="FFFFFF"/>
            <w:tcMar>
              <w:top w:w="0" w:type="dxa"/>
              <w:left w:w="0" w:type="dxa"/>
              <w:bottom w:w="0" w:type="dxa"/>
              <w:right w:w="0" w:type="dxa"/>
            </w:tcMar>
            <w:vAlign w:val="center"/>
          </w:tcPr>
          <w:p w14:paraId="0A6DAD5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0.424 (0.403–0.447)</w:t>
            </w:r>
          </w:p>
        </w:tc>
        <w:tc>
          <w:tcPr>
            <w:tcBorders>
              <w:top w:val="nil"/>
              <w:left w:val="nil"/>
              <w:bottom w:val="nil"/>
              <w:right w:val="nil"/>
            </w:tcBorders>
            <w:shd w:val="clear" w:color="auto" w:fill="FFFFFF"/>
            <w:tcMar>
              <w:top w:w="0" w:type="dxa"/>
              <w:left w:w="0" w:type="dxa"/>
              <w:bottom w:w="0" w:type="dxa"/>
              <w:right w:w="0" w:type="dxa"/>
            </w:tcMar>
            <w:vAlign w:val="center"/>
          </w:tcPr>
          <w:p w14:paraId="4ADA8FF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0.463 (0.439–0.489)</w:t>
            </w:r>
          </w:p>
        </w:tc>
      </w:tr>
      <w:tr w14:paraId="6579380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7B9C3E4">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RMST difference at 60 months, months</w:t>
            </w:r>
          </w:p>
        </w:tc>
        <w:tc>
          <w:tcPr>
            <w:tcBorders>
              <w:top w:val="nil"/>
              <w:left w:val="nil"/>
              <w:bottom w:val="nil"/>
              <w:right w:val="nil"/>
            </w:tcBorders>
            <w:shd w:val="clear" w:color="auto" w:fill="FFFFFF"/>
            <w:tcMar>
              <w:top w:w="0" w:type="dxa"/>
              <w:left w:w="0" w:type="dxa"/>
              <w:bottom w:w="0" w:type="dxa"/>
              <w:right w:w="0" w:type="dxa"/>
            </w:tcMar>
            <w:vAlign w:val="center"/>
          </w:tcPr>
          <w:p w14:paraId="0E2EB44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+16.49 (+15.55 to +17.34)</w:t>
            </w:r>
          </w:p>
        </w:tc>
        <w:tc>
          <w:tcPr>
            <w:tcBorders>
              <w:top w:val="nil"/>
              <w:left w:val="nil"/>
              <w:bottom w:val="nil"/>
              <w:right w:val="nil"/>
            </w:tcBorders>
            <w:shd w:val="clear" w:color="auto" w:fill="FFFFFF"/>
            <w:tcMar>
              <w:top w:w="0" w:type="dxa"/>
              <w:left w:w="0" w:type="dxa"/>
              <w:bottom w:w="0" w:type="dxa"/>
              <w:right w:w="0" w:type="dxa"/>
            </w:tcMar>
            <w:vAlign w:val="center"/>
          </w:tcPr>
          <w:p w14:paraId="463FE56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+15.06 (+14.13 to +15.95)</w:t>
            </w:r>
          </w:p>
        </w:tc>
      </w:tr>
      <w:tr w14:paraId="01A93FCF">
        <w:tblPrEx>
          <w:tblCellMar>
            <w:top w:w="0" w:type="dxa"/>
            <w:left w:w="108" w:type="dxa"/>
            <w:bottom w:w="0" w:type="dxa"/>
            <w:right w:w="108" w:type="dxa"/>
          </w:tblCellMar>
        </w:tblPrEx>
        <w:trPr>
          <w:trHeight w:val="0" w:hRule="atLeast"/>
          <w:jc w:val="center"/>
        </w:trPr>
        <w:tc>
          <w:tcPr>
            <w:gridSpan w:val="3"/>
            <w:tcBorders>
              <w:top w:val="nil"/>
              <w:left w:val="nil"/>
              <w:bottom w:val="nil"/>
              <w:right w:val="nil"/>
            </w:tcBorders>
            <w:shd w:val="clear" w:color="auto" w:fill="EFEFEF"/>
            <w:tcMar>
              <w:top w:w="0" w:type="dxa"/>
              <w:left w:w="0" w:type="dxa"/>
              <w:bottom w:w="0" w:type="dxa"/>
              <w:right w:w="0" w:type="dxa"/>
            </w:tcMar>
            <w:vAlign w:val="center"/>
          </w:tcPr>
          <w:p w14:paraId="6B5ADFF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Cardiovascular death (negative control), HR (95% CI)</w:t>
            </w:r>
          </w:p>
        </w:tc>
      </w:tr>
      <w:tr w14:paraId="5312578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5064046">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M0, unadjusted</w:t>
            </w:r>
          </w:p>
        </w:tc>
        <w:tc>
          <w:tcPr>
            <w:tcBorders>
              <w:top w:val="nil"/>
              <w:left w:val="nil"/>
              <w:bottom w:val="nil"/>
              <w:right w:val="nil"/>
            </w:tcBorders>
            <w:shd w:val="clear" w:color="auto" w:fill="FFFFFF"/>
            <w:tcMar>
              <w:top w:w="0" w:type="dxa"/>
              <w:left w:w="0" w:type="dxa"/>
              <w:bottom w:w="0" w:type="dxa"/>
              <w:right w:w="0" w:type="dxa"/>
            </w:tcMar>
            <w:vAlign w:val="center"/>
          </w:tcPr>
          <w:p w14:paraId="123820C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0.393 (0.313–0.482)</w:t>
            </w:r>
          </w:p>
        </w:tc>
        <w:tc>
          <w:tcPr>
            <w:tcBorders>
              <w:top w:val="nil"/>
              <w:left w:val="nil"/>
              <w:bottom w:val="nil"/>
              <w:right w:val="nil"/>
            </w:tcBorders>
            <w:shd w:val="clear" w:color="auto" w:fill="FFFFFF"/>
            <w:tcMar>
              <w:top w:w="0" w:type="dxa"/>
              <w:left w:w="0" w:type="dxa"/>
              <w:bottom w:w="0" w:type="dxa"/>
              <w:right w:w="0" w:type="dxa"/>
            </w:tcMar>
            <w:vAlign w:val="center"/>
          </w:tcPr>
          <w:p w14:paraId="6C46E72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0.453 (0.342–0.583)</w:t>
            </w:r>
          </w:p>
        </w:tc>
      </w:tr>
      <w:tr w14:paraId="4A98CD4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54F1CD3">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M1, multivariable-adjusted</w:t>
            </w:r>
          </w:p>
        </w:tc>
        <w:tc>
          <w:tcPr>
            <w:tcBorders>
              <w:top w:val="nil"/>
              <w:left w:val="nil"/>
              <w:bottom w:val="nil"/>
              <w:right w:val="nil"/>
            </w:tcBorders>
            <w:shd w:val="clear" w:color="auto" w:fill="FFFFFF"/>
            <w:tcMar>
              <w:top w:w="0" w:type="dxa"/>
              <w:left w:w="0" w:type="dxa"/>
              <w:bottom w:w="0" w:type="dxa"/>
              <w:right w:w="0" w:type="dxa"/>
            </w:tcMar>
            <w:vAlign w:val="center"/>
          </w:tcPr>
          <w:p w14:paraId="294C31E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0.519 (0.384–0.708)</w:t>
            </w:r>
          </w:p>
        </w:tc>
        <w:tc>
          <w:tcPr>
            <w:tcBorders>
              <w:top w:val="nil"/>
              <w:left w:val="nil"/>
              <w:bottom w:val="nil"/>
              <w:right w:val="nil"/>
            </w:tcBorders>
            <w:shd w:val="clear" w:color="auto" w:fill="FFFFFF"/>
            <w:tcMar>
              <w:top w:w="0" w:type="dxa"/>
              <w:left w:w="0" w:type="dxa"/>
              <w:bottom w:w="0" w:type="dxa"/>
              <w:right w:w="0" w:type="dxa"/>
            </w:tcMar>
            <w:vAlign w:val="center"/>
          </w:tcPr>
          <w:p w14:paraId="16655E7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0.598 (0.411–0.833)</w:t>
            </w:r>
          </w:p>
        </w:tc>
      </w:tr>
      <w:tr w14:paraId="12DBF05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7AAAEA5">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M2, overlap-weighted</w:t>
            </w:r>
          </w:p>
        </w:tc>
        <w:tc>
          <w:tcPr>
            <w:tcBorders>
              <w:top w:val="nil"/>
              <w:left w:val="nil"/>
              <w:bottom w:val="nil"/>
              <w:right w:val="nil"/>
            </w:tcBorders>
            <w:shd w:val="clear" w:color="auto" w:fill="FFFFFF"/>
            <w:tcMar>
              <w:top w:w="0" w:type="dxa"/>
              <w:left w:w="0" w:type="dxa"/>
              <w:bottom w:w="0" w:type="dxa"/>
              <w:right w:w="0" w:type="dxa"/>
            </w:tcMar>
            <w:vAlign w:val="center"/>
          </w:tcPr>
          <w:p w14:paraId="6906AD5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0.528 (0.391–0.701)</w:t>
            </w:r>
          </w:p>
        </w:tc>
        <w:tc>
          <w:tcPr>
            <w:tcBorders>
              <w:top w:val="nil"/>
              <w:left w:val="nil"/>
              <w:bottom w:val="nil"/>
              <w:right w:val="nil"/>
            </w:tcBorders>
            <w:shd w:val="clear" w:color="auto" w:fill="FFFFFF"/>
            <w:tcMar>
              <w:top w:w="0" w:type="dxa"/>
              <w:left w:w="0" w:type="dxa"/>
              <w:bottom w:w="0" w:type="dxa"/>
              <w:right w:w="0" w:type="dxa"/>
            </w:tcMar>
            <w:vAlign w:val="center"/>
          </w:tcPr>
          <w:p w14:paraId="335AC18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0.594 (0.406–0.836)</w:t>
            </w:r>
          </w:p>
        </w:tc>
      </w:tr>
      <w:tr w14:paraId="5668DD56">
        <w:tblPrEx>
          <w:tblCellMar>
            <w:top w:w="0" w:type="dxa"/>
            <w:left w:w="108" w:type="dxa"/>
            <w:bottom w:w="0" w:type="dxa"/>
            <w:right w:w="108" w:type="dxa"/>
          </w:tblCellMar>
        </w:tblPrEx>
        <w:trPr>
          <w:trHeight w:val="0" w:hRule="atLeast"/>
          <w:jc w:val="center"/>
        </w:trPr>
        <w:tc>
          <w:tcPr>
            <w:gridSpan w:val="3"/>
            <w:tcBorders>
              <w:top w:val="nil"/>
              <w:left w:val="nil"/>
              <w:bottom w:val="nil"/>
              <w:right w:val="nil"/>
            </w:tcBorders>
            <w:shd w:val="clear" w:color="auto" w:fill="EFEFEF"/>
            <w:tcMar>
              <w:top w:w="0" w:type="dxa"/>
              <w:left w:w="0" w:type="dxa"/>
              <w:bottom w:w="0" w:type="dxa"/>
              <w:right w:w="0" w:type="dxa"/>
            </w:tcMar>
            <w:vAlign w:val="center"/>
          </w:tcPr>
          <w:p w14:paraId="730FCC1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Calibrated HR for all-cause death (95% CI)</w:t>
            </w:r>
          </w:p>
        </w:tc>
      </w:tr>
      <w:tr w14:paraId="20A78D7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8DCBCE7">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0.50</w:t>
            </w:r>
          </w:p>
        </w:tc>
        <w:tc>
          <w:tcPr>
            <w:tcBorders>
              <w:top w:val="nil"/>
              <w:left w:val="nil"/>
              <w:bottom w:val="nil"/>
              <w:right w:val="nil"/>
            </w:tcBorders>
            <w:shd w:val="clear" w:color="auto" w:fill="FFFFFF"/>
            <w:tcMar>
              <w:top w:w="0" w:type="dxa"/>
              <w:left w:w="0" w:type="dxa"/>
              <w:bottom w:w="0" w:type="dxa"/>
              <w:right w:w="0" w:type="dxa"/>
            </w:tcMar>
            <w:vAlign w:val="center"/>
          </w:tcPr>
          <w:p w14:paraId="6501A76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0.584 (0.505–0.680)</w:t>
            </w:r>
          </w:p>
        </w:tc>
        <w:tc>
          <w:tcPr>
            <w:tcBorders>
              <w:top w:val="nil"/>
              <w:left w:val="nil"/>
              <w:bottom w:val="nil"/>
              <w:right w:val="nil"/>
            </w:tcBorders>
            <w:shd w:val="clear" w:color="auto" w:fill="FFFFFF"/>
            <w:tcMar>
              <w:top w:w="0" w:type="dxa"/>
              <w:left w:w="0" w:type="dxa"/>
              <w:bottom w:w="0" w:type="dxa"/>
              <w:right w:w="0" w:type="dxa"/>
            </w:tcMar>
            <w:vAlign w:val="center"/>
          </w:tcPr>
          <w:p w14:paraId="58CE7B7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0.600 (0.499–0.724)</w:t>
            </w:r>
          </w:p>
        </w:tc>
      </w:tr>
      <w:tr w14:paraId="6A88FA8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E9B8E7F">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0.75</w:t>
            </w:r>
          </w:p>
        </w:tc>
        <w:tc>
          <w:tcPr>
            <w:tcBorders>
              <w:top w:val="nil"/>
              <w:left w:val="nil"/>
              <w:bottom w:val="nil"/>
              <w:right w:val="nil"/>
            </w:tcBorders>
            <w:shd w:val="clear" w:color="auto" w:fill="FFFFFF"/>
            <w:tcMar>
              <w:top w:w="0" w:type="dxa"/>
              <w:left w:w="0" w:type="dxa"/>
              <w:bottom w:w="0" w:type="dxa"/>
              <w:right w:w="0" w:type="dxa"/>
            </w:tcMar>
            <w:vAlign w:val="center"/>
          </w:tcPr>
          <w:p w14:paraId="01AEC12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0.686 (0.556–0.856)</w:t>
            </w:r>
          </w:p>
        </w:tc>
        <w:tc>
          <w:tcPr>
            <w:tcBorders>
              <w:top w:val="nil"/>
              <w:left w:val="nil"/>
              <w:bottom w:val="nil"/>
              <w:right w:val="nil"/>
            </w:tcBorders>
            <w:shd w:val="clear" w:color="auto" w:fill="FFFFFF"/>
            <w:tcMar>
              <w:top w:w="0" w:type="dxa"/>
              <w:left w:w="0" w:type="dxa"/>
              <w:bottom w:w="0" w:type="dxa"/>
              <w:right w:w="0" w:type="dxa"/>
            </w:tcMar>
            <w:vAlign w:val="center"/>
          </w:tcPr>
          <w:p w14:paraId="4F8AA0F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0.684 (0.524–0.904)</w:t>
            </w:r>
          </w:p>
        </w:tc>
      </w:tr>
      <w:tr w14:paraId="176EE10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7E4FE2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λ = 1.00</w:t>
            </w:r>
          </w:p>
        </w:tc>
        <w:tc>
          <w:tcPr>
            <w:tcBorders>
              <w:top w:val="nil"/>
              <w:left w:val="nil"/>
              <w:bottom w:val="nil"/>
              <w:right w:val="nil"/>
            </w:tcBorders>
            <w:shd w:val="clear" w:color="auto" w:fill="FFFFFF"/>
            <w:tcMar>
              <w:top w:w="0" w:type="dxa"/>
              <w:left w:w="0" w:type="dxa"/>
              <w:bottom w:w="0" w:type="dxa"/>
              <w:right w:w="0" w:type="dxa"/>
            </w:tcMar>
            <w:vAlign w:val="center"/>
          </w:tcPr>
          <w:p w14:paraId="5E83367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0.804 (0.610–1.082)</w:t>
            </w:r>
          </w:p>
        </w:tc>
        <w:tc>
          <w:tcPr>
            <w:tcBorders>
              <w:top w:val="nil"/>
              <w:left w:val="nil"/>
              <w:bottom w:val="nil"/>
              <w:right w:val="nil"/>
            </w:tcBorders>
            <w:shd w:val="clear" w:color="auto" w:fill="FFFFFF"/>
            <w:tcMar>
              <w:top w:w="0" w:type="dxa"/>
              <w:left w:w="0" w:type="dxa"/>
              <w:bottom w:w="0" w:type="dxa"/>
              <w:right w:w="0" w:type="dxa"/>
            </w:tcMar>
            <w:vAlign w:val="center"/>
          </w:tcPr>
          <w:p w14:paraId="3C72ACA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0.779 (0.546–1.127)</w:t>
            </w:r>
          </w:p>
        </w:tc>
      </w:tr>
      <w:tr w14:paraId="7C3F6C8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0A275BD">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1.50</w:t>
            </w:r>
          </w:p>
        </w:tc>
        <w:tc>
          <w:tcPr>
            <w:tcBorders>
              <w:top w:val="nil"/>
              <w:left w:val="nil"/>
              <w:bottom w:val="nil"/>
              <w:right w:val="nil"/>
            </w:tcBorders>
            <w:shd w:val="clear" w:color="auto" w:fill="FFFFFF"/>
            <w:tcMar>
              <w:top w:w="0" w:type="dxa"/>
              <w:left w:w="0" w:type="dxa"/>
              <w:bottom w:w="0" w:type="dxa"/>
              <w:right w:w="0" w:type="dxa"/>
            </w:tcMar>
            <w:vAlign w:val="center"/>
          </w:tcPr>
          <w:p w14:paraId="789D095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1.107 (0.732–1.721)</w:t>
            </w:r>
          </w:p>
        </w:tc>
        <w:tc>
          <w:tcPr>
            <w:tcBorders>
              <w:top w:val="nil"/>
              <w:left w:val="nil"/>
              <w:bottom w:val="nil"/>
              <w:right w:val="nil"/>
            </w:tcBorders>
            <w:shd w:val="clear" w:color="auto" w:fill="FFFFFF"/>
            <w:tcMar>
              <w:top w:w="0" w:type="dxa"/>
              <w:left w:w="0" w:type="dxa"/>
              <w:bottom w:w="0" w:type="dxa"/>
              <w:right w:w="0" w:type="dxa"/>
            </w:tcMar>
            <w:vAlign w:val="center"/>
          </w:tcPr>
          <w:p w14:paraId="54E990B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1.011 (0.597–1.774)</w:t>
            </w:r>
          </w:p>
        </w:tc>
      </w:tr>
      <w:tr w14:paraId="729A0BF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DA850BE">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2.00</w:t>
            </w:r>
          </w:p>
        </w:tc>
        <w:tc>
          <w:tcPr>
            <w:tcBorders>
              <w:top w:val="nil"/>
              <w:left w:val="nil"/>
              <w:bottom w:val="nil"/>
              <w:right w:val="nil"/>
            </w:tcBorders>
            <w:shd w:val="clear" w:color="auto" w:fill="FFFFFF"/>
            <w:tcMar>
              <w:top w:w="0" w:type="dxa"/>
              <w:left w:w="0" w:type="dxa"/>
              <w:bottom w:w="0" w:type="dxa"/>
              <w:right w:w="0" w:type="dxa"/>
            </w:tcMar>
            <w:vAlign w:val="center"/>
          </w:tcPr>
          <w:p w14:paraId="74D4DD9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1.524 (0.872–2.758)</w:t>
            </w:r>
          </w:p>
        </w:tc>
        <w:tc>
          <w:tcPr>
            <w:tcBorders>
              <w:top w:val="nil"/>
              <w:left w:val="nil"/>
              <w:bottom w:val="nil"/>
              <w:right w:val="nil"/>
            </w:tcBorders>
            <w:shd w:val="clear" w:color="auto" w:fill="FFFFFF"/>
            <w:tcMar>
              <w:top w:w="0" w:type="dxa"/>
              <w:left w:w="0" w:type="dxa"/>
              <w:bottom w:w="0" w:type="dxa"/>
              <w:right w:w="0" w:type="dxa"/>
            </w:tcMar>
            <w:vAlign w:val="center"/>
          </w:tcPr>
          <w:p w14:paraId="002D744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1.311 (0.656–2.791)</w:t>
            </w:r>
          </w:p>
        </w:tc>
      </w:tr>
      <w:tr w14:paraId="2BD3E32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6901C9A">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Proportion explained at λ = 1, %</w:t>
            </w:r>
          </w:p>
        </w:tc>
        <w:tc>
          <w:tcPr>
            <w:tcBorders>
              <w:top w:val="nil"/>
              <w:left w:val="nil"/>
              <w:bottom w:val="nil"/>
              <w:right w:val="nil"/>
            </w:tcBorders>
            <w:shd w:val="clear" w:color="auto" w:fill="FFFFFF"/>
            <w:tcMar>
              <w:top w:w="0" w:type="dxa"/>
              <w:left w:w="0" w:type="dxa"/>
              <w:bottom w:w="0" w:type="dxa"/>
              <w:right w:w="0" w:type="dxa"/>
            </w:tcMar>
            <w:vAlign w:val="center"/>
          </w:tcPr>
          <w:p w14:paraId="1E41AE6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74.6 (42.0 to 108.9)</w:t>
            </w:r>
          </w:p>
        </w:tc>
        <w:tc>
          <w:tcPr>
            <w:tcBorders>
              <w:top w:val="nil"/>
              <w:left w:val="nil"/>
              <w:bottom w:val="nil"/>
              <w:right w:val="nil"/>
            </w:tcBorders>
            <w:shd w:val="clear" w:color="auto" w:fill="FFFFFF"/>
            <w:tcMar>
              <w:top w:w="0" w:type="dxa"/>
              <w:left w:w="0" w:type="dxa"/>
              <w:bottom w:w="0" w:type="dxa"/>
              <w:right w:w="0" w:type="dxa"/>
            </w:tcMar>
            <w:vAlign w:val="center"/>
          </w:tcPr>
          <w:p w14:paraId="5B7D04B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67.6 (23.6 to 115.7)</w:t>
            </w:r>
          </w:p>
        </w:tc>
      </w:tr>
      <w:tr w14:paraId="73844794">
        <w:tblPrEx>
          <w:tblCellMar>
            <w:top w:w="0" w:type="dxa"/>
            <w:left w:w="108" w:type="dxa"/>
            <w:bottom w:w="0" w:type="dxa"/>
            <w:right w:w="108" w:type="dxa"/>
          </w:tblCellMar>
        </w:tblPrEx>
        <w:trPr>
          <w:trHeight w:val="0" w:hRule="atLeast"/>
          <w:jc w:val="center"/>
        </w:trPr>
        <w:tc>
          <w:tcPr>
            <w:gridSpan w:val="3"/>
            <w:tcBorders>
              <w:top w:val="nil"/>
              <w:left w:val="nil"/>
              <w:bottom w:val="nil"/>
              <w:right w:val="nil"/>
            </w:tcBorders>
            <w:shd w:val="clear" w:color="auto" w:fill="EFEFEF"/>
            <w:tcMar>
              <w:top w:w="0" w:type="dxa"/>
              <w:left w:w="0" w:type="dxa"/>
              <w:bottom w:w="0" w:type="dxa"/>
              <w:right w:w="0" w:type="dxa"/>
            </w:tcMar>
            <w:vAlign w:val="center"/>
          </w:tcPr>
          <w:p w14:paraId="6E62738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Selected sensitivity analyses</w:t>
            </w:r>
          </w:p>
        </w:tc>
      </w:tr>
      <w:tr w14:paraId="0E0D238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A23ED6B">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γ at which the all-cause association is fully explained</w:t>
            </w:r>
          </w:p>
        </w:tc>
        <w:tc>
          <w:tcPr>
            <w:tcBorders>
              <w:top w:val="nil"/>
              <w:left w:val="nil"/>
              <w:bottom w:val="nil"/>
              <w:right w:val="nil"/>
            </w:tcBorders>
            <w:shd w:val="clear" w:color="auto" w:fill="FFFFFF"/>
            <w:tcMar>
              <w:top w:w="0" w:type="dxa"/>
              <w:left w:w="0" w:type="dxa"/>
              <w:bottom w:w="0" w:type="dxa"/>
              <w:right w:w="0" w:type="dxa"/>
            </w:tcMar>
            <w:vAlign w:val="center"/>
          </w:tcPr>
          <w:p w14:paraId="5D6AAD8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1.24</w:t>
            </w:r>
          </w:p>
        </w:tc>
        <w:tc>
          <w:tcPr>
            <w:tcBorders>
              <w:top w:val="nil"/>
              <w:left w:val="nil"/>
              <w:bottom w:val="nil"/>
              <w:right w:val="nil"/>
            </w:tcBorders>
            <w:shd w:val="clear" w:color="auto" w:fill="FFFFFF"/>
            <w:tcMar>
              <w:top w:w="0" w:type="dxa"/>
              <w:left w:w="0" w:type="dxa"/>
              <w:bottom w:w="0" w:type="dxa"/>
              <w:right w:w="0" w:type="dxa"/>
            </w:tcMar>
            <w:vAlign w:val="center"/>
          </w:tcPr>
          <w:p w14:paraId="414ADB8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1.28</w:t>
            </w:r>
          </w:p>
        </w:tc>
      </w:tr>
      <w:tr w14:paraId="35E289C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4F1087D">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Non-cancer death as negative control (SA2), HR</w:t>
            </w:r>
          </w:p>
        </w:tc>
        <w:tc>
          <w:tcPr>
            <w:tcBorders>
              <w:top w:val="nil"/>
              <w:left w:val="nil"/>
              <w:bottom w:val="nil"/>
              <w:right w:val="nil"/>
            </w:tcBorders>
            <w:shd w:val="clear" w:color="auto" w:fill="FFFFFF"/>
            <w:tcMar>
              <w:top w:w="0" w:type="dxa"/>
              <w:left w:w="0" w:type="dxa"/>
              <w:bottom w:w="0" w:type="dxa"/>
              <w:right w:w="0" w:type="dxa"/>
            </w:tcMar>
            <w:vAlign w:val="center"/>
          </w:tcPr>
          <w:p w14:paraId="11B512E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0.584 (0.480–0.689)</w:t>
            </w:r>
          </w:p>
        </w:tc>
        <w:tc>
          <w:tcPr>
            <w:tcBorders>
              <w:top w:val="nil"/>
              <w:left w:val="nil"/>
              <w:bottom w:val="nil"/>
              <w:right w:val="nil"/>
            </w:tcBorders>
            <w:shd w:val="clear" w:color="auto" w:fill="FFFFFF"/>
            <w:tcMar>
              <w:top w:w="0" w:type="dxa"/>
              <w:left w:w="0" w:type="dxa"/>
              <w:bottom w:w="0" w:type="dxa"/>
              <w:right w:w="0" w:type="dxa"/>
            </w:tcMar>
            <w:vAlign w:val="center"/>
          </w:tcPr>
          <w:p w14:paraId="238083D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0.605 (0.493–0.725)</w:t>
            </w:r>
          </w:p>
        </w:tc>
      </w:tr>
      <w:tr w14:paraId="5FF3A25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A99AE6A">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IPTW, calibrated HR at λ = 1 (SA8a)</w:t>
            </w:r>
          </w:p>
        </w:tc>
        <w:tc>
          <w:tcPr>
            <w:tcBorders>
              <w:top w:val="nil"/>
              <w:left w:val="nil"/>
              <w:bottom w:val="nil"/>
              <w:right w:val="nil"/>
            </w:tcBorders>
            <w:shd w:val="clear" w:color="auto" w:fill="FFFFFF"/>
            <w:tcMar>
              <w:top w:w="0" w:type="dxa"/>
              <w:left w:w="0" w:type="dxa"/>
              <w:bottom w:w="0" w:type="dxa"/>
              <w:right w:w="0" w:type="dxa"/>
            </w:tcMar>
            <w:vAlign w:val="center"/>
          </w:tcPr>
          <w:p w14:paraId="1BCC203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1.124 (0.798–1.631)</w:t>
            </w:r>
          </w:p>
        </w:tc>
        <w:tc>
          <w:tcPr>
            <w:tcBorders>
              <w:top w:val="nil"/>
              <w:left w:val="nil"/>
              <w:bottom w:val="nil"/>
              <w:right w:val="nil"/>
            </w:tcBorders>
            <w:shd w:val="clear" w:color="auto" w:fill="FFFFFF"/>
            <w:tcMar>
              <w:top w:w="0" w:type="dxa"/>
              <w:left w:w="0" w:type="dxa"/>
              <w:bottom w:w="0" w:type="dxa"/>
              <w:right w:w="0" w:type="dxa"/>
            </w:tcMar>
            <w:vAlign w:val="center"/>
          </w:tcPr>
          <w:p w14:paraId="17379ED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0.968 (0.668–1.526)</w:t>
            </w:r>
          </w:p>
        </w:tc>
      </w:tr>
      <w:tr w14:paraId="73DA497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F8385F6">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Partial nephrectomy excluded, calibrated HR at λ = 1 (SA9)</w:t>
            </w:r>
          </w:p>
        </w:tc>
        <w:tc>
          <w:tcPr>
            <w:tcBorders>
              <w:top w:val="nil"/>
              <w:left w:val="nil"/>
              <w:bottom w:val="nil"/>
              <w:right w:val="nil"/>
            </w:tcBorders>
            <w:shd w:val="clear" w:color="auto" w:fill="FFFFFF"/>
            <w:tcMar>
              <w:top w:w="0" w:type="dxa"/>
              <w:left w:w="0" w:type="dxa"/>
              <w:bottom w:w="0" w:type="dxa"/>
              <w:right w:w="0" w:type="dxa"/>
            </w:tcMar>
            <w:vAlign w:val="center"/>
          </w:tcPr>
          <w:p w14:paraId="5BE6591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0.819 (0.620–1.103)</w:t>
            </w:r>
          </w:p>
        </w:tc>
        <w:tc>
          <w:tcPr>
            <w:tcBorders>
              <w:top w:val="nil"/>
              <w:left w:val="nil"/>
              <w:bottom w:val="nil"/>
              <w:right w:val="nil"/>
            </w:tcBorders>
            <w:shd w:val="clear" w:color="auto" w:fill="FFFFFF"/>
            <w:tcMar>
              <w:top w:w="0" w:type="dxa"/>
              <w:left w:w="0" w:type="dxa"/>
              <w:bottom w:w="0" w:type="dxa"/>
              <w:right w:w="0" w:type="dxa"/>
            </w:tcMar>
            <w:vAlign w:val="center"/>
          </w:tcPr>
          <w:p w14:paraId="67066F3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0.786 (0.561–1.126)</w:t>
            </w:r>
          </w:p>
        </w:tc>
      </w:tr>
      <w:tr w14:paraId="220208EE">
        <w:tblPrEx>
          <w:tblCellMar>
            <w:top w:w="0" w:type="dxa"/>
            <w:left w:w="108" w:type="dxa"/>
            <w:bottom w:w="0" w:type="dxa"/>
            <w:right w:w="108" w:type="dxa"/>
          </w:tblCellMar>
        </w:tblPrEx>
        <w:trPr>
          <w:trHeight w:val="0" w:hRule="atLeast"/>
          <w:jc w:val="center"/>
        </w:trPr>
        <w:tc>
          <w:tcPr>
            <w:gridSpan w:val="3"/>
            <w:tcBorders>
              <w:top w:val="nil"/>
              <w:left w:val="nil"/>
              <w:bottom w:val="nil"/>
              <w:right w:val="nil"/>
            </w:tcBorders>
            <w:shd w:val="clear" w:color="auto" w:fill="EFEFEF"/>
            <w:tcMar>
              <w:top w:w="0" w:type="dxa"/>
              <w:left w:w="0" w:type="dxa"/>
              <w:bottom w:w="0" w:type="dxa"/>
              <w:right w:w="0" w:type="dxa"/>
            </w:tcMar>
            <w:vAlign w:val="center"/>
          </w:tcPr>
          <w:p w14:paraId="409D961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Diagnostics</w:t>
            </w:r>
          </w:p>
        </w:tc>
      </w:tr>
      <w:tr w14:paraId="1D6FE11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E803F68">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Propensity score c-statistic</w:t>
            </w:r>
          </w:p>
        </w:tc>
        <w:tc>
          <w:tcPr>
            <w:tcBorders>
              <w:top w:val="nil"/>
              <w:left w:val="nil"/>
              <w:bottom w:val="nil"/>
              <w:right w:val="nil"/>
            </w:tcBorders>
            <w:shd w:val="clear" w:color="auto" w:fill="FFFFFF"/>
            <w:tcMar>
              <w:top w:w="0" w:type="dxa"/>
              <w:left w:w="0" w:type="dxa"/>
              <w:bottom w:w="0" w:type="dxa"/>
              <w:right w:w="0" w:type="dxa"/>
            </w:tcMar>
            <w:vAlign w:val="center"/>
          </w:tcPr>
          <w:p w14:paraId="692D57A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0.888</w:t>
            </w:r>
          </w:p>
        </w:tc>
        <w:tc>
          <w:tcPr>
            <w:tcBorders>
              <w:top w:val="nil"/>
              <w:left w:val="nil"/>
              <w:bottom w:val="nil"/>
              <w:right w:val="nil"/>
            </w:tcBorders>
            <w:shd w:val="clear" w:color="auto" w:fill="FFFFFF"/>
            <w:tcMar>
              <w:top w:w="0" w:type="dxa"/>
              <w:left w:w="0" w:type="dxa"/>
              <w:bottom w:w="0" w:type="dxa"/>
              <w:right w:w="0" w:type="dxa"/>
            </w:tcMar>
            <w:vAlign w:val="center"/>
          </w:tcPr>
          <w:p w14:paraId="21F67FE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0.880</w:t>
            </w:r>
          </w:p>
        </w:tc>
      </w:tr>
      <w:tr w14:paraId="17FB634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B4A4553">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Effective sample size,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4E6775D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3,862 / 4,865</w:t>
            </w:r>
          </w:p>
        </w:tc>
        <w:tc>
          <w:tcPr>
            <w:tcBorders>
              <w:top w:val="nil"/>
              <w:left w:val="nil"/>
              <w:bottom w:val="nil"/>
              <w:right w:val="nil"/>
            </w:tcBorders>
            <w:shd w:val="clear" w:color="auto" w:fill="FFFFFF"/>
            <w:tcMar>
              <w:top w:w="0" w:type="dxa"/>
              <w:left w:w="0" w:type="dxa"/>
              <w:bottom w:w="0" w:type="dxa"/>
              <w:right w:w="0" w:type="dxa"/>
            </w:tcMar>
            <w:vAlign w:val="center"/>
          </w:tcPr>
          <w:p w14:paraId="7521115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3,478 / 3,874</w:t>
            </w:r>
          </w:p>
        </w:tc>
      </w:tr>
      <w:tr w14:paraId="0D348C4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70C7AAA">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E-value, all-cause death / cardiovascular death</w:t>
            </w:r>
          </w:p>
        </w:tc>
        <w:tc>
          <w:tcPr>
            <w:tcBorders>
              <w:top w:val="nil"/>
              <w:left w:val="nil"/>
              <w:bottom w:val="nil"/>
              <w:right w:val="nil"/>
            </w:tcBorders>
            <w:shd w:val="clear" w:color="auto" w:fill="FFFFFF"/>
            <w:tcMar>
              <w:top w:w="0" w:type="dxa"/>
              <w:left w:w="0" w:type="dxa"/>
              <w:bottom w:w="0" w:type="dxa"/>
              <w:right w:w="0" w:type="dxa"/>
            </w:tcMar>
            <w:vAlign w:val="center"/>
          </w:tcPr>
          <w:p w14:paraId="368FFA0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3.00 / 2.48</w:t>
            </w:r>
          </w:p>
        </w:tc>
        <w:tc>
          <w:tcPr>
            <w:tcBorders>
              <w:top w:val="nil"/>
              <w:left w:val="nil"/>
              <w:bottom w:val="nil"/>
              <w:right w:val="nil"/>
            </w:tcBorders>
            <w:shd w:val="clear" w:color="auto" w:fill="FFFFFF"/>
            <w:tcMar>
              <w:top w:w="0" w:type="dxa"/>
              <w:left w:w="0" w:type="dxa"/>
              <w:bottom w:w="0" w:type="dxa"/>
              <w:right w:w="0" w:type="dxa"/>
            </w:tcMar>
            <w:vAlign w:val="center"/>
          </w:tcPr>
          <w:p w14:paraId="1850424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2.79 / 2.22</w:t>
            </w:r>
          </w:p>
        </w:tc>
      </w:tr>
      <w:tr w14:paraId="598D443D">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580F0FFD">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Bootstrap resamples completed</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331CEB6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499</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E4630E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494</w:t>
            </w:r>
          </w:p>
        </w:tc>
      </w:tr>
    </w:tbl>
    <w:p w14:paraId="103E5FEA">
      <w:pPr>
        <w:pBdr>
          <w:top w:val="none" w:color="000000" w:sz="0" w:space="0"/>
          <w:left w:val="none" w:color="000000" w:sz="0" w:space="0"/>
          <w:bottom w:val="none" w:color="000000" w:sz="0" w:space="0"/>
          <w:right w:val="none" w:color="000000" w:sz="0" w:space="0"/>
        </w:pBdr>
        <w:spacing w:before="60" w:after="0" w:line="264" w:lineRule="auto"/>
        <w:ind w:left="0" w:right="0" w:firstLine="0" w:firstLineChars="0"/>
        <w:jc w:val="left"/>
      </w:pPr>
      <w:r>
        <w:rPr>
          <w:rFonts w:ascii="Times New Roman" w:hAnsi="Times New Roman" w:eastAsia="Times New Roman" w:cs="Times New Roman"/>
          <w:b w:val="0"/>
          <w:i w:val="0"/>
          <w:strike w:val="0"/>
          <w:color w:val="000000"/>
          <w:sz w:val="16"/>
          <w:szCs w:val="16"/>
          <w:u w:val="none"/>
        </w:rPr>
        <w:t>The landmark analysis excluded patients who died or were lost to follow-up within 3 months of diagnosis (3,564 patients: 3,185 without surgery and 379 with nephrectomy) and reset the time origin to the landmark. Cardiovascular death denotes death from diseases of the heart or cerebrovascular disease. Calibrated log HR = log HR(all-cause) − λ × log HR(negative control). γ, assumed direct effect of nephrectomy on the negative control outcome. HR, hazard ratio; IPTW, inverse probability of treatment weighting; IQR, interquartile range; RMST, restricted mean survival time.</w:t>
      </w:r>
    </w:p>
    <w:p w14:paraId="01DEDC3F">
      <w:r>
        <w:br w:type="page"/>
      </w:r>
    </w:p>
    <w:p w14:paraId="52EC1D55">
      <w:pPr>
        <w:pBdr>
          <w:top w:val="none" w:color="000000" w:sz="0" w:space="0"/>
          <w:left w:val="none" w:color="000000" w:sz="0" w:space="0"/>
          <w:bottom w:val="none" w:color="000000" w:sz="0" w:space="0"/>
          <w:right w:val="none" w:color="000000" w:sz="0" w:space="0"/>
        </w:pBdr>
        <w:spacing w:before="0" w:after="80" w:line="240" w:lineRule="auto"/>
        <w:ind w:left="0" w:right="0" w:firstLine="0" w:firstLineChars="0"/>
        <w:jc w:val="left"/>
      </w:pPr>
      <w:r>
        <w:rPr>
          <w:rFonts w:ascii="Times New Roman" w:hAnsi="Times New Roman" w:eastAsia="Times New Roman" w:cs="Times New Roman"/>
          <w:b/>
          <w:i w:val="0"/>
          <w:strike w:val="0"/>
          <w:color w:val="000000"/>
          <w:sz w:val="21"/>
          <w:szCs w:val="21"/>
          <w:u w:val="none"/>
        </w:rPr>
        <w:t>Supplementary Table S8. Sensitivity of the results to the handling of missing grade</w:t>
      </w:r>
    </w:p>
    <w:tbl>
      <w:tblPr>
        <w:tblStyle w:val="8"/>
        <w:tblW w:w="0" w:type="auto"/>
        <w:jc w:val="center"/>
        <w:tblLayout w:type="fixed"/>
        <w:tblCellMar>
          <w:top w:w="0" w:type="dxa"/>
          <w:left w:w="108" w:type="dxa"/>
          <w:bottom w:w="0" w:type="dxa"/>
          <w:right w:w="108" w:type="dxa"/>
        </w:tblCellMar>
      </w:tblPr>
      <w:tblGrid>
        <w:gridCol w:w="3744"/>
        <w:gridCol w:w="1968"/>
        <w:gridCol w:w="1968"/>
        <w:gridCol w:w="1968"/>
      </w:tblGrid>
      <w:tr w14:paraId="0B1A3AB0">
        <w:tblPrEx>
          <w:tblCellMar>
            <w:top w:w="0" w:type="dxa"/>
            <w:left w:w="108" w:type="dxa"/>
            <w:bottom w:w="0" w:type="dxa"/>
            <w:right w:w="108" w:type="dxa"/>
          </w:tblCellMar>
        </w:tblPrEx>
        <w:trPr>
          <w:trHeight w:val="0" w:hRule="atLeast"/>
          <w:tblHeader/>
          <w:jc w:val="center"/>
        </w:trPr>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730BD86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Measure</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5ED506A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Multiple imputation</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(primary)</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0BFDDF5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Unknown grade as</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a category (SA10)</w:t>
            </w:r>
          </w:p>
        </w:tc>
        <w:tc>
          <w:tcPr>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bottom"/>
          </w:tcPr>
          <w:p w14:paraId="27901F0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Grade not in</w:t>
            </w:r>
            <w:r>
              <w:rPr>
                <w:rFonts w:ascii="Times New Roman" w:hAnsi="Arial" w:eastAsia="Arial" w:cs="Arial"/>
                <w:b/>
                <w:i w:val="0"/>
                <w:strike w:val="0"/>
                <w:color w:val="000000"/>
                <w:sz w:val="18"/>
                <w:szCs w:val="18"/>
                <w:u w:val="none"/>
              </w:rPr>
              <w:br w:type="textWrapping"/>
            </w:r>
            <w:r>
              <w:rPr>
                <w:rFonts w:ascii="Times New Roman" w:hAnsi="Arial" w:eastAsia="Arial" w:cs="Arial"/>
                <w:b/>
                <w:i w:val="0"/>
                <w:strike w:val="0"/>
                <w:color w:val="000000"/>
                <w:sz w:val="18"/>
                <w:szCs w:val="18"/>
                <w:u w:val="none"/>
              </w:rPr>
              <w:t>the model (SA11)</w:t>
            </w:r>
          </w:p>
        </w:tc>
      </w:tr>
      <w:tr w14:paraId="70C5504A">
        <w:tblPrEx>
          <w:tblCellMar>
            <w:top w:w="0" w:type="dxa"/>
            <w:left w:w="108" w:type="dxa"/>
            <w:bottom w:w="0" w:type="dxa"/>
            <w:right w:w="108" w:type="dxa"/>
          </w:tblCellMar>
        </w:tblPrEx>
        <w:trPr>
          <w:trHeight w:val="0" w:hRule="atLeast"/>
          <w:jc w:val="center"/>
        </w:trPr>
        <w:tc>
          <w:tcPr>
            <w:gridSpan w:val="4"/>
            <w:tcBorders>
              <w:top w:val="single" w:color="000000" w:sz="6" w:space="0"/>
              <w:left w:val="nil"/>
              <w:bottom w:val="nil"/>
              <w:right w:val="nil"/>
            </w:tcBorders>
            <w:shd w:val="clear" w:color="auto" w:fill="EFEFEF"/>
            <w:tcMar>
              <w:top w:w="0" w:type="dxa"/>
              <w:left w:w="0" w:type="dxa"/>
              <w:bottom w:w="0" w:type="dxa"/>
              <w:right w:w="0" w:type="dxa"/>
            </w:tcMar>
            <w:vAlign w:val="center"/>
          </w:tcPr>
          <w:p w14:paraId="522138E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Cohort</w:t>
            </w:r>
          </w:p>
        </w:tc>
      </w:tr>
      <w:tr w14:paraId="3B1253E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005913">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Patients, n</w:t>
            </w:r>
          </w:p>
        </w:tc>
        <w:tc>
          <w:tcPr>
            <w:tcBorders>
              <w:top w:val="nil"/>
              <w:left w:val="nil"/>
              <w:bottom w:val="nil"/>
              <w:right w:val="nil"/>
            </w:tcBorders>
            <w:shd w:val="clear" w:color="auto" w:fill="FFFFFF"/>
            <w:tcMar>
              <w:top w:w="0" w:type="dxa"/>
              <w:left w:w="0" w:type="dxa"/>
              <w:bottom w:w="0" w:type="dxa"/>
              <w:right w:w="0" w:type="dxa"/>
            </w:tcMar>
            <w:vAlign w:val="center"/>
          </w:tcPr>
          <w:p w14:paraId="5F63B8D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16,736</w:t>
            </w:r>
          </w:p>
        </w:tc>
        <w:tc>
          <w:tcPr>
            <w:tcBorders>
              <w:top w:val="nil"/>
              <w:left w:val="nil"/>
              <w:bottom w:val="nil"/>
              <w:right w:val="nil"/>
            </w:tcBorders>
            <w:shd w:val="clear" w:color="auto" w:fill="FFFFFF"/>
            <w:tcMar>
              <w:top w:w="0" w:type="dxa"/>
              <w:left w:w="0" w:type="dxa"/>
              <w:bottom w:w="0" w:type="dxa"/>
              <w:right w:w="0" w:type="dxa"/>
            </w:tcMar>
            <w:vAlign w:val="center"/>
          </w:tcPr>
          <w:p w14:paraId="04856A0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16,736</w:t>
            </w:r>
          </w:p>
        </w:tc>
        <w:tc>
          <w:tcPr>
            <w:tcBorders>
              <w:top w:val="nil"/>
              <w:left w:val="nil"/>
              <w:bottom w:val="nil"/>
              <w:right w:val="nil"/>
            </w:tcBorders>
            <w:shd w:val="clear" w:color="auto" w:fill="FFFFFF"/>
            <w:tcMar>
              <w:top w:w="0" w:type="dxa"/>
              <w:left w:w="0" w:type="dxa"/>
              <w:bottom w:w="0" w:type="dxa"/>
              <w:right w:w="0" w:type="dxa"/>
            </w:tcMar>
            <w:vAlign w:val="center"/>
          </w:tcPr>
          <w:p w14:paraId="47D7B7A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16,736</w:t>
            </w:r>
          </w:p>
        </w:tc>
      </w:tr>
      <w:tr w14:paraId="264E5DD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3C7BE9">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Nephrectomy, n (%)</w:t>
            </w:r>
          </w:p>
        </w:tc>
        <w:tc>
          <w:tcPr>
            <w:tcBorders>
              <w:top w:val="nil"/>
              <w:left w:val="nil"/>
              <w:bottom w:val="nil"/>
              <w:right w:val="nil"/>
            </w:tcBorders>
            <w:shd w:val="clear" w:color="auto" w:fill="FFFFFF"/>
            <w:tcMar>
              <w:top w:w="0" w:type="dxa"/>
              <w:left w:w="0" w:type="dxa"/>
              <w:bottom w:w="0" w:type="dxa"/>
              <w:right w:w="0" w:type="dxa"/>
            </w:tcMar>
            <w:vAlign w:val="center"/>
          </w:tcPr>
          <w:p w14:paraId="1611710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5,988 (35.8)</w:t>
            </w:r>
          </w:p>
        </w:tc>
        <w:tc>
          <w:tcPr>
            <w:tcBorders>
              <w:top w:val="nil"/>
              <w:left w:val="nil"/>
              <w:bottom w:val="nil"/>
              <w:right w:val="nil"/>
            </w:tcBorders>
            <w:shd w:val="clear" w:color="auto" w:fill="FFFFFF"/>
            <w:tcMar>
              <w:top w:w="0" w:type="dxa"/>
              <w:left w:w="0" w:type="dxa"/>
              <w:bottom w:w="0" w:type="dxa"/>
              <w:right w:w="0" w:type="dxa"/>
            </w:tcMar>
            <w:vAlign w:val="center"/>
          </w:tcPr>
          <w:p w14:paraId="71558A3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5,988 (35.8)</w:t>
            </w:r>
          </w:p>
        </w:tc>
        <w:tc>
          <w:tcPr>
            <w:tcBorders>
              <w:top w:val="nil"/>
              <w:left w:val="nil"/>
              <w:bottom w:val="nil"/>
              <w:right w:val="nil"/>
            </w:tcBorders>
            <w:shd w:val="clear" w:color="auto" w:fill="FFFFFF"/>
            <w:tcMar>
              <w:top w:w="0" w:type="dxa"/>
              <w:left w:w="0" w:type="dxa"/>
              <w:bottom w:w="0" w:type="dxa"/>
              <w:right w:w="0" w:type="dxa"/>
            </w:tcMar>
            <w:vAlign w:val="center"/>
          </w:tcPr>
          <w:p w14:paraId="692A99C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5,988 (35.8)</w:t>
            </w:r>
          </w:p>
        </w:tc>
      </w:tr>
      <w:tr w14:paraId="28E08C6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3F4A80A">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Median follow-up (IQR), months</w:t>
            </w:r>
          </w:p>
        </w:tc>
        <w:tc>
          <w:tcPr>
            <w:tcBorders>
              <w:top w:val="nil"/>
              <w:left w:val="nil"/>
              <w:bottom w:val="nil"/>
              <w:right w:val="nil"/>
            </w:tcBorders>
            <w:shd w:val="clear" w:color="auto" w:fill="FFFFFF"/>
            <w:tcMar>
              <w:top w:w="0" w:type="dxa"/>
              <w:left w:w="0" w:type="dxa"/>
              <w:bottom w:w="0" w:type="dxa"/>
              <w:right w:w="0" w:type="dxa"/>
            </w:tcMar>
            <w:vAlign w:val="center"/>
          </w:tcPr>
          <w:p w14:paraId="21F59B9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69 (38–109)</w:t>
            </w:r>
          </w:p>
        </w:tc>
        <w:tc>
          <w:tcPr>
            <w:tcBorders>
              <w:top w:val="nil"/>
              <w:left w:val="nil"/>
              <w:bottom w:val="nil"/>
              <w:right w:val="nil"/>
            </w:tcBorders>
            <w:shd w:val="clear" w:color="auto" w:fill="FFFFFF"/>
            <w:tcMar>
              <w:top w:w="0" w:type="dxa"/>
              <w:left w:w="0" w:type="dxa"/>
              <w:bottom w:w="0" w:type="dxa"/>
              <w:right w:w="0" w:type="dxa"/>
            </w:tcMar>
            <w:vAlign w:val="center"/>
          </w:tcPr>
          <w:p w14:paraId="19A2477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69 (38–109)</w:t>
            </w:r>
          </w:p>
        </w:tc>
        <w:tc>
          <w:tcPr>
            <w:tcBorders>
              <w:top w:val="nil"/>
              <w:left w:val="nil"/>
              <w:bottom w:val="nil"/>
              <w:right w:val="nil"/>
            </w:tcBorders>
            <w:shd w:val="clear" w:color="auto" w:fill="FFFFFF"/>
            <w:tcMar>
              <w:top w:w="0" w:type="dxa"/>
              <w:left w:w="0" w:type="dxa"/>
              <w:bottom w:w="0" w:type="dxa"/>
              <w:right w:w="0" w:type="dxa"/>
            </w:tcMar>
            <w:vAlign w:val="center"/>
          </w:tcPr>
          <w:p w14:paraId="259A024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69 (38–109)</w:t>
            </w:r>
          </w:p>
        </w:tc>
      </w:tr>
      <w:tr w14:paraId="48EE9E8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266006F">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All-cause deaths,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4C08C24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4,203 / 9,418</w:t>
            </w:r>
          </w:p>
        </w:tc>
        <w:tc>
          <w:tcPr>
            <w:tcBorders>
              <w:top w:val="nil"/>
              <w:left w:val="nil"/>
              <w:bottom w:val="nil"/>
              <w:right w:val="nil"/>
            </w:tcBorders>
            <w:shd w:val="clear" w:color="auto" w:fill="FFFFFF"/>
            <w:tcMar>
              <w:top w:w="0" w:type="dxa"/>
              <w:left w:w="0" w:type="dxa"/>
              <w:bottom w:w="0" w:type="dxa"/>
              <w:right w:w="0" w:type="dxa"/>
            </w:tcMar>
            <w:vAlign w:val="center"/>
          </w:tcPr>
          <w:p w14:paraId="6A008C4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4,203 / 9,418</w:t>
            </w:r>
          </w:p>
        </w:tc>
        <w:tc>
          <w:tcPr>
            <w:tcBorders>
              <w:top w:val="nil"/>
              <w:left w:val="nil"/>
              <w:bottom w:val="nil"/>
              <w:right w:val="nil"/>
            </w:tcBorders>
            <w:shd w:val="clear" w:color="auto" w:fill="FFFFFF"/>
            <w:tcMar>
              <w:top w:w="0" w:type="dxa"/>
              <w:left w:w="0" w:type="dxa"/>
              <w:bottom w:w="0" w:type="dxa"/>
              <w:right w:w="0" w:type="dxa"/>
            </w:tcMar>
            <w:vAlign w:val="center"/>
          </w:tcPr>
          <w:p w14:paraId="395739F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4,203 / 9,418</w:t>
            </w:r>
          </w:p>
        </w:tc>
      </w:tr>
      <w:tr w14:paraId="1F246B0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0653792">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Cardiovascular deaths,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37A9B72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133 / 261</w:t>
            </w:r>
          </w:p>
        </w:tc>
        <w:tc>
          <w:tcPr>
            <w:tcBorders>
              <w:top w:val="nil"/>
              <w:left w:val="nil"/>
              <w:bottom w:val="nil"/>
              <w:right w:val="nil"/>
            </w:tcBorders>
            <w:shd w:val="clear" w:color="auto" w:fill="FFFFFF"/>
            <w:tcMar>
              <w:top w:w="0" w:type="dxa"/>
              <w:left w:w="0" w:type="dxa"/>
              <w:bottom w:w="0" w:type="dxa"/>
              <w:right w:w="0" w:type="dxa"/>
            </w:tcMar>
            <w:vAlign w:val="center"/>
          </w:tcPr>
          <w:p w14:paraId="4DF35A9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133 / 261</w:t>
            </w:r>
          </w:p>
        </w:tc>
        <w:tc>
          <w:tcPr>
            <w:tcBorders>
              <w:top w:val="nil"/>
              <w:left w:val="nil"/>
              <w:bottom w:val="nil"/>
              <w:right w:val="nil"/>
            </w:tcBorders>
            <w:shd w:val="clear" w:color="auto" w:fill="FFFFFF"/>
            <w:tcMar>
              <w:top w:w="0" w:type="dxa"/>
              <w:left w:w="0" w:type="dxa"/>
              <w:bottom w:w="0" w:type="dxa"/>
              <w:right w:w="0" w:type="dxa"/>
            </w:tcMar>
            <w:vAlign w:val="center"/>
          </w:tcPr>
          <w:p w14:paraId="598F2E1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133 / 261</w:t>
            </w:r>
          </w:p>
        </w:tc>
      </w:tr>
      <w:tr w14:paraId="0AF38A8A">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EFEFEF"/>
            <w:tcMar>
              <w:top w:w="0" w:type="dxa"/>
              <w:left w:w="0" w:type="dxa"/>
              <w:bottom w:w="0" w:type="dxa"/>
              <w:right w:w="0" w:type="dxa"/>
            </w:tcMar>
            <w:vAlign w:val="center"/>
          </w:tcPr>
          <w:p w14:paraId="6E4D753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All-cause death, HR (95% CI)</w:t>
            </w:r>
          </w:p>
        </w:tc>
      </w:tr>
      <w:tr w14:paraId="55E5561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085792">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M0, unadjusted</w:t>
            </w:r>
          </w:p>
        </w:tc>
        <w:tc>
          <w:tcPr>
            <w:tcBorders>
              <w:top w:val="nil"/>
              <w:left w:val="nil"/>
              <w:bottom w:val="nil"/>
              <w:right w:val="nil"/>
            </w:tcBorders>
            <w:shd w:val="clear" w:color="auto" w:fill="FFFFFF"/>
            <w:tcMar>
              <w:top w:w="0" w:type="dxa"/>
              <w:left w:w="0" w:type="dxa"/>
              <w:bottom w:w="0" w:type="dxa"/>
              <w:right w:w="0" w:type="dxa"/>
            </w:tcMar>
            <w:vAlign w:val="center"/>
          </w:tcPr>
          <w:p w14:paraId="71A5B7D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0.384 (0.371–0.397)</w:t>
            </w:r>
          </w:p>
        </w:tc>
        <w:tc>
          <w:tcPr>
            <w:tcBorders>
              <w:top w:val="nil"/>
              <w:left w:val="nil"/>
              <w:bottom w:val="nil"/>
              <w:right w:val="nil"/>
            </w:tcBorders>
            <w:shd w:val="clear" w:color="auto" w:fill="FFFFFF"/>
            <w:tcMar>
              <w:top w:w="0" w:type="dxa"/>
              <w:left w:w="0" w:type="dxa"/>
              <w:bottom w:w="0" w:type="dxa"/>
              <w:right w:w="0" w:type="dxa"/>
            </w:tcMar>
            <w:vAlign w:val="center"/>
          </w:tcPr>
          <w:p w14:paraId="7381BFF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0.384 (0.371–0.397)</w:t>
            </w:r>
          </w:p>
        </w:tc>
        <w:tc>
          <w:tcPr>
            <w:tcBorders>
              <w:top w:val="nil"/>
              <w:left w:val="nil"/>
              <w:bottom w:val="nil"/>
              <w:right w:val="nil"/>
            </w:tcBorders>
            <w:shd w:val="clear" w:color="auto" w:fill="FFFFFF"/>
            <w:tcMar>
              <w:top w:w="0" w:type="dxa"/>
              <w:left w:w="0" w:type="dxa"/>
              <w:bottom w:w="0" w:type="dxa"/>
              <w:right w:w="0" w:type="dxa"/>
            </w:tcMar>
            <w:vAlign w:val="center"/>
          </w:tcPr>
          <w:p w14:paraId="717CC46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0.384 (0.371–0.397)</w:t>
            </w:r>
          </w:p>
        </w:tc>
      </w:tr>
      <w:tr w14:paraId="7BA8A38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13BD94">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M1, multivariable-adjusted</w:t>
            </w:r>
          </w:p>
        </w:tc>
        <w:tc>
          <w:tcPr>
            <w:tcBorders>
              <w:top w:val="nil"/>
              <w:left w:val="nil"/>
              <w:bottom w:val="nil"/>
              <w:right w:val="nil"/>
            </w:tcBorders>
            <w:shd w:val="clear" w:color="auto" w:fill="FFFFFF"/>
            <w:tcMar>
              <w:top w:w="0" w:type="dxa"/>
              <w:left w:w="0" w:type="dxa"/>
              <w:bottom w:w="0" w:type="dxa"/>
              <w:right w:w="0" w:type="dxa"/>
            </w:tcMar>
            <w:vAlign w:val="center"/>
          </w:tcPr>
          <w:p w14:paraId="4DE9485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0.406 (0.386–0.434)</w:t>
            </w:r>
          </w:p>
        </w:tc>
        <w:tc>
          <w:tcPr>
            <w:tcBorders>
              <w:top w:val="nil"/>
              <w:left w:val="nil"/>
              <w:bottom w:val="nil"/>
              <w:right w:val="nil"/>
            </w:tcBorders>
            <w:shd w:val="clear" w:color="auto" w:fill="FFFFFF"/>
            <w:tcMar>
              <w:top w:w="0" w:type="dxa"/>
              <w:left w:w="0" w:type="dxa"/>
              <w:bottom w:w="0" w:type="dxa"/>
              <w:right w:w="0" w:type="dxa"/>
            </w:tcMar>
            <w:vAlign w:val="center"/>
          </w:tcPr>
          <w:p w14:paraId="7B7DAF1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0.421 (0.398–0.442)</w:t>
            </w:r>
          </w:p>
        </w:tc>
        <w:tc>
          <w:tcPr>
            <w:tcBorders>
              <w:top w:val="nil"/>
              <w:left w:val="nil"/>
              <w:bottom w:val="nil"/>
              <w:right w:val="nil"/>
            </w:tcBorders>
            <w:shd w:val="clear" w:color="auto" w:fill="FFFFFF"/>
            <w:tcMar>
              <w:top w:w="0" w:type="dxa"/>
              <w:left w:w="0" w:type="dxa"/>
              <w:bottom w:w="0" w:type="dxa"/>
              <w:right w:w="0" w:type="dxa"/>
            </w:tcMar>
            <w:vAlign w:val="center"/>
          </w:tcPr>
          <w:p w14:paraId="4601CAC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0.462 (0.442–0.481)</w:t>
            </w:r>
          </w:p>
        </w:tc>
      </w:tr>
      <w:tr w14:paraId="2539142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56774AF">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M2, overlap-weighted</w:t>
            </w:r>
          </w:p>
        </w:tc>
        <w:tc>
          <w:tcPr>
            <w:tcBorders>
              <w:top w:val="nil"/>
              <w:left w:val="nil"/>
              <w:bottom w:val="nil"/>
              <w:right w:val="nil"/>
            </w:tcBorders>
            <w:shd w:val="clear" w:color="auto" w:fill="FFFFFF"/>
            <w:tcMar>
              <w:top w:w="0" w:type="dxa"/>
              <w:left w:w="0" w:type="dxa"/>
              <w:bottom w:w="0" w:type="dxa"/>
              <w:right w:w="0" w:type="dxa"/>
            </w:tcMar>
            <w:vAlign w:val="center"/>
          </w:tcPr>
          <w:p w14:paraId="2ABC323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0.424 (0.403–0.447)</w:t>
            </w:r>
          </w:p>
        </w:tc>
        <w:tc>
          <w:tcPr>
            <w:tcBorders>
              <w:top w:val="nil"/>
              <w:left w:val="nil"/>
              <w:bottom w:val="nil"/>
              <w:right w:val="nil"/>
            </w:tcBorders>
            <w:shd w:val="clear" w:color="auto" w:fill="FFFFFF"/>
            <w:tcMar>
              <w:top w:w="0" w:type="dxa"/>
              <w:left w:w="0" w:type="dxa"/>
              <w:bottom w:w="0" w:type="dxa"/>
              <w:right w:w="0" w:type="dxa"/>
            </w:tcMar>
            <w:vAlign w:val="center"/>
          </w:tcPr>
          <w:p w14:paraId="0C410CD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0.437 (0.413–0.458)</w:t>
            </w:r>
          </w:p>
        </w:tc>
        <w:tc>
          <w:tcPr>
            <w:tcBorders>
              <w:top w:val="nil"/>
              <w:left w:val="nil"/>
              <w:bottom w:val="nil"/>
              <w:right w:val="nil"/>
            </w:tcBorders>
            <w:shd w:val="clear" w:color="auto" w:fill="FFFFFF"/>
            <w:tcMar>
              <w:top w:w="0" w:type="dxa"/>
              <w:left w:w="0" w:type="dxa"/>
              <w:bottom w:w="0" w:type="dxa"/>
              <w:right w:w="0" w:type="dxa"/>
            </w:tcMar>
            <w:vAlign w:val="center"/>
          </w:tcPr>
          <w:p w14:paraId="5B7D3157">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0.473 (0.451–0.493)</w:t>
            </w:r>
          </w:p>
        </w:tc>
      </w:tr>
      <w:tr w14:paraId="5372746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1AF8077">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RMST difference at 60 months, months</w:t>
            </w:r>
          </w:p>
        </w:tc>
        <w:tc>
          <w:tcPr>
            <w:tcBorders>
              <w:top w:val="nil"/>
              <w:left w:val="nil"/>
              <w:bottom w:val="nil"/>
              <w:right w:val="nil"/>
            </w:tcBorders>
            <w:shd w:val="clear" w:color="auto" w:fill="FFFFFF"/>
            <w:tcMar>
              <w:top w:w="0" w:type="dxa"/>
              <w:left w:w="0" w:type="dxa"/>
              <w:bottom w:w="0" w:type="dxa"/>
              <w:right w:w="0" w:type="dxa"/>
            </w:tcMar>
            <w:vAlign w:val="center"/>
          </w:tcPr>
          <w:p w14:paraId="774AAF5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+16.49 (+15.55 to +17.34)</w:t>
            </w:r>
          </w:p>
        </w:tc>
        <w:tc>
          <w:tcPr>
            <w:tcBorders>
              <w:top w:val="nil"/>
              <w:left w:val="nil"/>
              <w:bottom w:val="nil"/>
              <w:right w:val="nil"/>
            </w:tcBorders>
            <w:shd w:val="clear" w:color="auto" w:fill="FFFFFF"/>
            <w:tcMar>
              <w:top w:w="0" w:type="dxa"/>
              <w:left w:w="0" w:type="dxa"/>
              <w:bottom w:w="0" w:type="dxa"/>
              <w:right w:w="0" w:type="dxa"/>
            </w:tcMar>
            <w:vAlign w:val="center"/>
          </w:tcPr>
          <w:p w14:paraId="29E74A3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+16.01 (+15.17 to +16.97)</w:t>
            </w:r>
          </w:p>
        </w:tc>
        <w:tc>
          <w:tcPr>
            <w:tcBorders>
              <w:top w:val="nil"/>
              <w:left w:val="nil"/>
              <w:bottom w:val="nil"/>
              <w:right w:val="nil"/>
            </w:tcBorders>
            <w:shd w:val="clear" w:color="auto" w:fill="FFFFFF"/>
            <w:tcMar>
              <w:top w:w="0" w:type="dxa"/>
              <w:left w:w="0" w:type="dxa"/>
              <w:bottom w:w="0" w:type="dxa"/>
              <w:right w:w="0" w:type="dxa"/>
            </w:tcMar>
            <w:vAlign w:val="center"/>
          </w:tcPr>
          <w:p w14:paraId="1370EA4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+14.44 (+13.61 to +15.26)</w:t>
            </w:r>
          </w:p>
        </w:tc>
      </w:tr>
      <w:tr w14:paraId="2325F676">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EFEFEF"/>
            <w:tcMar>
              <w:top w:w="0" w:type="dxa"/>
              <w:left w:w="0" w:type="dxa"/>
              <w:bottom w:w="0" w:type="dxa"/>
              <w:right w:w="0" w:type="dxa"/>
            </w:tcMar>
            <w:vAlign w:val="center"/>
          </w:tcPr>
          <w:p w14:paraId="59885B0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Cardiovascular death (negative control), HR (95% CI)</w:t>
            </w:r>
          </w:p>
        </w:tc>
      </w:tr>
      <w:tr w14:paraId="318B952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47B0B8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M0, unadjusted</w:t>
            </w:r>
          </w:p>
        </w:tc>
        <w:tc>
          <w:tcPr>
            <w:tcBorders>
              <w:top w:val="nil"/>
              <w:left w:val="nil"/>
              <w:bottom w:val="nil"/>
              <w:right w:val="nil"/>
            </w:tcBorders>
            <w:shd w:val="clear" w:color="auto" w:fill="FFFFFF"/>
            <w:tcMar>
              <w:top w:w="0" w:type="dxa"/>
              <w:left w:w="0" w:type="dxa"/>
              <w:bottom w:w="0" w:type="dxa"/>
              <w:right w:w="0" w:type="dxa"/>
            </w:tcMar>
            <w:vAlign w:val="center"/>
          </w:tcPr>
          <w:p w14:paraId="12AACEF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0.393 (0.313–0.482)</w:t>
            </w:r>
          </w:p>
        </w:tc>
        <w:tc>
          <w:tcPr>
            <w:tcBorders>
              <w:top w:val="nil"/>
              <w:left w:val="nil"/>
              <w:bottom w:val="nil"/>
              <w:right w:val="nil"/>
            </w:tcBorders>
            <w:shd w:val="clear" w:color="auto" w:fill="FFFFFF"/>
            <w:tcMar>
              <w:top w:w="0" w:type="dxa"/>
              <w:left w:w="0" w:type="dxa"/>
              <w:bottom w:w="0" w:type="dxa"/>
              <w:right w:w="0" w:type="dxa"/>
            </w:tcMar>
            <w:vAlign w:val="center"/>
          </w:tcPr>
          <w:p w14:paraId="5293523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0.393 (0.313–0.482)</w:t>
            </w:r>
          </w:p>
        </w:tc>
        <w:tc>
          <w:tcPr>
            <w:tcBorders>
              <w:top w:val="nil"/>
              <w:left w:val="nil"/>
              <w:bottom w:val="nil"/>
              <w:right w:val="nil"/>
            </w:tcBorders>
            <w:shd w:val="clear" w:color="auto" w:fill="FFFFFF"/>
            <w:tcMar>
              <w:top w:w="0" w:type="dxa"/>
              <w:left w:w="0" w:type="dxa"/>
              <w:bottom w:w="0" w:type="dxa"/>
              <w:right w:w="0" w:type="dxa"/>
            </w:tcMar>
            <w:vAlign w:val="center"/>
          </w:tcPr>
          <w:p w14:paraId="0D4D835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0.393 (0.313–0.482)</w:t>
            </w:r>
          </w:p>
        </w:tc>
      </w:tr>
      <w:tr w14:paraId="17DDC6B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B688A41">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M1, multivariable-adjusted</w:t>
            </w:r>
          </w:p>
        </w:tc>
        <w:tc>
          <w:tcPr>
            <w:tcBorders>
              <w:top w:val="nil"/>
              <w:left w:val="nil"/>
              <w:bottom w:val="nil"/>
              <w:right w:val="nil"/>
            </w:tcBorders>
            <w:shd w:val="clear" w:color="auto" w:fill="FFFFFF"/>
            <w:tcMar>
              <w:top w:w="0" w:type="dxa"/>
              <w:left w:w="0" w:type="dxa"/>
              <w:bottom w:w="0" w:type="dxa"/>
              <w:right w:w="0" w:type="dxa"/>
            </w:tcMar>
            <w:vAlign w:val="center"/>
          </w:tcPr>
          <w:p w14:paraId="0F0E51C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0.519 (0.384–0.708)</w:t>
            </w:r>
          </w:p>
        </w:tc>
        <w:tc>
          <w:tcPr>
            <w:tcBorders>
              <w:top w:val="nil"/>
              <w:left w:val="nil"/>
              <w:bottom w:val="nil"/>
              <w:right w:val="nil"/>
            </w:tcBorders>
            <w:shd w:val="clear" w:color="auto" w:fill="FFFFFF"/>
            <w:tcMar>
              <w:top w:w="0" w:type="dxa"/>
              <w:left w:w="0" w:type="dxa"/>
              <w:bottom w:w="0" w:type="dxa"/>
              <w:right w:w="0" w:type="dxa"/>
            </w:tcMar>
            <w:vAlign w:val="center"/>
          </w:tcPr>
          <w:p w14:paraId="3BEBFBB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0.522 (0.377–0.733)</w:t>
            </w:r>
          </w:p>
        </w:tc>
        <w:tc>
          <w:tcPr>
            <w:tcBorders>
              <w:top w:val="nil"/>
              <w:left w:val="nil"/>
              <w:bottom w:val="nil"/>
              <w:right w:val="nil"/>
            </w:tcBorders>
            <w:shd w:val="clear" w:color="auto" w:fill="FFFFFF"/>
            <w:tcMar>
              <w:top w:w="0" w:type="dxa"/>
              <w:left w:w="0" w:type="dxa"/>
              <w:bottom w:w="0" w:type="dxa"/>
              <w:right w:w="0" w:type="dxa"/>
            </w:tcMar>
            <w:vAlign w:val="center"/>
          </w:tcPr>
          <w:p w14:paraId="5CFBBCC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0.538 (0.405–0.692)</w:t>
            </w:r>
          </w:p>
        </w:tc>
      </w:tr>
      <w:tr w14:paraId="3C7E179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A987BB2">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M2, overlap-weighted</w:t>
            </w:r>
          </w:p>
        </w:tc>
        <w:tc>
          <w:tcPr>
            <w:tcBorders>
              <w:top w:val="nil"/>
              <w:left w:val="nil"/>
              <w:bottom w:val="nil"/>
              <w:right w:val="nil"/>
            </w:tcBorders>
            <w:shd w:val="clear" w:color="auto" w:fill="FFFFFF"/>
            <w:tcMar>
              <w:top w:w="0" w:type="dxa"/>
              <w:left w:w="0" w:type="dxa"/>
              <w:bottom w:w="0" w:type="dxa"/>
              <w:right w:w="0" w:type="dxa"/>
            </w:tcMar>
            <w:vAlign w:val="center"/>
          </w:tcPr>
          <w:p w14:paraId="7644D23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0.528 (0.391–0.701)</w:t>
            </w:r>
          </w:p>
        </w:tc>
        <w:tc>
          <w:tcPr>
            <w:tcBorders>
              <w:top w:val="nil"/>
              <w:left w:val="nil"/>
              <w:bottom w:val="nil"/>
              <w:right w:val="nil"/>
            </w:tcBorders>
            <w:shd w:val="clear" w:color="auto" w:fill="FFFFFF"/>
            <w:tcMar>
              <w:top w:w="0" w:type="dxa"/>
              <w:left w:w="0" w:type="dxa"/>
              <w:bottom w:w="0" w:type="dxa"/>
              <w:right w:w="0" w:type="dxa"/>
            </w:tcMar>
            <w:vAlign w:val="center"/>
          </w:tcPr>
          <w:p w14:paraId="156CD75E">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0.491 (0.348–0.690)</w:t>
            </w:r>
          </w:p>
        </w:tc>
        <w:tc>
          <w:tcPr>
            <w:tcBorders>
              <w:top w:val="nil"/>
              <w:left w:val="nil"/>
              <w:bottom w:val="nil"/>
              <w:right w:val="nil"/>
            </w:tcBorders>
            <w:shd w:val="clear" w:color="auto" w:fill="FFFFFF"/>
            <w:tcMar>
              <w:top w:w="0" w:type="dxa"/>
              <w:left w:w="0" w:type="dxa"/>
              <w:bottom w:w="0" w:type="dxa"/>
              <w:right w:w="0" w:type="dxa"/>
            </w:tcMar>
            <w:vAlign w:val="center"/>
          </w:tcPr>
          <w:p w14:paraId="20DF004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0.542 (0.406–0.704)</w:t>
            </w:r>
          </w:p>
        </w:tc>
      </w:tr>
      <w:tr w14:paraId="6B88C582">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EFEFEF"/>
            <w:tcMar>
              <w:top w:w="0" w:type="dxa"/>
              <w:left w:w="0" w:type="dxa"/>
              <w:bottom w:w="0" w:type="dxa"/>
              <w:right w:w="0" w:type="dxa"/>
            </w:tcMar>
            <w:vAlign w:val="center"/>
          </w:tcPr>
          <w:p w14:paraId="7BEA5AB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Calibrated HR for all-cause death (95% CI)</w:t>
            </w:r>
          </w:p>
        </w:tc>
      </w:tr>
      <w:tr w14:paraId="18CF1FF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BFB3E4B">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0.50</w:t>
            </w:r>
          </w:p>
        </w:tc>
        <w:tc>
          <w:tcPr>
            <w:tcBorders>
              <w:top w:val="nil"/>
              <w:left w:val="nil"/>
              <w:bottom w:val="nil"/>
              <w:right w:val="nil"/>
            </w:tcBorders>
            <w:shd w:val="clear" w:color="auto" w:fill="FFFFFF"/>
            <w:tcMar>
              <w:top w:w="0" w:type="dxa"/>
              <w:left w:w="0" w:type="dxa"/>
              <w:bottom w:w="0" w:type="dxa"/>
              <w:right w:w="0" w:type="dxa"/>
            </w:tcMar>
            <w:vAlign w:val="center"/>
          </w:tcPr>
          <w:p w14:paraId="403B681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0.584 (0.505–0.680)</w:t>
            </w:r>
          </w:p>
        </w:tc>
        <w:tc>
          <w:tcPr>
            <w:tcBorders>
              <w:top w:val="nil"/>
              <w:left w:val="nil"/>
              <w:bottom w:val="nil"/>
              <w:right w:val="nil"/>
            </w:tcBorders>
            <w:shd w:val="clear" w:color="auto" w:fill="FFFFFF"/>
            <w:tcMar>
              <w:top w:w="0" w:type="dxa"/>
              <w:left w:w="0" w:type="dxa"/>
              <w:bottom w:w="0" w:type="dxa"/>
              <w:right w:w="0" w:type="dxa"/>
            </w:tcMar>
            <w:vAlign w:val="center"/>
          </w:tcPr>
          <w:p w14:paraId="1B35A89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0.624 (0.528–0.742)</w:t>
            </w:r>
          </w:p>
        </w:tc>
        <w:tc>
          <w:tcPr>
            <w:tcBorders>
              <w:top w:val="nil"/>
              <w:left w:val="nil"/>
              <w:bottom w:val="nil"/>
              <w:right w:val="nil"/>
            </w:tcBorders>
            <w:shd w:val="clear" w:color="auto" w:fill="FFFFFF"/>
            <w:tcMar>
              <w:top w:w="0" w:type="dxa"/>
              <w:left w:w="0" w:type="dxa"/>
              <w:bottom w:w="0" w:type="dxa"/>
              <w:right w:w="0" w:type="dxa"/>
            </w:tcMar>
            <w:vAlign w:val="center"/>
          </w:tcPr>
          <w:p w14:paraId="13ABBE7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0.642 (0.558–0.735)</w:t>
            </w:r>
          </w:p>
        </w:tc>
      </w:tr>
      <w:tr w14:paraId="107C520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0C6085B">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0.75</w:t>
            </w:r>
          </w:p>
        </w:tc>
        <w:tc>
          <w:tcPr>
            <w:tcBorders>
              <w:top w:val="nil"/>
              <w:left w:val="nil"/>
              <w:bottom w:val="nil"/>
              <w:right w:val="nil"/>
            </w:tcBorders>
            <w:shd w:val="clear" w:color="auto" w:fill="FFFFFF"/>
            <w:tcMar>
              <w:top w:w="0" w:type="dxa"/>
              <w:left w:w="0" w:type="dxa"/>
              <w:bottom w:w="0" w:type="dxa"/>
              <w:right w:w="0" w:type="dxa"/>
            </w:tcMar>
            <w:vAlign w:val="center"/>
          </w:tcPr>
          <w:p w14:paraId="2B4A135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0.686 (0.556–0.856)</w:t>
            </w:r>
          </w:p>
        </w:tc>
        <w:tc>
          <w:tcPr>
            <w:tcBorders>
              <w:top w:val="nil"/>
              <w:left w:val="nil"/>
              <w:bottom w:val="nil"/>
              <w:right w:val="nil"/>
            </w:tcBorders>
            <w:shd w:val="clear" w:color="auto" w:fill="FFFFFF"/>
            <w:tcMar>
              <w:top w:w="0" w:type="dxa"/>
              <w:left w:w="0" w:type="dxa"/>
              <w:bottom w:w="0" w:type="dxa"/>
              <w:right w:w="0" w:type="dxa"/>
            </w:tcMar>
            <w:vAlign w:val="center"/>
          </w:tcPr>
          <w:p w14:paraId="0C61EB5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0.746 (0.581–0.960)</w:t>
            </w:r>
          </w:p>
        </w:tc>
        <w:tc>
          <w:tcPr>
            <w:tcBorders>
              <w:top w:val="nil"/>
              <w:left w:val="nil"/>
              <w:bottom w:val="nil"/>
              <w:right w:val="nil"/>
            </w:tcBorders>
            <w:shd w:val="clear" w:color="auto" w:fill="FFFFFF"/>
            <w:tcMar>
              <w:top w:w="0" w:type="dxa"/>
              <w:left w:w="0" w:type="dxa"/>
              <w:bottom w:w="0" w:type="dxa"/>
              <w:right w:w="0" w:type="dxa"/>
            </w:tcMar>
            <w:vAlign w:val="center"/>
          </w:tcPr>
          <w:p w14:paraId="42CA64C1">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0.748 (0.612–0.920)</w:t>
            </w:r>
          </w:p>
        </w:tc>
      </w:tr>
      <w:tr w14:paraId="327C00D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6BD2175">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λ = 1.00</w:t>
            </w:r>
          </w:p>
        </w:tc>
        <w:tc>
          <w:tcPr>
            <w:tcBorders>
              <w:top w:val="nil"/>
              <w:left w:val="nil"/>
              <w:bottom w:val="nil"/>
              <w:right w:val="nil"/>
            </w:tcBorders>
            <w:shd w:val="clear" w:color="auto" w:fill="FFFFFF"/>
            <w:tcMar>
              <w:top w:w="0" w:type="dxa"/>
              <w:left w:w="0" w:type="dxa"/>
              <w:bottom w:w="0" w:type="dxa"/>
              <w:right w:w="0" w:type="dxa"/>
            </w:tcMar>
            <w:vAlign w:val="center"/>
          </w:tcPr>
          <w:p w14:paraId="723D205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0.804 (0.610–1.082)</w:t>
            </w:r>
          </w:p>
        </w:tc>
        <w:tc>
          <w:tcPr>
            <w:tcBorders>
              <w:top w:val="nil"/>
              <w:left w:val="nil"/>
              <w:bottom w:val="nil"/>
              <w:right w:val="nil"/>
            </w:tcBorders>
            <w:shd w:val="clear" w:color="auto" w:fill="FFFFFF"/>
            <w:tcMar>
              <w:top w:w="0" w:type="dxa"/>
              <w:left w:w="0" w:type="dxa"/>
              <w:bottom w:w="0" w:type="dxa"/>
              <w:right w:w="0" w:type="dxa"/>
            </w:tcMar>
            <w:vAlign w:val="center"/>
          </w:tcPr>
          <w:p w14:paraId="2A266D7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0.892 (0.640–1.243)</w:t>
            </w:r>
          </w:p>
        </w:tc>
        <w:tc>
          <w:tcPr>
            <w:tcBorders>
              <w:top w:val="nil"/>
              <w:left w:val="nil"/>
              <w:bottom w:val="nil"/>
              <w:right w:val="nil"/>
            </w:tcBorders>
            <w:shd w:val="clear" w:color="auto" w:fill="FFFFFF"/>
            <w:tcMar>
              <w:top w:w="0" w:type="dxa"/>
              <w:left w:w="0" w:type="dxa"/>
              <w:bottom w:w="0" w:type="dxa"/>
              <w:right w:w="0" w:type="dxa"/>
            </w:tcMar>
            <w:vAlign w:val="center"/>
          </w:tcPr>
          <w:p w14:paraId="3CBB3CF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0.871 (0.671–1.149)</w:t>
            </w:r>
          </w:p>
        </w:tc>
      </w:tr>
      <w:tr w14:paraId="5524591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4E7489C">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1.50</w:t>
            </w:r>
          </w:p>
        </w:tc>
        <w:tc>
          <w:tcPr>
            <w:tcBorders>
              <w:top w:val="nil"/>
              <w:left w:val="nil"/>
              <w:bottom w:val="nil"/>
              <w:right w:val="nil"/>
            </w:tcBorders>
            <w:shd w:val="clear" w:color="auto" w:fill="FFFFFF"/>
            <w:tcMar>
              <w:top w:w="0" w:type="dxa"/>
              <w:left w:w="0" w:type="dxa"/>
              <w:bottom w:w="0" w:type="dxa"/>
              <w:right w:w="0" w:type="dxa"/>
            </w:tcMar>
            <w:vAlign w:val="center"/>
          </w:tcPr>
          <w:p w14:paraId="6F697CB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1.107 (0.732–1.721)</w:t>
            </w:r>
          </w:p>
        </w:tc>
        <w:tc>
          <w:tcPr>
            <w:tcBorders>
              <w:top w:val="nil"/>
              <w:left w:val="nil"/>
              <w:bottom w:val="nil"/>
              <w:right w:val="nil"/>
            </w:tcBorders>
            <w:shd w:val="clear" w:color="auto" w:fill="FFFFFF"/>
            <w:tcMar>
              <w:top w:w="0" w:type="dxa"/>
              <w:left w:w="0" w:type="dxa"/>
              <w:bottom w:w="0" w:type="dxa"/>
              <w:right w:w="0" w:type="dxa"/>
            </w:tcMar>
            <w:vAlign w:val="center"/>
          </w:tcPr>
          <w:p w14:paraId="6B50640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1.273 (0.770–2.070)</w:t>
            </w:r>
          </w:p>
        </w:tc>
        <w:tc>
          <w:tcPr>
            <w:tcBorders>
              <w:top w:val="nil"/>
              <w:left w:val="nil"/>
              <w:bottom w:val="nil"/>
              <w:right w:val="nil"/>
            </w:tcBorders>
            <w:shd w:val="clear" w:color="auto" w:fill="FFFFFF"/>
            <w:tcMar>
              <w:top w:w="0" w:type="dxa"/>
              <w:left w:w="0" w:type="dxa"/>
              <w:bottom w:w="0" w:type="dxa"/>
              <w:right w:w="0" w:type="dxa"/>
            </w:tcMar>
            <w:vAlign w:val="center"/>
          </w:tcPr>
          <w:p w14:paraId="51A961C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1.183 (0.806–1.802)</w:t>
            </w:r>
          </w:p>
        </w:tc>
      </w:tr>
      <w:tr w14:paraId="14F7F77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16048DA">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λ = 2.00</w:t>
            </w:r>
          </w:p>
        </w:tc>
        <w:tc>
          <w:tcPr>
            <w:tcBorders>
              <w:top w:val="nil"/>
              <w:left w:val="nil"/>
              <w:bottom w:val="nil"/>
              <w:right w:val="nil"/>
            </w:tcBorders>
            <w:shd w:val="clear" w:color="auto" w:fill="FFFFFF"/>
            <w:tcMar>
              <w:top w:w="0" w:type="dxa"/>
              <w:left w:w="0" w:type="dxa"/>
              <w:bottom w:w="0" w:type="dxa"/>
              <w:right w:w="0" w:type="dxa"/>
            </w:tcMar>
            <w:vAlign w:val="center"/>
          </w:tcPr>
          <w:p w14:paraId="069059F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1.524 (0.872–2.758)</w:t>
            </w:r>
          </w:p>
        </w:tc>
        <w:tc>
          <w:tcPr>
            <w:tcBorders>
              <w:top w:val="nil"/>
              <w:left w:val="nil"/>
              <w:bottom w:val="nil"/>
              <w:right w:val="nil"/>
            </w:tcBorders>
            <w:shd w:val="clear" w:color="auto" w:fill="FFFFFF"/>
            <w:tcMar>
              <w:top w:w="0" w:type="dxa"/>
              <w:left w:w="0" w:type="dxa"/>
              <w:bottom w:w="0" w:type="dxa"/>
              <w:right w:w="0" w:type="dxa"/>
            </w:tcMar>
            <w:vAlign w:val="center"/>
          </w:tcPr>
          <w:p w14:paraId="0D77FF3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1.817 (0.927–3.512)</w:t>
            </w:r>
          </w:p>
        </w:tc>
        <w:tc>
          <w:tcPr>
            <w:tcBorders>
              <w:top w:val="nil"/>
              <w:left w:val="nil"/>
              <w:bottom w:val="nil"/>
              <w:right w:val="nil"/>
            </w:tcBorders>
            <w:shd w:val="clear" w:color="auto" w:fill="FFFFFF"/>
            <w:tcMar>
              <w:top w:w="0" w:type="dxa"/>
              <w:left w:w="0" w:type="dxa"/>
              <w:bottom w:w="0" w:type="dxa"/>
              <w:right w:w="0" w:type="dxa"/>
            </w:tcMar>
            <w:vAlign w:val="center"/>
          </w:tcPr>
          <w:p w14:paraId="30F06FB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1.606 (0.961–2.829)</w:t>
            </w:r>
          </w:p>
        </w:tc>
      </w:tr>
      <w:tr w14:paraId="450584B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52B0AB7">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Proportion explained at λ = 1, %</w:t>
            </w:r>
          </w:p>
        </w:tc>
        <w:tc>
          <w:tcPr>
            <w:tcBorders>
              <w:top w:val="nil"/>
              <w:left w:val="nil"/>
              <w:bottom w:val="nil"/>
              <w:right w:val="nil"/>
            </w:tcBorders>
            <w:shd w:val="clear" w:color="auto" w:fill="FFFFFF"/>
            <w:tcMar>
              <w:top w:w="0" w:type="dxa"/>
              <w:left w:w="0" w:type="dxa"/>
              <w:bottom w:w="0" w:type="dxa"/>
              <w:right w:w="0" w:type="dxa"/>
            </w:tcMar>
            <w:vAlign w:val="center"/>
          </w:tcPr>
          <w:p w14:paraId="1CAF9DB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74.6 (42.0 to 108.9)</w:t>
            </w:r>
          </w:p>
        </w:tc>
        <w:tc>
          <w:tcPr>
            <w:tcBorders>
              <w:top w:val="nil"/>
              <w:left w:val="nil"/>
              <w:bottom w:val="nil"/>
              <w:right w:val="nil"/>
            </w:tcBorders>
            <w:shd w:val="clear" w:color="auto" w:fill="FFFFFF"/>
            <w:tcMar>
              <w:top w:w="0" w:type="dxa"/>
              <w:left w:w="0" w:type="dxa"/>
              <w:bottom w:w="0" w:type="dxa"/>
              <w:right w:w="0" w:type="dxa"/>
            </w:tcMar>
            <w:vAlign w:val="center"/>
          </w:tcPr>
          <w:p w14:paraId="7BA51D29">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86.1 (45.4 to 126.8)</w:t>
            </w:r>
          </w:p>
        </w:tc>
        <w:tc>
          <w:tcPr>
            <w:tcBorders>
              <w:top w:val="nil"/>
              <w:left w:val="nil"/>
              <w:bottom w:val="nil"/>
              <w:right w:val="nil"/>
            </w:tcBorders>
            <w:shd w:val="clear" w:color="auto" w:fill="FFFFFF"/>
            <w:tcMar>
              <w:top w:w="0" w:type="dxa"/>
              <w:left w:w="0" w:type="dxa"/>
              <w:bottom w:w="0" w:type="dxa"/>
              <w:right w:w="0" w:type="dxa"/>
            </w:tcMar>
            <w:vAlign w:val="center"/>
          </w:tcPr>
          <w:p w14:paraId="080701C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81.6 (47.3 to 118.5)</w:t>
            </w:r>
          </w:p>
        </w:tc>
      </w:tr>
      <w:tr w14:paraId="2264D3A1">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EFEFEF"/>
            <w:tcMar>
              <w:top w:w="0" w:type="dxa"/>
              <w:left w:w="0" w:type="dxa"/>
              <w:bottom w:w="0" w:type="dxa"/>
              <w:right w:w="0" w:type="dxa"/>
            </w:tcMar>
            <w:vAlign w:val="center"/>
          </w:tcPr>
          <w:p w14:paraId="3F2E02F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Selected sensitivity analyses</w:t>
            </w:r>
          </w:p>
        </w:tc>
      </w:tr>
      <w:tr w14:paraId="12C0FD7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2C3F7B6">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γ at which the all-cause association is fully explained</w:t>
            </w:r>
          </w:p>
        </w:tc>
        <w:tc>
          <w:tcPr>
            <w:tcBorders>
              <w:top w:val="nil"/>
              <w:left w:val="nil"/>
              <w:bottom w:val="nil"/>
              <w:right w:val="nil"/>
            </w:tcBorders>
            <w:shd w:val="clear" w:color="auto" w:fill="FFFFFF"/>
            <w:tcMar>
              <w:top w:w="0" w:type="dxa"/>
              <w:left w:w="0" w:type="dxa"/>
              <w:bottom w:w="0" w:type="dxa"/>
              <w:right w:w="0" w:type="dxa"/>
            </w:tcMar>
            <w:vAlign w:val="center"/>
          </w:tcPr>
          <w:p w14:paraId="4005690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1.24</w:t>
            </w:r>
          </w:p>
        </w:tc>
        <w:tc>
          <w:tcPr>
            <w:tcBorders>
              <w:top w:val="nil"/>
              <w:left w:val="nil"/>
              <w:bottom w:val="nil"/>
              <w:right w:val="nil"/>
            </w:tcBorders>
            <w:shd w:val="clear" w:color="auto" w:fill="FFFFFF"/>
            <w:tcMar>
              <w:top w:w="0" w:type="dxa"/>
              <w:left w:w="0" w:type="dxa"/>
              <w:bottom w:w="0" w:type="dxa"/>
              <w:right w:w="0" w:type="dxa"/>
            </w:tcMar>
            <w:vAlign w:val="center"/>
          </w:tcPr>
          <w:p w14:paraId="5EFF4A5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1.12</w:t>
            </w:r>
          </w:p>
        </w:tc>
        <w:tc>
          <w:tcPr>
            <w:tcBorders>
              <w:top w:val="nil"/>
              <w:left w:val="nil"/>
              <w:bottom w:val="nil"/>
              <w:right w:val="nil"/>
            </w:tcBorders>
            <w:shd w:val="clear" w:color="auto" w:fill="FFFFFF"/>
            <w:tcMar>
              <w:top w:w="0" w:type="dxa"/>
              <w:left w:w="0" w:type="dxa"/>
              <w:bottom w:w="0" w:type="dxa"/>
              <w:right w:w="0" w:type="dxa"/>
            </w:tcMar>
            <w:vAlign w:val="center"/>
          </w:tcPr>
          <w:p w14:paraId="52EB7964">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1.15</w:t>
            </w:r>
          </w:p>
        </w:tc>
      </w:tr>
      <w:tr w14:paraId="15C990C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2D198D6">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Non-cancer death as negative control (SA2), HR</w:t>
            </w:r>
          </w:p>
        </w:tc>
        <w:tc>
          <w:tcPr>
            <w:tcBorders>
              <w:top w:val="nil"/>
              <w:left w:val="nil"/>
              <w:bottom w:val="nil"/>
              <w:right w:val="nil"/>
            </w:tcBorders>
            <w:shd w:val="clear" w:color="auto" w:fill="FFFFFF"/>
            <w:tcMar>
              <w:top w:w="0" w:type="dxa"/>
              <w:left w:w="0" w:type="dxa"/>
              <w:bottom w:w="0" w:type="dxa"/>
              <w:right w:w="0" w:type="dxa"/>
            </w:tcMar>
            <w:vAlign w:val="center"/>
          </w:tcPr>
          <w:p w14:paraId="0A27D99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0.584 (0.480–0.689)</w:t>
            </w:r>
          </w:p>
        </w:tc>
        <w:tc>
          <w:tcPr>
            <w:tcBorders>
              <w:top w:val="nil"/>
              <w:left w:val="nil"/>
              <w:bottom w:val="nil"/>
              <w:right w:val="nil"/>
            </w:tcBorders>
            <w:shd w:val="clear" w:color="auto" w:fill="FFFFFF"/>
            <w:tcMar>
              <w:top w:w="0" w:type="dxa"/>
              <w:left w:w="0" w:type="dxa"/>
              <w:bottom w:w="0" w:type="dxa"/>
              <w:right w:w="0" w:type="dxa"/>
            </w:tcMar>
            <w:vAlign w:val="center"/>
          </w:tcPr>
          <w:p w14:paraId="102A627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0.599 (0.494–0.717)</w:t>
            </w:r>
          </w:p>
        </w:tc>
        <w:tc>
          <w:tcPr>
            <w:tcBorders>
              <w:top w:val="nil"/>
              <w:left w:val="nil"/>
              <w:bottom w:val="nil"/>
              <w:right w:val="nil"/>
            </w:tcBorders>
            <w:shd w:val="clear" w:color="auto" w:fill="FFFFFF"/>
            <w:tcMar>
              <w:top w:w="0" w:type="dxa"/>
              <w:left w:w="0" w:type="dxa"/>
              <w:bottom w:w="0" w:type="dxa"/>
              <w:right w:w="0" w:type="dxa"/>
            </w:tcMar>
            <w:vAlign w:val="center"/>
          </w:tcPr>
          <w:p w14:paraId="526AA8C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0.601 (0.507–0.704)</w:t>
            </w:r>
          </w:p>
        </w:tc>
      </w:tr>
      <w:tr w14:paraId="3F9F3C4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645DD23">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IPTW, calibrated HR at λ = 1 (SA8a)</w:t>
            </w:r>
          </w:p>
        </w:tc>
        <w:tc>
          <w:tcPr>
            <w:tcBorders>
              <w:top w:val="nil"/>
              <w:left w:val="nil"/>
              <w:bottom w:val="nil"/>
              <w:right w:val="nil"/>
            </w:tcBorders>
            <w:shd w:val="clear" w:color="auto" w:fill="FFFFFF"/>
            <w:tcMar>
              <w:top w:w="0" w:type="dxa"/>
              <w:left w:w="0" w:type="dxa"/>
              <w:bottom w:w="0" w:type="dxa"/>
              <w:right w:w="0" w:type="dxa"/>
            </w:tcMar>
            <w:vAlign w:val="center"/>
          </w:tcPr>
          <w:p w14:paraId="18AEE0AD">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1.124 (0.798–1.631)</w:t>
            </w:r>
          </w:p>
        </w:tc>
        <w:tc>
          <w:tcPr>
            <w:tcBorders>
              <w:top w:val="nil"/>
              <w:left w:val="nil"/>
              <w:bottom w:val="nil"/>
              <w:right w:val="nil"/>
            </w:tcBorders>
            <w:shd w:val="clear" w:color="auto" w:fill="FFFFFF"/>
            <w:tcMar>
              <w:top w:w="0" w:type="dxa"/>
              <w:left w:w="0" w:type="dxa"/>
              <w:bottom w:w="0" w:type="dxa"/>
              <w:right w:w="0" w:type="dxa"/>
            </w:tcMar>
            <w:vAlign w:val="center"/>
          </w:tcPr>
          <w:p w14:paraId="2A3241D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1.568 (0.931–2.676)</w:t>
            </w:r>
          </w:p>
        </w:tc>
        <w:tc>
          <w:tcPr>
            <w:tcBorders>
              <w:top w:val="nil"/>
              <w:left w:val="nil"/>
              <w:bottom w:val="nil"/>
              <w:right w:val="nil"/>
            </w:tcBorders>
            <w:shd w:val="clear" w:color="auto" w:fill="FFFFFF"/>
            <w:tcMar>
              <w:top w:w="0" w:type="dxa"/>
              <w:left w:w="0" w:type="dxa"/>
              <w:bottom w:w="0" w:type="dxa"/>
              <w:right w:w="0" w:type="dxa"/>
            </w:tcMar>
            <w:vAlign w:val="center"/>
          </w:tcPr>
          <w:p w14:paraId="548AF0FA">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1.053 (0.770–1.453)</w:t>
            </w:r>
          </w:p>
        </w:tc>
      </w:tr>
      <w:tr w14:paraId="2EB5B2A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5492EF1">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Partial nephrectomy excluded, calibrated HR at λ = 1 (SA9)</w:t>
            </w:r>
          </w:p>
        </w:tc>
        <w:tc>
          <w:tcPr>
            <w:tcBorders>
              <w:top w:val="nil"/>
              <w:left w:val="nil"/>
              <w:bottom w:val="nil"/>
              <w:right w:val="nil"/>
            </w:tcBorders>
            <w:shd w:val="clear" w:color="auto" w:fill="FFFFFF"/>
            <w:tcMar>
              <w:top w:w="0" w:type="dxa"/>
              <w:left w:w="0" w:type="dxa"/>
              <w:bottom w:w="0" w:type="dxa"/>
              <w:right w:w="0" w:type="dxa"/>
            </w:tcMar>
            <w:vAlign w:val="center"/>
          </w:tcPr>
          <w:p w14:paraId="4FA1BF9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0.819 (0.620–1.103)</w:t>
            </w:r>
          </w:p>
        </w:tc>
        <w:tc>
          <w:tcPr>
            <w:tcBorders>
              <w:top w:val="nil"/>
              <w:left w:val="nil"/>
              <w:bottom w:val="nil"/>
              <w:right w:val="nil"/>
            </w:tcBorders>
            <w:shd w:val="clear" w:color="auto" w:fill="FFFFFF"/>
            <w:tcMar>
              <w:top w:w="0" w:type="dxa"/>
              <w:left w:w="0" w:type="dxa"/>
              <w:bottom w:w="0" w:type="dxa"/>
              <w:right w:w="0" w:type="dxa"/>
            </w:tcMar>
            <w:vAlign w:val="center"/>
          </w:tcPr>
          <w:p w14:paraId="0479818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0.895 (0.636–1.255)</w:t>
            </w:r>
          </w:p>
        </w:tc>
        <w:tc>
          <w:tcPr>
            <w:tcBorders>
              <w:top w:val="nil"/>
              <w:left w:val="nil"/>
              <w:bottom w:val="nil"/>
              <w:right w:val="nil"/>
            </w:tcBorders>
            <w:shd w:val="clear" w:color="auto" w:fill="FFFFFF"/>
            <w:tcMar>
              <w:top w:w="0" w:type="dxa"/>
              <w:left w:w="0" w:type="dxa"/>
              <w:bottom w:w="0" w:type="dxa"/>
              <w:right w:w="0" w:type="dxa"/>
            </w:tcMar>
            <w:vAlign w:val="center"/>
          </w:tcPr>
          <w:p w14:paraId="5DCC5A08">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0.889 (0.687–1.177)</w:t>
            </w:r>
          </w:p>
        </w:tc>
      </w:tr>
      <w:tr w14:paraId="30DB280C">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EFEFEF"/>
            <w:tcMar>
              <w:top w:w="0" w:type="dxa"/>
              <w:left w:w="0" w:type="dxa"/>
              <w:bottom w:w="0" w:type="dxa"/>
              <w:right w:w="0" w:type="dxa"/>
            </w:tcMar>
            <w:vAlign w:val="center"/>
          </w:tcPr>
          <w:p w14:paraId="339E75C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left"/>
              <w:rPr>
                <w:rFonts w:ascii="Times New Roman" w:hAnsi="Arial" w:eastAsia="Arial" w:cs="Arial"/>
                <w:b/>
                <w:i w:val="0"/>
                <w:strike w:val="0"/>
                <w:color w:val="000000"/>
                <w:sz w:val="18"/>
                <w:szCs w:val="18"/>
                <w:u w:val="none"/>
              </w:rPr>
            </w:pPr>
            <w:r>
              <w:rPr>
                <w:rFonts w:ascii="Times New Roman" w:hAnsi="Arial" w:eastAsia="Arial" w:cs="Arial"/>
                <w:b/>
                <w:i w:val="0"/>
                <w:strike w:val="0"/>
                <w:color w:val="000000"/>
                <w:sz w:val="18"/>
                <w:szCs w:val="18"/>
                <w:u w:val="none"/>
              </w:rPr>
              <w:t>Diagnostics</w:t>
            </w:r>
          </w:p>
        </w:tc>
      </w:tr>
      <w:tr w14:paraId="42434A4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322B2E3">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Propensity score c-statistic</w:t>
            </w:r>
          </w:p>
        </w:tc>
        <w:tc>
          <w:tcPr>
            <w:tcBorders>
              <w:top w:val="nil"/>
              <w:left w:val="nil"/>
              <w:bottom w:val="nil"/>
              <w:right w:val="nil"/>
            </w:tcBorders>
            <w:shd w:val="clear" w:color="auto" w:fill="FFFFFF"/>
            <w:tcMar>
              <w:top w:w="0" w:type="dxa"/>
              <w:left w:w="0" w:type="dxa"/>
              <w:bottom w:w="0" w:type="dxa"/>
              <w:right w:w="0" w:type="dxa"/>
            </w:tcMar>
            <w:vAlign w:val="center"/>
          </w:tcPr>
          <w:p w14:paraId="326183A3">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0.888</w:t>
            </w:r>
          </w:p>
        </w:tc>
        <w:tc>
          <w:tcPr>
            <w:tcBorders>
              <w:top w:val="nil"/>
              <w:left w:val="nil"/>
              <w:bottom w:val="nil"/>
              <w:right w:val="nil"/>
            </w:tcBorders>
            <w:shd w:val="clear" w:color="auto" w:fill="FFFFFF"/>
            <w:tcMar>
              <w:top w:w="0" w:type="dxa"/>
              <w:left w:w="0" w:type="dxa"/>
              <w:bottom w:w="0" w:type="dxa"/>
              <w:right w:w="0" w:type="dxa"/>
            </w:tcMar>
            <w:vAlign w:val="center"/>
          </w:tcPr>
          <w:p w14:paraId="230EA7F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0.927</w:t>
            </w:r>
          </w:p>
        </w:tc>
        <w:tc>
          <w:tcPr>
            <w:tcBorders>
              <w:top w:val="nil"/>
              <w:left w:val="nil"/>
              <w:bottom w:val="nil"/>
              <w:right w:val="nil"/>
            </w:tcBorders>
            <w:shd w:val="clear" w:color="auto" w:fill="FFFFFF"/>
            <w:tcMar>
              <w:top w:w="0" w:type="dxa"/>
              <w:left w:w="0" w:type="dxa"/>
              <w:bottom w:w="0" w:type="dxa"/>
              <w:right w:w="0" w:type="dxa"/>
            </w:tcMar>
            <w:vAlign w:val="center"/>
          </w:tcPr>
          <w:p w14:paraId="1ACB7CF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0.867</w:t>
            </w:r>
          </w:p>
        </w:tc>
      </w:tr>
      <w:tr w14:paraId="5FF4D83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F628516">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Effective sample size, nephrectomy / no nephrectomy</w:t>
            </w:r>
          </w:p>
        </w:tc>
        <w:tc>
          <w:tcPr>
            <w:tcBorders>
              <w:top w:val="nil"/>
              <w:left w:val="nil"/>
              <w:bottom w:val="nil"/>
              <w:right w:val="nil"/>
            </w:tcBorders>
            <w:shd w:val="clear" w:color="auto" w:fill="FFFFFF"/>
            <w:tcMar>
              <w:top w:w="0" w:type="dxa"/>
              <w:left w:w="0" w:type="dxa"/>
              <w:bottom w:w="0" w:type="dxa"/>
              <w:right w:w="0" w:type="dxa"/>
            </w:tcMar>
            <w:vAlign w:val="center"/>
          </w:tcPr>
          <w:p w14:paraId="36E6560C">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3,862 / 4,865</w:t>
            </w:r>
          </w:p>
        </w:tc>
        <w:tc>
          <w:tcPr>
            <w:tcBorders>
              <w:top w:val="nil"/>
              <w:left w:val="nil"/>
              <w:bottom w:val="nil"/>
              <w:right w:val="nil"/>
            </w:tcBorders>
            <w:shd w:val="clear" w:color="auto" w:fill="FFFFFF"/>
            <w:tcMar>
              <w:top w:w="0" w:type="dxa"/>
              <w:left w:w="0" w:type="dxa"/>
              <w:bottom w:w="0" w:type="dxa"/>
              <w:right w:w="0" w:type="dxa"/>
            </w:tcMar>
            <w:vAlign w:val="center"/>
          </w:tcPr>
          <w:p w14:paraId="093CA052">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3,024 / 3,756</w:t>
            </w:r>
          </w:p>
        </w:tc>
        <w:tc>
          <w:tcPr>
            <w:tcBorders>
              <w:top w:val="nil"/>
              <w:left w:val="nil"/>
              <w:bottom w:val="nil"/>
              <w:right w:val="nil"/>
            </w:tcBorders>
            <w:shd w:val="clear" w:color="auto" w:fill="FFFFFF"/>
            <w:tcMar>
              <w:top w:w="0" w:type="dxa"/>
              <w:left w:w="0" w:type="dxa"/>
              <w:bottom w:w="0" w:type="dxa"/>
              <w:right w:w="0" w:type="dxa"/>
            </w:tcMar>
            <w:vAlign w:val="center"/>
          </w:tcPr>
          <w:p w14:paraId="413FC0A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4,283 / 5,277</w:t>
            </w:r>
          </w:p>
        </w:tc>
      </w:tr>
      <w:tr w14:paraId="1C1E01E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14260F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E-value, all-cause death / cardiovascular death</w:t>
            </w:r>
          </w:p>
        </w:tc>
        <w:tc>
          <w:tcPr>
            <w:tcBorders>
              <w:top w:val="nil"/>
              <w:left w:val="nil"/>
              <w:bottom w:val="nil"/>
              <w:right w:val="nil"/>
            </w:tcBorders>
            <w:shd w:val="clear" w:color="auto" w:fill="FFFFFF"/>
            <w:tcMar>
              <w:top w:w="0" w:type="dxa"/>
              <w:left w:w="0" w:type="dxa"/>
              <w:bottom w:w="0" w:type="dxa"/>
              <w:right w:w="0" w:type="dxa"/>
            </w:tcMar>
            <w:vAlign w:val="center"/>
          </w:tcPr>
          <w:p w14:paraId="19F557B6">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3.00 / 2.48</w:t>
            </w:r>
          </w:p>
        </w:tc>
        <w:tc>
          <w:tcPr>
            <w:tcBorders>
              <w:top w:val="nil"/>
              <w:left w:val="nil"/>
              <w:bottom w:val="nil"/>
              <w:right w:val="nil"/>
            </w:tcBorders>
            <w:shd w:val="clear" w:color="auto" w:fill="FFFFFF"/>
            <w:tcMar>
              <w:top w:w="0" w:type="dxa"/>
              <w:left w:w="0" w:type="dxa"/>
              <w:bottom w:w="0" w:type="dxa"/>
              <w:right w:w="0" w:type="dxa"/>
            </w:tcMar>
            <w:vAlign w:val="center"/>
          </w:tcPr>
          <w:p w14:paraId="4EAD821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2.93 / 2.65</w:t>
            </w:r>
          </w:p>
        </w:tc>
        <w:tc>
          <w:tcPr>
            <w:tcBorders>
              <w:top w:val="nil"/>
              <w:left w:val="nil"/>
              <w:bottom w:val="nil"/>
              <w:right w:val="nil"/>
            </w:tcBorders>
            <w:shd w:val="clear" w:color="auto" w:fill="FFFFFF"/>
            <w:tcMar>
              <w:top w:w="0" w:type="dxa"/>
              <w:left w:w="0" w:type="dxa"/>
              <w:bottom w:w="0" w:type="dxa"/>
              <w:right w:w="0" w:type="dxa"/>
            </w:tcMar>
            <w:vAlign w:val="center"/>
          </w:tcPr>
          <w:p w14:paraId="10A552BB">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2.74 / 2.42</w:t>
            </w:r>
          </w:p>
        </w:tc>
      </w:tr>
      <w:tr w14:paraId="4DF3D7B1">
        <w:tblPrEx>
          <w:tblCellMar>
            <w:top w:w="0" w:type="dxa"/>
            <w:left w:w="108" w:type="dxa"/>
            <w:bottom w:w="0" w:type="dxa"/>
            <w:right w:w="108" w:type="dxa"/>
          </w:tblCellMar>
        </w:tblPrEx>
        <w:trPr>
          <w:trHeight w:val="0"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0D0ED190">
            <w:pPr>
              <w:pBdr>
                <w:top w:val="none" w:color="000000" w:sz="0" w:space="0"/>
                <w:left w:val="none" w:color="000000" w:sz="0" w:space="0"/>
                <w:bottom w:val="none" w:color="000000" w:sz="0" w:space="0"/>
                <w:right w:val="none" w:color="000000" w:sz="0" w:space="0"/>
              </w:pBdr>
              <w:spacing w:before="50" w:after="50" w:line="252" w:lineRule="auto"/>
              <w:ind w:left="320" w:right="100" w:firstLine="0" w:firstLineChars="0"/>
              <w:jc w:val="left"/>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Bootstrap resamples completed</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96E62FF">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499</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52641380">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500</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44B9C565">
            <w:pPr>
              <w:pBdr>
                <w:top w:val="none" w:color="000000" w:sz="0" w:space="0"/>
                <w:left w:val="none" w:color="000000" w:sz="0" w:space="0"/>
                <w:bottom w:val="none" w:color="000000" w:sz="0" w:space="0"/>
                <w:right w:val="none" w:color="000000" w:sz="0" w:space="0"/>
              </w:pBdr>
              <w:spacing w:before="50" w:after="50" w:line="252" w:lineRule="auto"/>
              <w:ind w:left="100" w:right="100" w:firstLine="0" w:firstLineChars="0"/>
              <w:jc w:val="center"/>
              <w:rPr>
                <w:rFonts w:ascii="Times New Roman" w:hAnsi="Arial" w:eastAsia="Arial" w:cs="Arial"/>
                <w:b w:val="0"/>
                <w:i w:val="0"/>
                <w:strike w:val="0"/>
                <w:color w:val="000000"/>
                <w:sz w:val="18"/>
                <w:szCs w:val="18"/>
                <w:u w:val="none"/>
              </w:rPr>
            </w:pPr>
            <w:r>
              <w:rPr>
                <w:rFonts w:ascii="Times New Roman" w:hAnsi="Arial" w:eastAsia="Arial" w:cs="Arial"/>
                <w:b w:val="0"/>
                <w:i w:val="0"/>
                <w:strike w:val="0"/>
                <w:color w:val="000000"/>
                <w:sz w:val="18"/>
                <w:szCs w:val="18"/>
                <w:u w:val="none"/>
              </w:rPr>
              <w:t>500</w:t>
            </w:r>
          </w:p>
        </w:tc>
      </w:tr>
    </w:tbl>
    <w:p w14:paraId="73EFB535">
      <w:pPr>
        <w:pBdr>
          <w:top w:val="none" w:color="000000" w:sz="0" w:space="0"/>
          <w:left w:val="none" w:color="000000" w:sz="0" w:space="0"/>
          <w:bottom w:val="none" w:color="000000" w:sz="0" w:space="0"/>
          <w:right w:val="none" w:color="000000" w:sz="0" w:space="0"/>
        </w:pBdr>
        <w:spacing w:before="60" w:after="0" w:line="264" w:lineRule="auto"/>
        <w:ind w:left="0" w:right="0" w:firstLine="0" w:firstLineChars="0"/>
        <w:jc w:val="left"/>
      </w:pPr>
      <w:r>
        <w:rPr>
          <w:rFonts w:ascii="Times New Roman" w:hAnsi="Times New Roman" w:eastAsia="Times New Roman" w:cs="Times New Roman"/>
          <w:b w:val="0"/>
          <w:i w:val="0"/>
          <w:strike w:val="0"/>
          <w:color w:val="000000"/>
          <w:sz w:val="16"/>
          <w:szCs w:val="16"/>
          <w:u w:val="none"/>
        </w:rPr>
        <w:t>Grade (G1, G2, G3, G4) was missing mainly because no surgical specimen was available. Under multiple imputation, missing grade was imputed 10 times with classification and regression trees within exposure groups; in SA10, unknown grade was entered in the models as a separate category without imputation; in SA11, grade was omitted from the models. Confidence intervals are percentiles of the bootstrap resamples. Abbreviations as in Supplementary Table S7.</w:t>
      </w:r>
    </w:p>
    <w:p w14:paraId="48C7154A">
      <w:pPr>
        <w:keepNext w:val="0"/>
        <w:pageBreakBefore/>
        <w:spacing w:before="0" w:after="120" w:line="276" w:lineRule="auto"/>
      </w:pPr>
      <w:r>
        <w:drawing>
          <wp:inline distT="0" distB="0" distL="114300" distR="114300">
            <wp:extent cx="5120640" cy="7022465"/>
            <wp:effectExtent l="0" t="0" r="381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120640" cy="7022592"/>
                    </a:xfrm>
                    <a:prstGeom prst="rect">
                      <a:avLst/>
                    </a:prstGeom>
                  </pic:spPr>
                </pic:pic>
              </a:graphicData>
            </a:graphic>
          </wp:inline>
        </w:drawing>
      </w:r>
    </w:p>
    <w:p w14:paraId="00623203">
      <w:pPr>
        <w:keepNext w:val="0"/>
        <w:pageBreakBefore w:val="0"/>
        <w:spacing w:before="0" w:after="120" w:line="276" w:lineRule="auto"/>
      </w:pPr>
      <w:r>
        <w:rPr>
          <w:rFonts w:ascii="Times New Roman" w:hAnsi="Times New Roman" w:eastAsia="Times New Roman"/>
          <w:b/>
          <w:sz w:val="20"/>
        </w:rPr>
        <w:t xml:space="preserve">Fig. S1 </w:t>
      </w:r>
      <w:r>
        <w:rPr>
          <w:rFonts w:ascii="Times New Roman" w:hAnsi="Times New Roman" w:eastAsia="Times New Roman"/>
          <w:sz w:val="20"/>
        </w:rPr>
        <w:t>Assembly of the study cohort. Selection of patients with de novo metastatic renal cell carcinoma from the SEER 17 registries, 2010–2022, with the number excluded at each step. The final exclusion (death with an uninterpretable cause-of-death code) depends on outcome information</w:t>
      </w:r>
    </w:p>
    <w:p w14:paraId="192AA139">
      <w:pPr>
        <w:keepNext w:val="0"/>
        <w:pageBreakBefore/>
        <w:spacing w:before="0" w:after="120" w:line="276" w:lineRule="auto"/>
        <w:rPr>
          <w:rFonts w:hint="eastAsia" w:eastAsia="宋体"/>
          <w:lang w:eastAsia="zh-CN"/>
        </w:rPr>
      </w:pPr>
      <w:r>
        <w:rPr>
          <w:rFonts w:hint="eastAsia" w:eastAsia="宋体"/>
          <w:lang w:eastAsia="zh-CN"/>
        </w:rPr>
        <w:drawing>
          <wp:inline distT="0" distB="0" distL="114300" distR="114300">
            <wp:extent cx="4096385" cy="2843530"/>
            <wp:effectExtent l="0" t="0" r="18415" b="13970"/>
            <wp:docPr id="2" name="图片 2" descr="FigureS2_propensity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2_propensity_01"/>
                    <pic:cNvPicPr>
                      <a:picLocks noChangeAspect="1"/>
                    </pic:cNvPicPr>
                  </pic:nvPicPr>
                  <pic:blipFill>
                    <a:blip r:embed="rId5"/>
                    <a:stretch>
                      <a:fillRect/>
                    </a:stretch>
                  </pic:blipFill>
                  <pic:spPr>
                    <a:xfrm>
                      <a:off x="0" y="0"/>
                      <a:ext cx="4096385" cy="2843530"/>
                    </a:xfrm>
                    <a:prstGeom prst="rect">
                      <a:avLst/>
                    </a:prstGeom>
                  </pic:spPr>
                </pic:pic>
              </a:graphicData>
            </a:graphic>
          </wp:inline>
        </w:drawing>
      </w:r>
    </w:p>
    <w:p w14:paraId="78284509">
      <w:pPr>
        <w:keepNext w:val="0"/>
        <w:pageBreakBefore w:val="0"/>
        <w:spacing w:before="0" w:after="120" w:line="276" w:lineRule="auto"/>
      </w:pPr>
      <w:r>
        <w:rPr>
          <w:rFonts w:ascii="Times New Roman" w:hAnsi="Times New Roman" w:eastAsia="Times New Roman"/>
          <w:b/>
          <w:sz w:val="20"/>
        </w:rPr>
        <w:t xml:space="preserve">Fig. S2 </w:t>
      </w:r>
      <w:r>
        <w:rPr>
          <w:rFonts w:ascii="Times New Roman" w:hAnsi="Times New Roman" w:eastAsia="Times New Roman"/>
          <w:sz w:val="20"/>
        </w:rPr>
        <w:t>Distribution of the propensity score by exposure group</w:t>
      </w:r>
    </w:p>
    <w:p w14:paraId="47521477">
      <w:pPr>
        <w:keepNext w:val="0"/>
        <w:pageBreakBefore w:val="0"/>
        <w:spacing w:before="0" w:after="120" w:line="276" w:lineRule="auto"/>
        <w:rPr>
          <w:rFonts w:ascii="Times New Roman" w:hAnsi="Times New Roman" w:eastAsia="Times New Roman"/>
          <w:b/>
          <w:sz w:val="20"/>
        </w:rPr>
      </w:pPr>
    </w:p>
    <w:p w14:paraId="7111FD26">
      <w:pPr>
        <w:keepNext w:val="0"/>
        <w:pageBreakBefore w:val="0"/>
        <w:spacing w:before="0" w:after="120" w:line="276" w:lineRule="auto"/>
        <w:rPr>
          <w:rFonts w:hint="eastAsia" w:ascii="Times New Roman" w:hAnsi="Times New Roman" w:eastAsia="宋体"/>
          <w:b/>
          <w:sz w:val="20"/>
          <w:lang w:eastAsia="zh-CN"/>
        </w:rPr>
      </w:pPr>
      <w:r>
        <w:rPr>
          <w:rFonts w:hint="eastAsia" w:ascii="Times New Roman" w:hAnsi="Times New Roman" w:eastAsia="宋体"/>
          <w:b/>
          <w:sz w:val="20"/>
          <w:lang w:eastAsia="zh-CN"/>
        </w:rPr>
        <w:drawing>
          <wp:inline distT="0" distB="0" distL="114300" distR="114300">
            <wp:extent cx="4096385" cy="3901440"/>
            <wp:effectExtent l="0" t="0" r="18415" b="3810"/>
            <wp:docPr id="4" name="图片 4" descr="FigureS1_balanc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1_balance_01"/>
                    <pic:cNvPicPr>
                      <a:picLocks noChangeAspect="1"/>
                    </pic:cNvPicPr>
                  </pic:nvPicPr>
                  <pic:blipFill>
                    <a:blip r:embed="rId6"/>
                    <a:stretch>
                      <a:fillRect/>
                    </a:stretch>
                  </pic:blipFill>
                  <pic:spPr>
                    <a:xfrm>
                      <a:off x="0" y="0"/>
                      <a:ext cx="4096385" cy="3901440"/>
                    </a:xfrm>
                    <a:prstGeom prst="rect">
                      <a:avLst/>
                    </a:prstGeom>
                  </pic:spPr>
                </pic:pic>
              </a:graphicData>
            </a:graphic>
          </wp:inline>
        </w:drawing>
      </w:r>
    </w:p>
    <w:p w14:paraId="632FB39C">
      <w:pPr>
        <w:keepNext w:val="0"/>
        <w:pageBreakBefore w:val="0"/>
        <w:spacing w:before="0" w:after="120" w:line="276" w:lineRule="auto"/>
      </w:pPr>
      <w:r>
        <w:rPr>
          <w:rFonts w:ascii="Times New Roman" w:hAnsi="Times New Roman" w:eastAsia="Times New Roman"/>
          <w:b/>
          <w:sz w:val="20"/>
        </w:rPr>
        <w:t xml:space="preserve">Fig. S3 </w:t>
      </w:r>
      <w:r>
        <w:rPr>
          <w:rFonts w:ascii="Times New Roman" w:hAnsi="Times New Roman" w:eastAsia="Times New Roman"/>
          <w:sz w:val="20"/>
        </w:rPr>
        <w:t>Covariate balance before and after overlap weighting. Absolute standardised mean differences for each covariate at the level with the largest unweighted difference; grade after imputation. The dashed line marks 0.10</w:t>
      </w:r>
    </w:p>
    <w:p w14:paraId="654DEBFD">
      <w:pPr>
        <w:keepNext w:val="0"/>
        <w:pageBreakBefore/>
        <w:spacing w:before="0" w:after="120" w:line="276" w:lineRule="auto"/>
        <w:rPr>
          <w:rFonts w:hint="eastAsia" w:eastAsia="宋体"/>
          <w:lang w:eastAsia="zh-CN"/>
        </w:rPr>
      </w:pPr>
      <w:r>
        <w:rPr>
          <w:rFonts w:hint="eastAsia" w:eastAsia="宋体"/>
          <w:lang w:eastAsia="zh-CN"/>
        </w:rPr>
        <w:drawing>
          <wp:inline distT="0" distB="0" distL="114300" distR="114300">
            <wp:extent cx="6097270" cy="2930525"/>
            <wp:effectExtent l="0" t="0" r="17780" b="3175"/>
            <wp:docPr id="5" name="图片 5" descr="Figure2_weighted_surviv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2_weighted_survival_01"/>
                    <pic:cNvPicPr>
                      <a:picLocks noChangeAspect="1"/>
                    </pic:cNvPicPr>
                  </pic:nvPicPr>
                  <pic:blipFill>
                    <a:blip r:embed="rId7"/>
                    <a:stretch>
                      <a:fillRect/>
                    </a:stretch>
                  </pic:blipFill>
                  <pic:spPr>
                    <a:xfrm>
                      <a:off x="0" y="0"/>
                      <a:ext cx="6097270" cy="2930525"/>
                    </a:xfrm>
                    <a:prstGeom prst="rect">
                      <a:avLst/>
                    </a:prstGeom>
                  </pic:spPr>
                </pic:pic>
              </a:graphicData>
            </a:graphic>
          </wp:inline>
        </w:drawing>
      </w:r>
    </w:p>
    <w:p w14:paraId="0ACF8659">
      <w:pPr>
        <w:keepNext w:val="0"/>
        <w:pageBreakBefore w:val="0"/>
        <w:spacing w:before="0" w:after="120" w:line="276" w:lineRule="auto"/>
      </w:pPr>
      <w:r>
        <w:rPr>
          <w:rFonts w:ascii="Times New Roman" w:hAnsi="Times New Roman" w:eastAsia="Times New Roman"/>
          <w:b/>
          <w:sz w:val="20"/>
        </w:rPr>
        <w:t xml:space="preserve">Fig. S4 </w:t>
      </w:r>
      <w:r>
        <w:rPr>
          <w:rFonts w:ascii="Times New Roman" w:hAnsi="Times New Roman" w:eastAsia="Times New Roman"/>
          <w:sz w:val="20"/>
        </w:rPr>
        <w:t>Overlap-weighted survival by receipt of cytoreductive nephrectomy. (a) Overall survival. (b) Survival free of cardiovascular death, analysed as cause-specific with other deaths censored. Kaplan–Meier estimates weighted by overlap weights from the first imputed dataset; weighted numbers at risk are shown below each panel</w:t>
      </w:r>
    </w:p>
    <w:p w14:paraId="0B646FC9">
      <w:pPr>
        <w:keepNext w:val="0"/>
        <w:pageBreakBefore/>
        <w:spacing w:before="0" w:after="120" w:line="276" w:lineRule="auto"/>
        <w:rPr>
          <w:rFonts w:hint="eastAsia" w:eastAsia="宋体"/>
          <w:lang w:eastAsia="zh-CN"/>
        </w:rPr>
      </w:pPr>
      <w:r>
        <w:rPr>
          <w:rFonts w:hint="eastAsia" w:eastAsia="宋体"/>
          <w:lang w:eastAsia="zh-CN"/>
        </w:rPr>
        <w:drawing>
          <wp:inline distT="0" distB="0" distL="114300" distR="114300">
            <wp:extent cx="4096385" cy="3672840"/>
            <wp:effectExtent l="0" t="0" r="18415" b="3810"/>
            <wp:docPr id="6" name="图片 6" descr="Figure4_exclusion_restriction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4_exclusion_restriction_01"/>
                    <pic:cNvPicPr>
                      <a:picLocks noChangeAspect="1"/>
                    </pic:cNvPicPr>
                  </pic:nvPicPr>
                  <pic:blipFill>
                    <a:blip r:embed="rId8"/>
                    <a:stretch>
                      <a:fillRect/>
                    </a:stretch>
                  </pic:blipFill>
                  <pic:spPr>
                    <a:xfrm>
                      <a:off x="0" y="0"/>
                      <a:ext cx="4096385" cy="3672840"/>
                    </a:xfrm>
                    <a:prstGeom prst="rect">
                      <a:avLst/>
                    </a:prstGeom>
                  </pic:spPr>
                </pic:pic>
              </a:graphicData>
            </a:graphic>
          </wp:inline>
        </w:drawing>
      </w:r>
    </w:p>
    <w:p w14:paraId="3CE2691C">
      <w:pPr>
        <w:keepNext w:val="0"/>
        <w:pageBreakBefore w:val="0"/>
        <w:spacing w:before="0" w:after="120" w:line="276" w:lineRule="auto"/>
        <w:rPr>
          <w:rFonts w:ascii="Times New Roman" w:hAnsi="Times New Roman" w:eastAsia="Times New Roman"/>
          <w:sz w:val="20"/>
        </w:rPr>
      </w:pPr>
      <w:r>
        <w:rPr>
          <w:rFonts w:ascii="Times New Roman" w:hAnsi="Times New Roman" w:eastAsia="Times New Roman"/>
          <w:b/>
          <w:sz w:val="20"/>
        </w:rPr>
        <w:t xml:space="preserve">Fig. S5 </w:t>
      </w:r>
      <w:r>
        <w:rPr>
          <w:rFonts w:ascii="Times New Roman" w:hAnsi="Times New Roman" w:eastAsia="Times New Roman"/>
          <w:sz w:val="20"/>
        </w:rPr>
        <w:t xml:space="preserve">Sensitivity to violation of the exclusion restriction. Calibrated hazard ratio for all-cause death at λ = 1 as a function of the assumed direct effect of nephrectomy on the negative control outcome (γ). γ &lt; 1 represents a true reduction in cardiovascular death from nephrectomy and γ &gt; 1 a true increase; the shaded band is the 95% bootstrap </w:t>
      </w:r>
    </w:p>
    <w:p w14:paraId="49A24834">
      <w:pPr>
        <w:keepNext w:val="0"/>
        <w:pageBreakBefore w:val="0"/>
        <w:spacing w:before="0" w:after="120" w:line="276" w:lineRule="auto"/>
        <w:rPr>
          <w:rFonts w:ascii="Times New Roman" w:hAnsi="Times New Roman" w:eastAsia="Times New Roman"/>
          <w:sz w:val="20"/>
        </w:rPr>
      </w:pPr>
      <w:r>
        <w:rPr>
          <w:rFonts w:ascii="Times New Roman" w:hAnsi="Times New Roman" w:eastAsia="Times New Roman"/>
          <w:sz w:val="20"/>
        </w:rPr>
        <w:t>confidence interval</w:t>
      </w:r>
    </w:p>
    <w:p w14:paraId="7DE6600E">
      <w:pPr>
        <w:keepNext w:val="0"/>
        <w:pageBreakBefore w:val="0"/>
        <w:spacing w:before="0" w:after="120" w:line="276" w:lineRule="auto"/>
        <w:rPr>
          <w:rFonts w:ascii="Times New Roman" w:hAnsi="Times New Roman" w:eastAsia="Times New Roman"/>
          <w:sz w:val="20"/>
        </w:rPr>
      </w:pPr>
    </w:p>
    <w:p w14:paraId="12D22364">
      <w:pPr>
        <w:keepNext w:val="0"/>
        <w:pageBreakBefore w:val="0"/>
        <w:spacing w:before="0" w:after="120" w:line="276" w:lineRule="auto"/>
        <w:rPr>
          <w:rFonts w:ascii="Times New Roman" w:hAnsi="Times New Roman" w:eastAsia="Times New Roman"/>
          <w:sz w:val="20"/>
        </w:rPr>
      </w:pPr>
    </w:p>
    <w:p w14:paraId="54E1F6C3">
      <w:pPr>
        <w:keepNext w:val="0"/>
        <w:pageBreakBefore w:val="0"/>
        <w:spacing w:before="0" w:after="120" w:line="276" w:lineRule="auto"/>
        <w:rPr>
          <w:rFonts w:ascii="Times New Roman" w:hAnsi="Times New Roman" w:eastAsia="Times New Roman"/>
          <w:sz w:val="20"/>
        </w:rPr>
      </w:pPr>
    </w:p>
    <w:p w14:paraId="276259D9">
      <w:pPr>
        <w:keepNext w:val="0"/>
        <w:pageBreakBefore w:val="0"/>
        <w:spacing w:before="0" w:after="120" w:line="276" w:lineRule="auto"/>
        <w:rPr>
          <w:rFonts w:ascii="Times New Roman" w:hAnsi="Times New Roman" w:eastAsia="Times New Roman"/>
          <w:b/>
          <w:sz w:val="20"/>
        </w:rPr>
      </w:pPr>
      <w:r>
        <w:rPr>
          <w:rFonts w:ascii="Times New Roman" w:hAnsi="Times New Roman" w:eastAsia="Times New Roman"/>
          <w:b/>
          <w:sz w:val="20"/>
        </w:rPr>
        <w:drawing>
          <wp:inline distT="0" distB="0" distL="114300" distR="114300">
            <wp:extent cx="3192780" cy="1610360"/>
            <wp:effectExtent l="0" t="0" r="7620" b="8890"/>
            <wp:docPr id="7" name="图片 7" descr="FigureS3_age_str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3_age_strata"/>
                    <pic:cNvPicPr>
                      <a:picLocks noChangeAspect="1"/>
                    </pic:cNvPicPr>
                  </pic:nvPicPr>
                  <pic:blipFill>
                    <a:blip r:embed="rId9"/>
                    <a:stretch>
                      <a:fillRect/>
                    </a:stretch>
                  </pic:blipFill>
                  <pic:spPr>
                    <a:xfrm>
                      <a:off x="0" y="0"/>
                      <a:ext cx="3192780" cy="1610360"/>
                    </a:xfrm>
                    <a:prstGeom prst="rect">
                      <a:avLst/>
                    </a:prstGeom>
                  </pic:spPr>
                </pic:pic>
              </a:graphicData>
            </a:graphic>
          </wp:inline>
        </w:drawing>
      </w:r>
    </w:p>
    <w:p w14:paraId="7097940B">
      <w:pPr>
        <w:keepNext w:val="0"/>
        <w:pageBreakBefore w:val="0"/>
        <w:spacing w:before="0" w:after="120" w:line="276" w:lineRule="auto"/>
      </w:pPr>
      <w:bookmarkStart w:id="0" w:name="_GoBack"/>
      <w:bookmarkEnd w:id="0"/>
      <w:r>
        <w:rPr>
          <w:rFonts w:ascii="Times New Roman" w:hAnsi="Times New Roman" w:eastAsia="Times New Roman"/>
          <w:b/>
          <w:sz w:val="20"/>
        </w:rPr>
        <w:t xml:space="preserve">Fig. S6 </w:t>
      </w:r>
      <w:r>
        <w:rPr>
          <w:rFonts w:ascii="Times New Roman" w:hAnsi="Times New Roman" w:eastAsia="Times New Roman"/>
          <w:sz w:val="20"/>
        </w:rPr>
        <w:t>Negative control association within age strata. Point estimates; the dotted line marks the full-cohort estimate. The estimate for patients younger than 50 years rests on 10 events and is not interpreted</w:t>
      </w:r>
    </w:p>
    <w:sectPr>
      <w:type w:val="continuous"/>
      <w:pgSz w:w="11906" w:h="16838"/>
      <w:pgMar w:top="1152" w:right="1152" w:bottom="1152" w:left="1152"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Lucida Grande">
    <w:altName w:val="Courier New"/>
    <w:panose1 w:val="020B0600040502020204"/>
    <w:charset w:val="00"/>
    <w:family w:val="auto"/>
    <w:pitch w:val="default"/>
    <w:sig w:usb0="00000000" w:usb1="00000000" w:usb2="00000000" w:usb3="00000000" w:csb0="000001BF" w:csb1="00000000"/>
  </w:font>
  <w:font w:name="Arial">
    <w:panose1 w:val="020B0604020202020204"/>
    <w:charset w:val="00"/>
    <w:family w:val="auto"/>
    <w:pitch w:val="default"/>
    <w:sig w:usb0="E0002EFF" w:usb1="C000785B" w:usb2="00000009" w:usb3="00000000" w:csb0="400001FF" w:csb1="FFFF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ourier New">
    <w:panose1 w:val="02070309020205020404"/>
    <w:charset w:val="00"/>
    <w:family w:val="auto"/>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hyphenationZone w:val="425"/>
  <w:characterSpacingControl w:val="doNotCompress"/>
  <w:compat>
    <w:useFELayout/>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 w:val="476701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15"/>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6"/>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17"/>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1">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uiPriority w:val="99"/>
    <w:rPr>
      <w:rFonts w:ascii="Lucida Grande" w:hAnsi="Lucida Grande"/>
      <w:sz w:val="18"/>
      <w:szCs w:val="18"/>
    </w:rPr>
  </w:style>
  <w:style w:type="paragraph" w:styleId="6">
    <w:name w:val="toc 1"/>
    <w:basedOn w:val="1"/>
    <w:next w:val="1"/>
    <w:autoRedefine/>
    <w:unhideWhenUsed/>
    <w:qFormat/>
    <w:uiPriority w:val="39"/>
    <w:pPr>
      <w:spacing w:after="100"/>
    </w:pPr>
  </w:style>
  <w:style w:type="paragraph" w:styleId="7">
    <w:name w:val="toc 2"/>
    <w:basedOn w:val="1"/>
    <w:next w:val="1"/>
    <w:autoRedefine/>
    <w:unhideWhenUsed/>
    <w:qFormat/>
    <w:uiPriority w:val="39"/>
    <w:pPr>
      <w:spacing w:after="100"/>
      <w:ind w:left="240"/>
    </w:pPr>
  </w:style>
  <w:style w:type="table" w:styleId="9">
    <w:name w:val="Table Professional"/>
    <w:basedOn w:val="8"/>
    <w:semiHidden/>
    <w:unhideWhenUsed/>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0">
    <w:name w:val="Light List Accent 2"/>
    <w:basedOn w:val="8"/>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customStyle="1" w:styleId="12">
    <w:name w:val="strong"/>
    <w:basedOn w:val="11"/>
    <w:qFormat/>
    <w:uiPriority w:val="1"/>
    <w:rPr>
      <w:b/>
    </w:rPr>
  </w:style>
  <w:style w:type="paragraph" w:customStyle="1" w:styleId="13">
    <w:name w:val="centered"/>
    <w:basedOn w:val="1"/>
    <w:qFormat/>
    <w:uiPriority w:val="0"/>
    <w:pPr>
      <w:jc w:val="center"/>
    </w:pPr>
  </w:style>
  <w:style w:type="table" w:customStyle="1" w:styleId="14">
    <w:name w:val="table_template"/>
    <w:basedOn w:val="8"/>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5">
    <w:name w:val="Titre 1 Car"/>
    <w:basedOn w:val="11"/>
    <w:link w:val="2"/>
    <w:uiPriority w:val="9"/>
    <w:rPr>
      <w:rFonts w:asciiTheme="majorHAnsi" w:hAnsiTheme="majorHAnsi" w:eastAsiaTheme="majorEastAsia" w:cstheme="majorBidi"/>
      <w:b/>
      <w:bCs/>
      <w:sz w:val="32"/>
      <w:szCs w:val="32"/>
    </w:rPr>
  </w:style>
  <w:style w:type="character" w:customStyle="1" w:styleId="16">
    <w:name w:val="Titre 2 Car"/>
    <w:basedOn w:val="11"/>
    <w:link w:val="3"/>
    <w:semiHidden/>
    <w:qFormat/>
    <w:uiPriority w:val="9"/>
    <w:rPr>
      <w:rFonts w:asciiTheme="majorHAnsi" w:hAnsiTheme="majorHAnsi" w:eastAsiaTheme="majorEastAsia" w:cstheme="majorBidi"/>
      <w:b/>
      <w:bCs/>
      <w:sz w:val="26"/>
      <w:szCs w:val="26"/>
    </w:rPr>
  </w:style>
  <w:style w:type="character" w:customStyle="1" w:styleId="17">
    <w:name w:val="Titre 3 Car"/>
    <w:basedOn w:val="11"/>
    <w:link w:val="4"/>
    <w:semiHidden/>
    <w:uiPriority w:val="9"/>
    <w:rPr>
      <w:rFonts w:asciiTheme="majorHAnsi" w:hAnsiTheme="majorHAnsi" w:eastAsiaTheme="majorEastAsia" w:cstheme="majorBidi"/>
      <w:b/>
      <w:bCs/>
    </w:rPr>
  </w:style>
  <w:style w:type="paragraph" w:customStyle="1" w:styleId="18">
    <w:name w:val="Image Caption"/>
    <w:basedOn w:val="1"/>
    <w:qFormat/>
    <w:uiPriority w:val="0"/>
    <w:pPr>
      <w:jc w:val="center"/>
    </w:pPr>
    <w:rPr>
      <w:b/>
      <w:i/>
    </w:rPr>
  </w:style>
  <w:style w:type="paragraph" w:customStyle="1" w:styleId="19">
    <w:name w:val="Table Caption"/>
    <w:basedOn w:val="18"/>
    <w:qFormat/>
    <w:uiPriority w:val="0"/>
  </w:style>
  <w:style w:type="character" w:customStyle="1" w:styleId="20">
    <w:name w:val="Texte de bulles Car"/>
    <w:basedOn w:val="11"/>
    <w:link w:val="5"/>
    <w:semiHidden/>
    <w:qFormat/>
    <w:uiPriority w:val="99"/>
    <w:rPr>
      <w:rFonts w:ascii="Lucida Grande" w:hAnsi="Lucida Grande"/>
      <w:sz w:val="18"/>
      <w:szCs w:val="18"/>
    </w:rPr>
  </w:style>
  <w:style w:type="character" w:customStyle="1" w:styleId="21">
    <w:name w:val="reference_id"/>
    <w:basedOn w:val="11"/>
    <w:qFormat/>
    <w:uiPriority w:val="1"/>
    <w:rPr>
      <w:vertAlign w:val="superscript"/>
    </w:rPr>
  </w:style>
  <w:style w:type="paragraph" w:customStyle="1" w:styleId="22">
    <w:name w:val="graphic title"/>
    <w:basedOn w:val="18"/>
    <w:next w:val="1"/>
    <w:qFormat/>
    <w:uiPriority w:val="0"/>
  </w:style>
  <w:style w:type="paragraph" w:customStyle="1" w:styleId="23">
    <w:name w:val="table title"/>
    <w:basedOn w:val="19"/>
    <w:next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15</Pages>
  <Words>3446</Words>
  <Characters>20023</Characters>
  <Lines>0</Lines>
  <Paragraphs>0</Paragraphs>
  <TotalTime>51</TotalTime>
  <ScaleCrop>false</ScaleCrop>
  <LinksUpToDate>false</LinksUpToDate>
  <CharactersWithSpaces>23056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2017-02-28T11:18:00Z</dcterms:created>
  <dc:creator>初心</dc:creator>
  <cp:lastModifiedBy>初心</cp:lastModifiedBy>
  <dcterms:modified xsi:type="dcterms:W3CDTF">2026-09-28T15:07:29Z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eyJoZGlkIjoiZjVjMzU5NzA5NjQyMDA2OTE0Y2UwMjhkYmI2NGNiOTciLCJ1c2VySWQiOiIyNTM4NzA0NjQifQ==</vt:lpwstr>
  </property>
  <property fmtid="{D5CDD505-2E9C-101B-9397-08002B2CF9AE}" pid="3" name="KSOProductBuildVer">
    <vt:lpwstr>2052-12.1.0.28505</vt:lpwstr>
  </property>
  <property fmtid="{D5CDD505-2E9C-101B-9397-08002B2CF9AE}" pid="4" name="ICV">
    <vt:lpwstr>8FF1404AD44142DAA5E1303EF4F94B2C_12</vt:lpwstr>
  </property>
</Properties>
</file>