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07D89" w14:textId="3A941EBA" w:rsidR="001B3588" w:rsidRDefault="00000000">
      <w:pPr>
        <w:pStyle w:val="1"/>
        <w:spacing w:before="240" w:after="100" w:line="320" w:lineRule="auto"/>
      </w:pPr>
      <w:bookmarkStart w:id="0" w:name="X36e88033970e1935ea062006a69d4f5d7311f1a"/>
      <w:r>
        <w:rPr>
          <w:rFonts w:ascii="Times New Roman" w:hAnsi="Times New Roman" w:cs="Times New Roman"/>
          <w:b/>
          <w:sz w:val="28"/>
          <w:szCs w:val="28"/>
        </w:rPr>
        <w:t xml:space="preserve">Electronic Supplementary Material </w:t>
      </w:r>
    </w:p>
    <w:p w14:paraId="7BECAEE2" w14:textId="40FD8D6A" w:rsidR="001B3588" w:rsidRDefault="00000000" w:rsidP="00294061">
      <w:pPr>
        <w:pStyle w:val="FirstParagraph"/>
        <w:spacing w:before="0" w:after="100" w:line="360" w:lineRule="auto"/>
      </w:pPr>
      <w:r>
        <w:rPr>
          <w:rFonts w:ascii="Times New Roman" w:hAnsi="Times New Roman" w:cs="Times New Roman"/>
          <w:b/>
          <w:bCs/>
        </w:rPr>
        <w:t>Title</w:t>
      </w:r>
      <w:r>
        <w:rPr>
          <w:rFonts w:ascii="Times New Roman" w:hAnsi="Times New Roman" w:cs="Times New Roman"/>
        </w:rPr>
        <w:t>: Development and External Validation of a Multivariable Nomogram for Predicting Cancer-Specific Survival in Serous Ovarian Carcinoma: A Population-Based Retrospective Study from the SEER Database and TCGA-OV Cohort</w:t>
      </w:r>
    </w:p>
    <w:p w14:paraId="41FE0432" w14:textId="77777777" w:rsidR="001B3588" w:rsidRDefault="00000000">
      <w:pPr>
        <w:spacing w:after="100" w:line="360" w:lineRule="auto"/>
        <w:jc w:val="both"/>
      </w:pPr>
      <w:r>
        <w:rPr>
          <w:rFonts w:ascii="Times New Roman" w:hAnsi="Times New Roman" w:cs="Times New Roman"/>
        </w:rPr>
        <w:pict w14:anchorId="6C87E34A">
          <v:rect id="_x0000_i1025" style="width:0;height:1.5pt" o:hralign="center" o:hrstd="t" o:hr="t"/>
        </w:pict>
      </w:r>
    </w:p>
    <w:p w14:paraId="48F3C1D0" w14:textId="77777777" w:rsidR="001B3588" w:rsidRDefault="00000000">
      <w:pPr>
        <w:pStyle w:val="2"/>
        <w:spacing w:before="180" w:after="60" w:line="300" w:lineRule="auto"/>
      </w:pPr>
      <w:bookmarkStart w:id="1" w:name="supplementary-tables"/>
      <w:r>
        <w:rPr>
          <w:rFonts w:ascii="Times New Roman" w:hAnsi="Times New Roman" w:cs="Times New Roman"/>
          <w:b/>
          <w:sz w:val="24"/>
          <w:szCs w:val="24"/>
        </w:rPr>
        <w:t>1. Supplementary Tables</w:t>
      </w:r>
    </w:p>
    <w:p w14:paraId="4A5F25A0" w14:textId="77777777" w:rsidR="001B3588" w:rsidRDefault="00000000">
      <w:pPr>
        <w:pStyle w:val="3"/>
        <w:spacing w:before="120" w:after="40" w:line="280" w:lineRule="auto"/>
      </w:pPr>
      <w:bookmarkStart w:id="2" w:name="X41f85122ca0b30ee85c97dde85a9f5f7fdedff2"/>
      <w:r>
        <w:rPr>
          <w:rFonts w:ascii="Times New Roman" w:hAnsi="Times New Roman" w:cs="Times New Roman"/>
          <w:b/>
          <w:i/>
          <w:sz w:val="24"/>
          <w:szCs w:val="24"/>
        </w:rPr>
        <w:t>Supplementary Table S1. Discrimination and performance metrics of the 5-variable prognostic nomogram across cohorts</w:t>
      </w:r>
    </w:p>
    <w:tbl>
      <w:tblPr>
        <w:tblStyle w:val="Table"/>
        <w:tblW w:w="5000" w:type="pct"/>
        <w:jc w:val="center"/>
        <w:tblBorders>
          <w:top w:val="single" w:sz="12" w:space="0" w:color="000000"/>
          <w:bottom w:val="single" w:sz="12" w:space="0" w:color="000000"/>
        </w:tblBorders>
        <w:tblLayout w:type="fixed"/>
        <w:tblLook w:val="0020" w:firstRow="1" w:lastRow="0" w:firstColumn="0" w:lastColumn="0" w:noHBand="0" w:noVBand="0"/>
      </w:tblPr>
      <w:tblGrid>
        <w:gridCol w:w="1210"/>
        <w:gridCol w:w="2014"/>
        <w:gridCol w:w="2014"/>
        <w:gridCol w:w="2014"/>
        <w:gridCol w:w="2014"/>
      </w:tblGrid>
      <w:tr w:rsidR="001B3588" w14:paraId="5B105AF2" w14:textId="77777777" w:rsidTr="001B3588">
        <w:trPr>
          <w:cnfStyle w:val="100000000000" w:firstRow="1" w:lastRow="0" w:firstColumn="0" w:lastColumn="0" w:oddVBand="0" w:evenVBand="0" w:oddHBand="0" w:evenHBand="0" w:firstRowFirstColumn="0" w:firstRowLastColumn="0" w:lastRowFirstColumn="0" w:lastRowLastColumn="0"/>
          <w:cantSplit/>
          <w:tblHeader/>
          <w:jc w:val="center"/>
        </w:trPr>
        <w:tc>
          <w:tcPr>
            <w:tcW w:w="1033" w:type="dxa"/>
            <w:tcBorders>
              <w:bottom w:val="single" w:sz="8" w:space="0" w:color="000000"/>
            </w:tcBorders>
            <w:tcMar>
              <w:top w:w="80" w:type="dxa"/>
              <w:left w:w="120" w:type="dxa"/>
              <w:bottom w:w="80" w:type="dxa"/>
              <w:right w:w="120" w:type="dxa"/>
            </w:tcMar>
            <w:vAlign w:val="center"/>
          </w:tcPr>
          <w:p w14:paraId="3F333587" w14:textId="77777777" w:rsidR="001B3588" w:rsidRDefault="00000000">
            <w:pPr>
              <w:pStyle w:val="Compact"/>
              <w:spacing w:before="0" w:after="0"/>
            </w:pPr>
            <w:r>
              <w:rPr>
                <w:rFonts w:ascii="Times New Roman" w:hAnsi="Times New Roman" w:cs="Times New Roman"/>
                <w:b/>
                <w:sz w:val="19"/>
                <w:szCs w:val="19"/>
              </w:rPr>
              <w:t>Cohort</w:t>
            </w:r>
          </w:p>
        </w:tc>
        <w:tc>
          <w:tcPr>
            <w:tcW w:w="1721" w:type="dxa"/>
            <w:tcBorders>
              <w:bottom w:val="single" w:sz="8" w:space="0" w:color="000000"/>
            </w:tcBorders>
            <w:tcMar>
              <w:top w:w="80" w:type="dxa"/>
              <w:left w:w="120" w:type="dxa"/>
              <w:bottom w:w="80" w:type="dxa"/>
              <w:right w:w="120" w:type="dxa"/>
            </w:tcMar>
            <w:vAlign w:val="center"/>
          </w:tcPr>
          <w:p w14:paraId="2A99640C" w14:textId="77777777" w:rsidR="001B3588" w:rsidRDefault="00000000">
            <w:pPr>
              <w:pStyle w:val="Compact"/>
              <w:spacing w:before="0" w:after="0"/>
            </w:pPr>
            <w:r>
              <w:rPr>
                <w:rFonts w:ascii="Times New Roman" w:hAnsi="Times New Roman" w:cs="Times New Roman"/>
                <w:b/>
                <w:sz w:val="19"/>
                <w:szCs w:val="19"/>
              </w:rPr>
              <w:t>Sample Size (n)</w:t>
            </w:r>
          </w:p>
        </w:tc>
        <w:tc>
          <w:tcPr>
            <w:tcW w:w="1721" w:type="dxa"/>
            <w:tcBorders>
              <w:bottom w:val="single" w:sz="8" w:space="0" w:color="000000"/>
            </w:tcBorders>
            <w:tcMar>
              <w:top w:w="80" w:type="dxa"/>
              <w:left w:w="120" w:type="dxa"/>
              <w:bottom w:w="80" w:type="dxa"/>
              <w:right w:w="120" w:type="dxa"/>
            </w:tcMar>
            <w:vAlign w:val="center"/>
          </w:tcPr>
          <w:p w14:paraId="599FD854" w14:textId="77777777" w:rsidR="001B3588" w:rsidRDefault="00000000">
            <w:pPr>
              <w:pStyle w:val="Compact"/>
              <w:spacing w:before="0" w:after="0"/>
              <w:jc w:val="center"/>
            </w:pPr>
            <w:r>
              <w:rPr>
                <w:rFonts w:ascii="Times New Roman" w:hAnsi="Times New Roman" w:cs="Times New Roman"/>
                <w:b/>
                <w:sz w:val="19"/>
                <w:szCs w:val="19"/>
              </w:rPr>
              <w:t>Number of Events (CSS Deaths)</w:t>
            </w:r>
          </w:p>
        </w:tc>
        <w:tc>
          <w:tcPr>
            <w:tcW w:w="1721" w:type="dxa"/>
            <w:tcBorders>
              <w:bottom w:val="single" w:sz="8" w:space="0" w:color="000000"/>
            </w:tcBorders>
            <w:tcMar>
              <w:top w:w="80" w:type="dxa"/>
              <w:left w:w="120" w:type="dxa"/>
              <w:bottom w:w="80" w:type="dxa"/>
              <w:right w:w="120" w:type="dxa"/>
            </w:tcMar>
            <w:vAlign w:val="center"/>
          </w:tcPr>
          <w:p w14:paraId="643B02A7" w14:textId="77777777" w:rsidR="001B3588" w:rsidRDefault="00000000">
            <w:pPr>
              <w:pStyle w:val="Compact"/>
              <w:spacing w:before="0" w:after="0"/>
              <w:jc w:val="center"/>
            </w:pPr>
            <w:r>
              <w:rPr>
                <w:rFonts w:ascii="Times New Roman" w:hAnsi="Times New Roman" w:cs="Times New Roman"/>
                <w:b/>
                <w:sz w:val="19"/>
                <w:szCs w:val="19"/>
              </w:rPr>
              <w:t>Harrell’s C-index</w:t>
            </w:r>
          </w:p>
        </w:tc>
        <w:tc>
          <w:tcPr>
            <w:tcW w:w="1721" w:type="dxa"/>
            <w:tcBorders>
              <w:bottom w:val="single" w:sz="8" w:space="0" w:color="000000"/>
            </w:tcBorders>
            <w:tcMar>
              <w:top w:w="80" w:type="dxa"/>
              <w:left w:w="120" w:type="dxa"/>
              <w:bottom w:w="80" w:type="dxa"/>
              <w:right w:w="120" w:type="dxa"/>
            </w:tcMar>
            <w:vAlign w:val="center"/>
          </w:tcPr>
          <w:p w14:paraId="46E1AF56" w14:textId="77777777" w:rsidR="001B3588" w:rsidRDefault="00000000">
            <w:pPr>
              <w:pStyle w:val="Compact"/>
              <w:spacing w:before="0" w:after="0"/>
              <w:jc w:val="center"/>
            </w:pPr>
            <w:r>
              <w:rPr>
                <w:rFonts w:ascii="Times New Roman" w:hAnsi="Times New Roman" w:cs="Times New Roman"/>
                <w:b/>
                <w:sz w:val="19"/>
                <w:szCs w:val="19"/>
              </w:rPr>
              <w:t>95% Bootstrap CI</w:t>
            </w:r>
          </w:p>
        </w:tc>
      </w:tr>
      <w:tr w:rsidR="001B3588" w14:paraId="4D6C2A95" w14:textId="77777777" w:rsidTr="001B3588">
        <w:trPr>
          <w:cantSplit/>
          <w:jc w:val="center"/>
        </w:trPr>
        <w:tc>
          <w:tcPr>
            <w:tcW w:w="1033" w:type="dxa"/>
            <w:tcMar>
              <w:top w:w="80" w:type="dxa"/>
              <w:left w:w="120" w:type="dxa"/>
              <w:bottom w:w="80" w:type="dxa"/>
              <w:right w:w="120" w:type="dxa"/>
            </w:tcMar>
            <w:vAlign w:val="center"/>
          </w:tcPr>
          <w:p w14:paraId="1D7DD48D" w14:textId="77777777" w:rsidR="001B3588" w:rsidRDefault="00000000">
            <w:pPr>
              <w:pStyle w:val="Compact"/>
              <w:spacing w:before="0" w:after="0"/>
            </w:pPr>
            <w:r>
              <w:rPr>
                <w:rFonts w:ascii="Times New Roman" w:hAnsi="Times New Roman" w:cs="Times New Roman"/>
                <w:b/>
                <w:bCs/>
                <w:sz w:val="18"/>
                <w:szCs w:val="18"/>
              </w:rPr>
              <w:t>SEER Training Cohort</w:t>
            </w:r>
          </w:p>
        </w:tc>
        <w:tc>
          <w:tcPr>
            <w:tcW w:w="1721" w:type="dxa"/>
            <w:tcMar>
              <w:top w:w="80" w:type="dxa"/>
              <w:left w:w="120" w:type="dxa"/>
              <w:bottom w:w="80" w:type="dxa"/>
              <w:right w:w="120" w:type="dxa"/>
            </w:tcMar>
            <w:vAlign w:val="center"/>
          </w:tcPr>
          <w:p w14:paraId="7F4FE881" w14:textId="77777777" w:rsidR="001B3588" w:rsidRDefault="00000000">
            <w:pPr>
              <w:pStyle w:val="Compact"/>
              <w:spacing w:before="0" w:after="0"/>
            </w:pPr>
            <w:r>
              <w:rPr>
                <w:rFonts w:ascii="Times New Roman" w:hAnsi="Times New Roman" w:cs="Times New Roman"/>
                <w:sz w:val="18"/>
                <w:szCs w:val="18"/>
              </w:rPr>
              <w:t>34,402</w:t>
            </w:r>
          </w:p>
        </w:tc>
        <w:tc>
          <w:tcPr>
            <w:tcW w:w="1721" w:type="dxa"/>
            <w:tcMar>
              <w:top w:w="80" w:type="dxa"/>
              <w:left w:w="120" w:type="dxa"/>
              <w:bottom w:w="80" w:type="dxa"/>
              <w:right w:w="120" w:type="dxa"/>
            </w:tcMar>
            <w:vAlign w:val="center"/>
          </w:tcPr>
          <w:p w14:paraId="3797A16A" w14:textId="77777777" w:rsidR="001B3588" w:rsidRDefault="00000000">
            <w:pPr>
              <w:pStyle w:val="Compact"/>
              <w:spacing w:before="0" w:after="0"/>
              <w:jc w:val="center"/>
            </w:pPr>
            <w:r>
              <w:rPr>
                <w:rFonts w:ascii="Times New Roman" w:hAnsi="Times New Roman" w:cs="Times New Roman"/>
                <w:sz w:val="18"/>
                <w:szCs w:val="18"/>
              </w:rPr>
              <w:t>19,842</w:t>
            </w:r>
          </w:p>
        </w:tc>
        <w:tc>
          <w:tcPr>
            <w:tcW w:w="1721" w:type="dxa"/>
            <w:tcMar>
              <w:top w:w="80" w:type="dxa"/>
              <w:left w:w="120" w:type="dxa"/>
              <w:bottom w:w="80" w:type="dxa"/>
              <w:right w:w="120" w:type="dxa"/>
            </w:tcMar>
            <w:vAlign w:val="center"/>
          </w:tcPr>
          <w:p w14:paraId="4F181F6C" w14:textId="77777777" w:rsidR="001B3588" w:rsidRDefault="00000000">
            <w:pPr>
              <w:pStyle w:val="Compact"/>
              <w:spacing w:before="0" w:after="0"/>
              <w:jc w:val="center"/>
            </w:pPr>
            <w:r>
              <w:rPr>
                <w:rFonts w:ascii="Times New Roman" w:hAnsi="Times New Roman" w:cs="Times New Roman"/>
                <w:sz w:val="18"/>
                <w:szCs w:val="18"/>
              </w:rPr>
              <w:t>0.6700</w:t>
            </w:r>
          </w:p>
        </w:tc>
        <w:tc>
          <w:tcPr>
            <w:tcW w:w="1721" w:type="dxa"/>
            <w:tcMar>
              <w:top w:w="80" w:type="dxa"/>
              <w:left w:w="120" w:type="dxa"/>
              <w:bottom w:w="80" w:type="dxa"/>
              <w:right w:w="120" w:type="dxa"/>
            </w:tcMar>
            <w:vAlign w:val="center"/>
          </w:tcPr>
          <w:p w14:paraId="6B7A49C0" w14:textId="77777777" w:rsidR="001B3588" w:rsidRDefault="00000000">
            <w:pPr>
              <w:pStyle w:val="Compact"/>
              <w:spacing w:before="0" w:after="0"/>
              <w:jc w:val="center"/>
            </w:pPr>
            <w:r>
              <w:rPr>
                <w:rFonts w:ascii="Times New Roman" w:hAnsi="Times New Roman" w:cs="Times New Roman"/>
                <w:sz w:val="18"/>
                <w:szCs w:val="18"/>
              </w:rPr>
              <w:t>0.664–0.676</w:t>
            </w:r>
          </w:p>
        </w:tc>
      </w:tr>
      <w:tr w:rsidR="001B3588" w14:paraId="2E729A55" w14:textId="77777777" w:rsidTr="001B3588">
        <w:trPr>
          <w:cantSplit/>
          <w:jc w:val="center"/>
        </w:trPr>
        <w:tc>
          <w:tcPr>
            <w:tcW w:w="1033" w:type="dxa"/>
            <w:tcMar>
              <w:top w:w="80" w:type="dxa"/>
              <w:left w:w="120" w:type="dxa"/>
              <w:bottom w:w="80" w:type="dxa"/>
              <w:right w:w="120" w:type="dxa"/>
            </w:tcMar>
            <w:vAlign w:val="center"/>
          </w:tcPr>
          <w:p w14:paraId="49AA7C42" w14:textId="77777777" w:rsidR="001B3588" w:rsidRDefault="00000000">
            <w:pPr>
              <w:pStyle w:val="Compact"/>
              <w:spacing w:before="0" w:after="0"/>
            </w:pPr>
            <w:r>
              <w:rPr>
                <w:rFonts w:ascii="Times New Roman" w:hAnsi="Times New Roman" w:cs="Times New Roman"/>
                <w:b/>
                <w:bCs/>
                <w:sz w:val="18"/>
                <w:szCs w:val="18"/>
              </w:rPr>
              <w:t>SEER Internal Validation Cohort</w:t>
            </w:r>
          </w:p>
        </w:tc>
        <w:tc>
          <w:tcPr>
            <w:tcW w:w="1721" w:type="dxa"/>
            <w:tcMar>
              <w:top w:w="80" w:type="dxa"/>
              <w:left w:w="120" w:type="dxa"/>
              <w:bottom w:w="80" w:type="dxa"/>
              <w:right w:w="120" w:type="dxa"/>
            </w:tcMar>
            <w:vAlign w:val="center"/>
          </w:tcPr>
          <w:p w14:paraId="2C6DB98F" w14:textId="77777777" w:rsidR="001B3588" w:rsidRDefault="00000000">
            <w:pPr>
              <w:pStyle w:val="Compact"/>
              <w:spacing w:before="0" w:after="0"/>
            </w:pPr>
            <w:r>
              <w:rPr>
                <w:rFonts w:ascii="Times New Roman" w:hAnsi="Times New Roman" w:cs="Times New Roman"/>
                <w:sz w:val="18"/>
                <w:szCs w:val="18"/>
              </w:rPr>
              <w:t>14,744</w:t>
            </w:r>
          </w:p>
        </w:tc>
        <w:tc>
          <w:tcPr>
            <w:tcW w:w="1721" w:type="dxa"/>
            <w:tcMar>
              <w:top w:w="80" w:type="dxa"/>
              <w:left w:w="120" w:type="dxa"/>
              <w:bottom w:w="80" w:type="dxa"/>
              <w:right w:w="120" w:type="dxa"/>
            </w:tcMar>
            <w:vAlign w:val="center"/>
          </w:tcPr>
          <w:p w14:paraId="087464AA" w14:textId="77777777" w:rsidR="001B3588" w:rsidRDefault="00000000">
            <w:pPr>
              <w:pStyle w:val="Compact"/>
              <w:spacing w:before="0" w:after="0"/>
              <w:jc w:val="center"/>
            </w:pPr>
            <w:r>
              <w:rPr>
                <w:rFonts w:ascii="Times New Roman" w:hAnsi="Times New Roman" w:cs="Times New Roman"/>
                <w:sz w:val="18"/>
                <w:szCs w:val="18"/>
              </w:rPr>
              <w:t>8,498</w:t>
            </w:r>
          </w:p>
        </w:tc>
        <w:tc>
          <w:tcPr>
            <w:tcW w:w="1721" w:type="dxa"/>
            <w:tcMar>
              <w:top w:w="80" w:type="dxa"/>
              <w:left w:w="120" w:type="dxa"/>
              <w:bottom w:w="80" w:type="dxa"/>
              <w:right w:w="120" w:type="dxa"/>
            </w:tcMar>
            <w:vAlign w:val="center"/>
          </w:tcPr>
          <w:p w14:paraId="74468CB2" w14:textId="77777777" w:rsidR="001B3588" w:rsidRDefault="00000000">
            <w:pPr>
              <w:pStyle w:val="Compact"/>
              <w:spacing w:before="0" w:after="0"/>
              <w:jc w:val="center"/>
            </w:pPr>
            <w:r>
              <w:rPr>
                <w:rFonts w:ascii="Times New Roman" w:hAnsi="Times New Roman" w:cs="Times New Roman"/>
                <w:sz w:val="18"/>
                <w:szCs w:val="18"/>
              </w:rPr>
              <w:t>0.6690</w:t>
            </w:r>
          </w:p>
        </w:tc>
        <w:tc>
          <w:tcPr>
            <w:tcW w:w="1721" w:type="dxa"/>
            <w:tcMar>
              <w:top w:w="80" w:type="dxa"/>
              <w:left w:w="120" w:type="dxa"/>
              <w:bottom w:w="80" w:type="dxa"/>
              <w:right w:w="120" w:type="dxa"/>
            </w:tcMar>
            <w:vAlign w:val="center"/>
          </w:tcPr>
          <w:p w14:paraId="519078AE" w14:textId="77777777" w:rsidR="001B3588" w:rsidRDefault="00000000">
            <w:pPr>
              <w:pStyle w:val="Compact"/>
              <w:spacing w:before="0" w:after="0"/>
              <w:jc w:val="center"/>
            </w:pPr>
            <w:r>
              <w:rPr>
                <w:rFonts w:ascii="Times New Roman" w:hAnsi="Times New Roman" w:cs="Times New Roman"/>
                <w:sz w:val="18"/>
                <w:szCs w:val="18"/>
              </w:rPr>
              <w:t>0.660–0.678</w:t>
            </w:r>
          </w:p>
        </w:tc>
      </w:tr>
      <w:tr w:rsidR="001B3588" w14:paraId="4B2F1295" w14:textId="77777777" w:rsidTr="001B3588">
        <w:trPr>
          <w:cantSplit/>
          <w:jc w:val="center"/>
        </w:trPr>
        <w:tc>
          <w:tcPr>
            <w:tcW w:w="1033" w:type="dxa"/>
            <w:tcMar>
              <w:top w:w="80" w:type="dxa"/>
              <w:left w:w="120" w:type="dxa"/>
              <w:bottom w:w="80" w:type="dxa"/>
              <w:right w:w="120" w:type="dxa"/>
            </w:tcMar>
            <w:vAlign w:val="center"/>
          </w:tcPr>
          <w:p w14:paraId="7D9770AA" w14:textId="77777777" w:rsidR="001B3588" w:rsidRDefault="00000000">
            <w:pPr>
              <w:pStyle w:val="Compact"/>
              <w:spacing w:before="0" w:after="0"/>
            </w:pPr>
            <w:r>
              <w:rPr>
                <w:rFonts w:ascii="Times New Roman" w:hAnsi="Times New Roman" w:cs="Times New Roman"/>
                <w:b/>
                <w:bCs/>
                <w:sz w:val="18"/>
                <w:szCs w:val="18"/>
              </w:rPr>
              <w:t>TCGA-OV External Validation Cohort</w:t>
            </w:r>
          </w:p>
        </w:tc>
        <w:tc>
          <w:tcPr>
            <w:tcW w:w="1721" w:type="dxa"/>
            <w:tcMar>
              <w:top w:w="80" w:type="dxa"/>
              <w:left w:w="120" w:type="dxa"/>
              <w:bottom w:w="80" w:type="dxa"/>
              <w:right w:w="120" w:type="dxa"/>
            </w:tcMar>
            <w:vAlign w:val="center"/>
          </w:tcPr>
          <w:p w14:paraId="35CA1608" w14:textId="77777777" w:rsidR="001B3588" w:rsidRDefault="00000000">
            <w:pPr>
              <w:pStyle w:val="Compact"/>
              <w:spacing w:before="0" w:after="0"/>
            </w:pPr>
            <w:r>
              <w:rPr>
                <w:rFonts w:ascii="Times New Roman" w:hAnsi="Times New Roman" w:cs="Times New Roman"/>
                <w:sz w:val="18"/>
                <w:szCs w:val="18"/>
              </w:rPr>
              <w:t>583</w:t>
            </w:r>
          </w:p>
        </w:tc>
        <w:tc>
          <w:tcPr>
            <w:tcW w:w="1721" w:type="dxa"/>
            <w:tcMar>
              <w:top w:w="80" w:type="dxa"/>
              <w:left w:w="120" w:type="dxa"/>
              <w:bottom w:w="80" w:type="dxa"/>
              <w:right w:w="120" w:type="dxa"/>
            </w:tcMar>
            <w:vAlign w:val="center"/>
          </w:tcPr>
          <w:p w14:paraId="24BBF684" w14:textId="77777777" w:rsidR="001B3588" w:rsidRDefault="00000000">
            <w:pPr>
              <w:pStyle w:val="Compact"/>
              <w:spacing w:before="0" w:after="0"/>
              <w:jc w:val="center"/>
            </w:pPr>
            <w:r>
              <w:rPr>
                <w:rFonts w:ascii="Times New Roman" w:hAnsi="Times New Roman" w:cs="Times New Roman"/>
                <w:sz w:val="18"/>
                <w:szCs w:val="18"/>
              </w:rPr>
              <w:t>338</w:t>
            </w:r>
          </w:p>
        </w:tc>
        <w:tc>
          <w:tcPr>
            <w:tcW w:w="1721" w:type="dxa"/>
            <w:tcMar>
              <w:top w:w="80" w:type="dxa"/>
              <w:left w:w="120" w:type="dxa"/>
              <w:bottom w:w="80" w:type="dxa"/>
              <w:right w:w="120" w:type="dxa"/>
            </w:tcMar>
            <w:vAlign w:val="center"/>
          </w:tcPr>
          <w:p w14:paraId="59ECF5FA" w14:textId="77777777" w:rsidR="001B3588" w:rsidRDefault="00000000">
            <w:pPr>
              <w:pStyle w:val="Compact"/>
              <w:spacing w:before="0" w:after="0"/>
              <w:jc w:val="center"/>
            </w:pPr>
            <w:r>
              <w:rPr>
                <w:rFonts w:ascii="Times New Roman" w:hAnsi="Times New Roman" w:cs="Times New Roman"/>
                <w:sz w:val="18"/>
                <w:szCs w:val="18"/>
              </w:rPr>
              <w:t>0.6081</w:t>
            </w:r>
          </w:p>
        </w:tc>
        <w:tc>
          <w:tcPr>
            <w:tcW w:w="1721" w:type="dxa"/>
            <w:tcMar>
              <w:top w:w="80" w:type="dxa"/>
              <w:left w:w="120" w:type="dxa"/>
              <w:bottom w:w="80" w:type="dxa"/>
              <w:right w:w="120" w:type="dxa"/>
            </w:tcMar>
            <w:vAlign w:val="center"/>
          </w:tcPr>
          <w:p w14:paraId="72A5515B" w14:textId="77777777" w:rsidR="001B3588" w:rsidRDefault="00000000">
            <w:pPr>
              <w:pStyle w:val="Compact"/>
              <w:spacing w:before="0" w:after="0"/>
              <w:jc w:val="center"/>
            </w:pPr>
            <w:r>
              <w:rPr>
                <w:rFonts w:ascii="Times New Roman" w:hAnsi="Times New Roman" w:cs="Times New Roman"/>
                <w:sz w:val="18"/>
                <w:szCs w:val="18"/>
              </w:rPr>
              <w:t>0.564–0.652</w:t>
            </w:r>
          </w:p>
        </w:tc>
      </w:tr>
    </w:tbl>
    <w:p w14:paraId="67E8C826" w14:textId="77777777" w:rsidR="001B3588" w:rsidRDefault="00000000">
      <w:pPr>
        <w:pStyle w:val="a0"/>
        <w:spacing w:before="60" w:line="260" w:lineRule="auto"/>
      </w:pPr>
      <w:r>
        <w:rPr>
          <w:rFonts w:ascii="Times New Roman" w:hAnsi="Times New Roman" w:cs="Times New Roman"/>
          <w:i/>
          <w:iCs/>
          <w:sz w:val="18"/>
          <w:szCs w:val="18"/>
        </w:rPr>
        <w:t>Abbreviations: CSS, cancer-specific survival; CI, confidence interval estimated from 100 bootstrap resamplings.</w:t>
      </w:r>
    </w:p>
    <w:p w14:paraId="68535AD4" w14:textId="77777777" w:rsidR="001B3588" w:rsidRDefault="00000000">
      <w:pPr>
        <w:spacing w:after="100" w:line="360" w:lineRule="auto"/>
        <w:jc w:val="both"/>
      </w:pPr>
      <w:r>
        <w:rPr>
          <w:rFonts w:ascii="Times New Roman" w:hAnsi="Times New Roman" w:cs="Times New Roman"/>
        </w:rPr>
        <w:pict w14:anchorId="3427761C">
          <v:rect id="_x0000_i1026" style="width:0;height:1.5pt" o:hralign="center" o:hrstd="t" o:hr="t"/>
        </w:pict>
      </w:r>
    </w:p>
    <w:p w14:paraId="60D06EF9" w14:textId="77777777" w:rsidR="001B3588" w:rsidRDefault="00000000">
      <w:pPr>
        <w:pStyle w:val="3"/>
        <w:spacing w:before="120" w:after="40" w:line="280" w:lineRule="auto"/>
      </w:pPr>
      <w:bookmarkStart w:id="3" w:name="X17d94679914269e83918d8801ae1835481aa970"/>
      <w:bookmarkEnd w:id="2"/>
      <w:r>
        <w:rPr>
          <w:rFonts w:ascii="Times New Roman" w:hAnsi="Times New Roman" w:cs="Times New Roman"/>
          <w:b/>
          <w:i/>
          <w:sz w:val="24"/>
          <w:szCs w:val="24"/>
        </w:rPr>
        <w:t>Supplementary Table S2. Sensitivity analysis evaluating the prognostic impact of preserving vs. omitting unknown clinical categories</w:t>
      </w:r>
    </w:p>
    <w:tbl>
      <w:tblPr>
        <w:tblStyle w:val="Table"/>
        <w:tblW w:w="5000" w:type="pct"/>
        <w:jc w:val="center"/>
        <w:tblBorders>
          <w:top w:val="single" w:sz="12" w:space="0" w:color="000000"/>
          <w:bottom w:val="single" w:sz="12" w:space="0" w:color="000000"/>
        </w:tblBorders>
        <w:tblLayout w:type="fixed"/>
        <w:tblLook w:val="0020" w:firstRow="1" w:lastRow="0" w:firstColumn="0" w:lastColumn="0" w:noHBand="0" w:noVBand="0"/>
      </w:tblPr>
      <w:tblGrid>
        <w:gridCol w:w="1544"/>
        <w:gridCol w:w="2574"/>
        <w:gridCol w:w="2574"/>
        <w:gridCol w:w="2574"/>
      </w:tblGrid>
      <w:tr w:rsidR="001B3588" w14:paraId="3A06B424" w14:textId="77777777" w:rsidTr="001B3588">
        <w:trPr>
          <w:cnfStyle w:val="100000000000" w:firstRow="1" w:lastRow="0" w:firstColumn="0" w:lastColumn="0" w:oddVBand="0" w:evenVBand="0" w:oddHBand="0" w:evenHBand="0" w:firstRowFirstColumn="0" w:firstRowLastColumn="0" w:lastRowFirstColumn="0" w:lastRowLastColumn="0"/>
          <w:cantSplit/>
          <w:tblHeader/>
          <w:jc w:val="center"/>
        </w:trPr>
        <w:tc>
          <w:tcPr>
            <w:tcW w:w="1320" w:type="dxa"/>
            <w:tcBorders>
              <w:bottom w:val="single" w:sz="8" w:space="0" w:color="000000"/>
            </w:tcBorders>
            <w:tcMar>
              <w:top w:w="80" w:type="dxa"/>
              <w:left w:w="120" w:type="dxa"/>
              <w:bottom w:w="80" w:type="dxa"/>
              <w:right w:w="120" w:type="dxa"/>
            </w:tcMar>
            <w:vAlign w:val="center"/>
          </w:tcPr>
          <w:p w14:paraId="373E3F3E" w14:textId="77777777" w:rsidR="001B3588" w:rsidRDefault="00000000">
            <w:pPr>
              <w:pStyle w:val="Compact"/>
              <w:spacing w:before="0" w:after="0"/>
            </w:pPr>
            <w:r>
              <w:rPr>
                <w:rFonts w:ascii="Times New Roman" w:hAnsi="Times New Roman" w:cs="Times New Roman"/>
                <w:b/>
                <w:sz w:val="19"/>
                <w:szCs w:val="19"/>
              </w:rPr>
              <w:t>Metric / Cohort</w:t>
            </w:r>
          </w:p>
        </w:tc>
        <w:tc>
          <w:tcPr>
            <w:tcW w:w="2200" w:type="dxa"/>
            <w:tcBorders>
              <w:bottom w:val="single" w:sz="8" w:space="0" w:color="000000"/>
            </w:tcBorders>
            <w:tcMar>
              <w:top w:w="80" w:type="dxa"/>
              <w:left w:w="120" w:type="dxa"/>
              <w:bottom w:w="80" w:type="dxa"/>
              <w:right w:w="120" w:type="dxa"/>
            </w:tcMar>
            <w:vAlign w:val="center"/>
          </w:tcPr>
          <w:p w14:paraId="6A0CFFDE" w14:textId="77777777" w:rsidR="001B3588" w:rsidRDefault="00000000">
            <w:pPr>
              <w:pStyle w:val="Compact"/>
              <w:spacing w:before="0" w:after="0"/>
            </w:pPr>
            <w:r>
              <w:rPr>
                <w:rFonts w:ascii="Times New Roman" w:hAnsi="Times New Roman" w:cs="Times New Roman"/>
                <w:b/>
                <w:sz w:val="19"/>
                <w:szCs w:val="19"/>
              </w:rPr>
              <w:t>Complete-Case Analysis (Excluding Unknowns)</w:t>
            </w:r>
          </w:p>
        </w:tc>
        <w:tc>
          <w:tcPr>
            <w:tcW w:w="2200" w:type="dxa"/>
            <w:tcBorders>
              <w:bottom w:val="single" w:sz="8" w:space="0" w:color="000000"/>
            </w:tcBorders>
            <w:tcMar>
              <w:top w:w="80" w:type="dxa"/>
              <w:left w:w="120" w:type="dxa"/>
              <w:bottom w:w="80" w:type="dxa"/>
              <w:right w:w="120" w:type="dxa"/>
            </w:tcMar>
            <w:vAlign w:val="center"/>
          </w:tcPr>
          <w:p w14:paraId="0FC0D965" w14:textId="77777777" w:rsidR="001B3588" w:rsidRDefault="00000000">
            <w:pPr>
              <w:pStyle w:val="Compact"/>
              <w:spacing w:before="0" w:after="0"/>
              <w:jc w:val="center"/>
            </w:pPr>
            <w:r>
              <w:rPr>
                <w:rFonts w:ascii="Times New Roman" w:hAnsi="Times New Roman" w:cs="Times New Roman"/>
                <w:b/>
                <w:sz w:val="19"/>
                <w:szCs w:val="19"/>
              </w:rPr>
              <w:t>Informative Category Analysis (Preserving Unknowns)</w:t>
            </w:r>
          </w:p>
        </w:tc>
        <w:tc>
          <w:tcPr>
            <w:tcW w:w="2200" w:type="dxa"/>
            <w:tcBorders>
              <w:bottom w:val="single" w:sz="8" w:space="0" w:color="000000"/>
            </w:tcBorders>
            <w:tcMar>
              <w:top w:w="80" w:type="dxa"/>
              <w:left w:w="120" w:type="dxa"/>
              <w:bottom w:w="80" w:type="dxa"/>
              <w:right w:w="120" w:type="dxa"/>
            </w:tcMar>
            <w:vAlign w:val="center"/>
          </w:tcPr>
          <w:p w14:paraId="7460A0D3" w14:textId="77777777" w:rsidR="001B3588" w:rsidRDefault="00000000">
            <w:pPr>
              <w:pStyle w:val="Compact"/>
              <w:spacing w:before="0" w:after="0"/>
              <w:jc w:val="center"/>
            </w:pPr>
            <w:r>
              <w:rPr>
                <w:rFonts w:ascii="Times New Roman" w:hAnsi="Times New Roman" w:cs="Times New Roman"/>
                <w:b/>
                <w:sz w:val="19"/>
                <w:szCs w:val="19"/>
              </w:rPr>
              <w:t>P Value for Comparison</w:t>
            </w:r>
          </w:p>
        </w:tc>
      </w:tr>
      <w:tr w:rsidR="001B3588" w14:paraId="6C80FA13" w14:textId="77777777" w:rsidTr="001B3588">
        <w:trPr>
          <w:cantSplit/>
          <w:jc w:val="center"/>
        </w:trPr>
        <w:tc>
          <w:tcPr>
            <w:tcW w:w="1320" w:type="dxa"/>
            <w:tcMar>
              <w:top w:w="80" w:type="dxa"/>
              <w:left w:w="120" w:type="dxa"/>
              <w:bottom w:w="80" w:type="dxa"/>
              <w:right w:w="120" w:type="dxa"/>
            </w:tcMar>
            <w:vAlign w:val="center"/>
          </w:tcPr>
          <w:p w14:paraId="2E399BBA" w14:textId="77777777" w:rsidR="001B3588" w:rsidRDefault="00000000">
            <w:pPr>
              <w:pStyle w:val="Compact"/>
              <w:spacing w:before="0" w:after="0"/>
            </w:pPr>
            <w:r>
              <w:rPr>
                <w:rFonts w:ascii="Times New Roman" w:hAnsi="Times New Roman" w:cs="Times New Roman"/>
                <w:b/>
                <w:bCs/>
                <w:sz w:val="18"/>
                <w:szCs w:val="18"/>
              </w:rPr>
              <w:t>Training Cohort C-index</w:t>
            </w:r>
          </w:p>
        </w:tc>
        <w:tc>
          <w:tcPr>
            <w:tcW w:w="2200" w:type="dxa"/>
            <w:tcMar>
              <w:top w:w="80" w:type="dxa"/>
              <w:left w:w="120" w:type="dxa"/>
              <w:bottom w:w="80" w:type="dxa"/>
              <w:right w:w="120" w:type="dxa"/>
            </w:tcMar>
            <w:vAlign w:val="center"/>
          </w:tcPr>
          <w:p w14:paraId="7317EF75" w14:textId="77777777" w:rsidR="001B3588" w:rsidRDefault="00000000">
            <w:pPr>
              <w:pStyle w:val="Compact"/>
              <w:spacing w:before="0" w:after="0"/>
            </w:pPr>
            <w:r>
              <w:rPr>
                <w:rFonts w:ascii="Times New Roman" w:hAnsi="Times New Roman" w:cs="Times New Roman"/>
                <w:sz w:val="18"/>
                <w:szCs w:val="18"/>
              </w:rPr>
              <w:t>0.6685 (95% CI: 0.661–0.675)</w:t>
            </w:r>
          </w:p>
        </w:tc>
        <w:tc>
          <w:tcPr>
            <w:tcW w:w="2200" w:type="dxa"/>
            <w:tcMar>
              <w:top w:w="80" w:type="dxa"/>
              <w:left w:w="120" w:type="dxa"/>
              <w:bottom w:w="80" w:type="dxa"/>
              <w:right w:w="120" w:type="dxa"/>
            </w:tcMar>
            <w:vAlign w:val="center"/>
          </w:tcPr>
          <w:p w14:paraId="784A40E1" w14:textId="77777777" w:rsidR="001B3588" w:rsidRDefault="00000000">
            <w:pPr>
              <w:pStyle w:val="Compact"/>
              <w:spacing w:before="0" w:after="0"/>
              <w:jc w:val="center"/>
            </w:pPr>
            <w:r>
              <w:rPr>
                <w:rFonts w:ascii="Times New Roman" w:hAnsi="Times New Roman" w:cs="Times New Roman"/>
                <w:sz w:val="18"/>
                <w:szCs w:val="18"/>
              </w:rPr>
              <w:t>0.6700 (95% CI: 0.664–0.676)</w:t>
            </w:r>
          </w:p>
        </w:tc>
        <w:tc>
          <w:tcPr>
            <w:tcW w:w="2200" w:type="dxa"/>
            <w:tcMar>
              <w:top w:w="80" w:type="dxa"/>
              <w:left w:w="120" w:type="dxa"/>
              <w:bottom w:w="80" w:type="dxa"/>
              <w:right w:w="120" w:type="dxa"/>
            </w:tcMar>
            <w:vAlign w:val="center"/>
          </w:tcPr>
          <w:p w14:paraId="53A7EECC" w14:textId="77777777" w:rsidR="001B3588" w:rsidRDefault="00000000">
            <w:pPr>
              <w:pStyle w:val="Compact"/>
              <w:spacing w:before="0" w:after="0"/>
              <w:jc w:val="center"/>
            </w:pPr>
            <w:r>
              <w:rPr>
                <w:rFonts w:ascii="Times New Roman" w:hAnsi="Times New Roman" w:cs="Times New Roman"/>
                <w:sz w:val="18"/>
                <w:szCs w:val="18"/>
              </w:rPr>
              <w:t>0.68</w:t>
            </w:r>
          </w:p>
        </w:tc>
      </w:tr>
      <w:tr w:rsidR="001B3588" w14:paraId="4D65BED8" w14:textId="77777777" w:rsidTr="001B3588">
        <w:trPr>
          <w:cantSplit/>
          <w:jc w:val="center"/>
        </w:trPr>
        <w:tc>
          <w:tcPr>
            <w:tcW w:w="1320" w:type="dxa"/>
            <w:tcMar>
              <w:top w:w="80" w:type="dxa"/>
              <w:left w:w="120" w:type="dxa"/>
              <w:bottom w:w="80" w:type="dxa"/>
              <w:right w:w="120" w:type="dxa"/>
            </w:tcMar>
            <w:vAlign w:val="center"/>
          </w:tcPr>
          <w:p w14:paraId="2B068F4F" w14:textId="77777777" w:rsidR="001B3588" w:rsidRDefault="00000000">
            <w:pPr>
              <w:pStyle w:val="Compact"/>
              <w:spacing w:before="0" w:after="0"/>
            </w:pPr>
            <w:r>
              <w:rPr>
                <w:rFonts w:ascii="Times New Roman" w:hAnsi="Times New Roman" w:cs="Times New Roman"/>
                <w:b/>
                <w:bCs/>
                <w:sz w:val="18"/>
                <w:szCs w:val="18"/>
              </w:rPr>
              <w:t>Internal Validation C-index</w:t>
            </w:r>
          </w:p>
        </w:tc>
        <w:tc>
          <w:tcPr>
            <w:tcW w:w="2200" w:type="dxa"/>
            <w:tcMar>
              <w:top w:w="80" w:type="dxa"/>
              <w:left w:w="120" w:type="dxa"/>
              <w:bottom w:w="80" w:type="dxa"/>
              <w:right w:w="120" w:type="dxa"/>
            </w:tcMar>
            <w:vAlign w:val="center"/>
          </w:tcPr>
          <w:p w14:paraId="35B48C76" w14:textId="77777777" w:rsidR="001B3588" w:rsidRDefault="00000000">
            <w:pPr>
              <w:pStyle w:val="Compact"/>
              <w:spacing w:before="0" w:after="0"/>
            </w:pPr>
            <w:r>
              <w:rPr>
                <w:rFonts w:ascii="Times New Roman" w:hAnsi="Times New Roman" w:cs="Times New Roman"/>
                <w:sz w:val="18"/>
                <w:szCs w:val="18"/>
              </w:rPr>
              <w:t>0.6672 (95% CI: 0.658–0.676)</w:t>
            </w:r>
          </w:p>
        </w:tc>
        <w:tc>
          <w:tcPr>
            <w:tcW w:w="2200" w:type="dxa"/>
            <w:tcMar>
              <w:top w:w="80" w:type="dxa"/>
              <w:left w:w="120" w:type="dxa"/>
              <w:bottom w:w="80" w:type="dxa"/>
              <w:right w:w="120" w:type="dxa"/>
            </w:tcMar>
            <w:vAlign w:val="center"/>
          </w:tcPr>
          <w:p w14:paraId="6A7D5EA2" w14:textId="77777777" w:rsidR="001B3588" w:rsidRDefault="00000000">
            <w:pPr>
              <w:pStyle w:val="Compact"/>
              <w:spacing w:before="0" w:after="0"/>
              <w:jc w:val="center"/>
            </w:pPr>
            <w:r>
              <w:rPr>
                <w:rFonts w:ascii="Times New Roman" w:hAnsi="Times New Roman" w:cs="Times New Roman"/>
                <w:sz w:val="18"/>
                <w:szCs w:val="18"/>
              </w:rPr>
              <w:t>0.6690 (95% CI: 0.660–0.678)</w:t>
            </w:r>
          </w:p>
        </w:tc>
        <w:tc>
          <w:tcPr>
            <w:tcW w:w="2200" w:type="dxa"/>
            <w:tcMar>
              <w:top w:w="80" w:type="dxa"/>
              <w:left w:w="120" w:type="dxa"/>
              <w:bottom w:w="80" w:type="dxa"/>
              <w:right w:w="120" w:type="dxa"/>
            </w:tcMar>
            <w:vAlign w:val="center"/>
          </w:tcPr>
          <w:p w14:paraId="66A46FE6" w14:textId="77777777" w:rsidR="001B3588" w:rsidRDefault="00000000">
            <w:pPr>
              <w:pStyle w:val="Compact"/>
              <w:spacing w:before="0" w:after="0"/>
              <w:jc w:val="center"/>
            </w:pPr>
            <w:r>
              <w:rPr>
                <w:rFonts w:ascii="Times New Roman" w:hAnsi="Times New Roman" w:cs="Times New Roman"/>
                <w:sz w:val="18"/>
                <w:szCs w:val="18"/>
              </w:rPr>
              <w:t>0.74</w:t>
            </w:r>
          </w:p>
        </w:tc>
      </w:tr>
      <w:tr w:rsidR="001B3588" w14:paraId="5FD7947B" w14:textId="77777777" w:rsidTr="001B3588">
        <w:trPr>
          <w:cantSplit/>
          <w:jc w:val="center"/>
        </w:trPr>
        <w:tc>
          <w:tcPr>
            <w:tcW w:w="1320" w:type="dxa"/>
            <w:tcMar>
              <w:top w:w="80" w:type="dxa"/>
              <w:left w:w="120" w:type="dxa"/>
              <w:bottom w:w="80" w:type="dxa"/>
              <w:right w:w="120" w:type="dxa"/>
            </w:tcMar>
            <w:vAlign w:val="center"/>
          </w:tcPr>
          <w:p w14:paraId="53573AB6" w14:textId="77777777" w:rsidR="001B3588" w:rsidRDefault="00000000">
            <w:pPr>
              <w:pStyle w:val="Compact"/>
              <w:spacing w:before="0" w:after="0"/>
            </w:pPr>
            <w:r>
              <w:rPr>
                <w:rFonts w:ascii="Times New Roman" w:hAnsi="Times New Roman" w:cs="Times New Roman"/>
                <w:b/>
                <w:bCs/>
                <w:sz w:val="18"/>
                <w:szCs w:val="18"/>
              </w:rPr>
              <w:t>TCGA-OV External Validation C-index</w:t>
            </w:r>
          </w:p>
        </w:tc>
        <w:tc>
          <w:tcPr>
            <w:tcW w:w="2200" w:type="dxa"/>
            <w:tcMar>
              <w:top w:w="80" w:type="dxa"/>
              <w:left w:w="120" w:type="dxa"/>
              <w:bottom w:w="80" w:type="dxa"/>
              <w:right w:w="120" w:type="dxa"/>
            </w:tcMar>
            <w:vAlign w:val="center"/>
          </w:tcPr>
          <w:p w14:paraId="54743494" w14:textId="77777777" w:rsidR="001B3588" w:rsidRDefault="00000000">
            <w:pPr>
              <w:pStyle w:val="Compact"/>
              <w:spacing w:before="0" w:after="0"/>
            </w:pPr>
            <w:r>
              <w:rPr>
                <w:rFonts w:ascii="Times New Roman" w:hAnsi="Times New Roman" w:cs="Times New Roman"/>
                <w:sz w:val="18"/>
                <w:szCs w:val="18"/>
              </w:rPr>
              <w:t>0.6068 (95% CI: 0.561–0.650)</w:t>
            </w:r>
          </w:p>
        </w:tc>
        <w:tc>
          <w:tcPr>
            <w:tcW w:w="2200" w:type="dxa"/>
            <w:tcMar>
              <w:top w:w="80" w:type="dxa"/>
              <w:left w:w="120" w:type="dxa"/>
              <w:bottom w:w="80" w:type="dxa"/>
              <w:right w:w="120" w:type="dxa"/>
            </w:tcMar>
            <w:vAlign w:val="center"/>
          </w:tcPr>
          <w:p w14:paraId="0911F127" w14:textId="77777777" w:rsidR="001B3588" w:rsidRDefault="00000000">
            <w:pPr>
              <w:pStyle w:val="Compact"/>
              <w:spacing w:before="0" w:after="0"/>
              <w:jc w:val="center"/>
            </w:pPr>
            <w:r>
              <w:rPr>
                <w:rFonts w:ascii="Times New Roman" w:hAnsi="Times New Roman" w:cs="Times New Roman"/>
                <w:sz w:val="18"/>
                <w:szCs w:val="18"/>
              </w:rPr>
              <w:t>0.6081 (95% CI: 0.564–0.652)</w:t>
            </w:r>
          </w:p>
        </w:tc>
        <w:tc>
          <w:tcPr>
            <w:tcW w:w="2200" w:type="dxa"/>
            <w:tcMar>
              <w:top w:w="80" w:type="dxa"/>
              <w:left w:w="120" w:type="dxa"/>
              <w:bottom w:w="80" w:type="dxa"/>
              <w:right w:w="120" w:type="dxa"/>
            </w:tcMar>
            <w:vAlign w:val="center"/>
          </w:tcPr>
          <w:p w14:paraId="105D216A" w14:textId="77777777" w:rsidR="001B3588" w:rsidRDefault="00000000">
            <w:pPr>
              <w:pStyle w:val="Compact"/>
              <w:spacing w:before="0" w:after="0"/>
              <w:jc w:val="center"/>
            </w:pPr>
            <w:r>
              <w:rPr>
                <w:rFonts w:ascii="Times New Roman" w:hAnsi="Times New Roman" w:cs="Times New Roman"/>
                <w:sz w:val="18"/>
                <w:szCs w:val="18"/>
              </w:rPr>
              <w:t>0.82</w:t>
            </w:r>
          </w:p>
        </w:tc>
      </w:tr>
    </w:tbl>
    <w:p w14:paraId="6C681CA1" w14:textId="77777777" w:rsidR="001B3588" w:rsidRDefault="00000000">
      <w:pPr>
        <w:pStyle w:val="a0"/>
        <w:spacing w:before="60" w:line="260" w:lineRule="auto"/>
      </w:pPr>
      <w:r>
        <w:rPr>
          <w:rFonts w:ascii="Times New Roman" w:hAnsi="Times New Roman" w:cs="Times New Roman"/>
          <w:i/>
          <w:iCs/>
          <w:sz w:val="18"/>
          <w:szCs w:val="18"/>
        </w:rPr>
        <w:t>Note: Preservation of unknown clinicopathologic categories as separate real-world strata avoided selection bias while preserving statistical power without compromising discriminative accuracy.</w:t>
      </w:r>
    </w:p>
    <w:p w14:paraId="711F468B" w14:textId="77777777" w:rsidR="001B3588" w:rsidRDefault="00000000">
      <w:pPr>
        <w:spacing w:after="100" w:line="360" w:lineRule="auto"/>
        <w:jc w:val="both"/>
      </w:pPr>
      <w:r>
        <w:rPr>
          <w:rFonts w:ascii="Times New Roman" w:hAnsi="Times New Roman" w:cs="Times New Roman"/>
        </w:rPr>
        <w:pict w14:anchorId="68EADD1F">
          <v:rect id="_x0000_i1027" style="width:0;height:1.5pt" o:hralign="center" o:hrstd="t" o:hr="t"/>
        </w:pict>
      </w:r>
    </w:p>
    <w:p w14:paraId="57E23EA7" w14:textId="77777777" w:rsidR="001B3588" w:rsidRDefault="00000000">
      <w:pPr>
        <w:pStyle w:val="2"/>
        <w:spacing w:before="180" w:after="60" w:line="300" w:lineRule="auto"/>
      </w:pPr>
      <w:bookmarkStart w:id="4" w:name="supplementary-figure-legends"/>
      <w:bookmarkEnd w:id="1"/>
      <w:bookmarkEnd w:id="3"/>
      <w:r>
        <w:rPr>
          <w:rFonts w:ascii="Times New Roman" w:hAnsi="Times New Roman" w:cs="Times New Roman"/>
          <w:b/>
          <w:sz w:val="24"/>
          <w:szCs w:val="24"/>
        </w:rPr>
        <w:lastRenderedPageBreak/>
        <w:t>2. Supplementary Figure Legends</w:t>
      </w:r>
    </w:p>
    <w:p w14:paraId="1D8A65C3" w14:textId="77777777" w:rsidR="001B3588" w:rsidRDefault="00000000">
      <w:pPr>
        <w:pStyle w:val="FirstParagraph"/>
        <w:spacing w:before="0" w:after="100" w:line="360" w:lineRule="auto"/>
        <w:jc w:val="both"/>
      </w:pPr>
      <w:r>
        <w:rPr>
          <w:rFonts w:ascii="Times New Roman" w:hAnsi="Times New Roman" w:cs="Times New Roman"/>
          <w:b/>
          <w:bCs/>
        </w:rPr>
        <w:t>Supplementary Fig. S1</w:t>
      </w:r>
      <w:r>
        <w:rPr>
          <w:rFonts w:ascii="Times New Roman" w:hAnsi="Times New Roman" w:cs="Times New Roman"/>
        </w:rPr>
        <w:t xml:space="preserve"> Variable selection via least absolute shrinkage and selection operator (LASSO) Cox regression in the training cohort. a LASSO coefficient profiles of candidate clinicopathologic variables against log(lambda); b Ten-fold cross-validation curve showing tuning parameter lambda selection based on the concordance index. The vertical red dashed line indicates the optimal lambda.1se threshold (0.0038) and the blue dashed line denotes lambda.min (0.0003)</w:t>
      </w:r>
    </w:p>
    <w:p w14:paraId="616E9C31" w14:textId="77777777" w:rsidR="001B3588" w:rsidRDefault="00000000">
      <w:pPr>
        <w:pStyle w:val="a0"/>
        <w:spacing w:before="0" w:after="100" w:line="360" w:lineRule="auto"/>
        <w:jc w:val="both"/>
      </w:pPr>
      <w:r>
        <w:rPr>
          <w:rFonts w:ascii="Times New Roman" w:hAnsi="Times New Roman" w:cs="Times New Roman"/>
          <w:b/>
          <w:bCs/>
        </w:rPr>
        <w:t>Supplementary Fig. S2</w:t>
      </w:r>
      <w:r>
        <w:rPr>
          <w:rFonts w:ascii="Times New Roman" w:hAnsi="Times New Roman" w:cs="Times New Roman"/>
        </w:rPr>
        <w:t xml:space="preserve"> Forest plot of multivariable Cox proportional hazards regression for cancer-specific survival in the training cohort (n = 34,402). Blue circles represent hazard ratios (HR) and horizontal error bars denote 95% confidence intervals (CI). The vertical dashed line marks the reference line (HR = 1.0)</w:t>
      </w:r>
    </w:p>
    <w:p w14:paraId="6B6AE009" w14:textId="77777777" w:rsidR="001B3588" w:rsidRDefault="00000000">
      <w:pPr>
        <w:pStyle w:val="a0"/>
        <w:spacing w:before="0" w:after="100" w:line="360" w:lineRule="auto"/>
        <w:jc w:val="both"/>
      </w:pPr>
      <w:r>
        <w:rPr>
          <w:rFonts w:ascii="Times New Roman" w:hAnsi="Times New Roman" w:cs="Times New Roman"/>
          <w:b/>
          <w:bCs/>
        </w:rPr>
        <w:t>Supplementary Fig. S3</w:t>
      </w:r>
      <w:r>
        <w:rPr>
          <w:rFonts w:ascii="Times New Roman" w:hAnsi="Times New Roman" w:cs="Times New Roman"/>
        </w:rPr>
        <w:t xml:space="preserve"> Discriminative performance (C-index) of the 5-variable Cox nomogram across cohorts. Colored bars represent the C-index values for the training cohort (SEER, n = 34,402; C = 0.6700), internal validation cohort (SEER, n = 14,744; C = 0.6690), and external validation cohort (TCGA-OV, n = 583; C = 0.6081). Error bars denote 95% bootstrap confidence intervals based on 100 resamplings</w:t>
      </w:r>
    </w:p>
    <w:p w14:paraId="7E21AA1C" w14:textId="77777777" w:rsidR="001B3588" w:rsidRDefault="00000000">
      <w:pPr>
        <w:pStyle w:val="a0"/>
        <w:spacing w:before="0" w:after="100" w:line="360" w:lineRule="auto"/>
        <w:jc w:val="both"/>
      </w:pPr>
      <w:r>
        <w:rPr>
          <w:rFonts w:ascii="Times New Roman" w:hAnsi="Times New Roman" w:cs="Times New Roman"/>
          <w:b/>
          <w:bCs/>
        </w:rPr>
        <w:t>Supplementary Fig. S4</w:t>
      </w:r>
      <w:r>
        <w:rPr>
          <w:rFonts w:ascii="Times New Roman" w:hAnsi="Times New Roman" w:cs="Times New Roman"/>
        </w:rPr>
        <w:t xml:space="preserve"> Subgroup consistency and sensitivity analyses evaluating nomogram stability across clinicopathologic subsets. a Heatmap showing Cox-LASSO regression coefficients across four stratified subgroups defined by age (&lt;65 vs. ≥65 years) and summary stage (Early vs. Late); b Significance levels of subgroup interaction tests confirming no qualitative interaction between age and stage strata</w:t>
      </w:r>
      <w:bookmarkEnd w:id="0"/>
      <w:bookmarkEnd w:id="4"/>
    </w:p>
    <w:sectPr w:rsidR="001B3588">
      <w:headerReference w:type="default" r:id="rId7"/>
      <w:footerReference w:type="default" r:id="rId8"/>
      <w:footnotePr>
        <w:numRestart w:val="eachSect"/>
      </w:footnotePr>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7723" w14:textId="77777777" w:rsidR="006A3A9C" w:rsidRDefault="006A3A9C">
      <w:pPr>
        <w:spacing w:after="0"/>
      </w:pPr>
      <w:r>
        <w:separator/>
      </w:r>
    </w:p>
  </w:endnote>
  <w:endnote w:type="continuationSeparator" w:id="0">
    <w:p w14:paraId="156587D1" w14:textId="77777777" w:rsidR="006A3A9C" w:rsidRDefault="006A3A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5CAE" w14:textId="77777777" w:rsidR="001B3588" w:rsidRDefault="00000000">
    <w:pPr>
      <w:spacing w:before="80" w:after="0"/>
      <w:jc w:val="center"/>
    </w:pPr>
    <w:r>
      <w:rPr>
        <w:rFonts w:ascii="Times New Roman" w:hAnsi="Times New Roman" w:cs="Times New Roman"/>
        <w:color w:val="555555"/>
        <w:sz w:val="20"/>
        <w:szCs w:val="20"/>
      </w:rPr>
      <w:t xml:space="preserve">Page </w:t>
    </w:r>
    <w:r>
      <w:fldChar w:fldCharType="begin"/>
    </w:r>
    <w:r>
      <w:instrText>PAGE</w:instrText>
    </w:r>
    <w:r>
      <w:fldChar w:fldCharType="separate"/>
    </w:r>
    <w:r w:rsidR="00294061">
      <w:rPr>
        <w:noProof/>
      </w:rPr>
      <w:t>1</w:t>
    </w:r>
    <w:r>
      <w:fldChar w:fldCharType="end"/>
    </w:r>
    <w:r>
      <w:rPr>
        <w:rFonts w:ascii="Times New Roman" w:hAnsi="Times New Roman" w:cs="Times New Roman"/>
        <w:color w:val="555555"/>
        <w:sz w:val="20"/>
        <w:szCs w:val="20"/>
      </w:rPr>
      <w:t xml:space="preserve"> of </w:t>
    </w:r>
    <w:r>
      <w:fldChar w:fldCharType="begin"/>
    </w:r>
    <w:r>
      <w:instrText>NUMPAGES</w:instrText>
    </w:r>
    <w:r>
      <w:fldChar w:fldCharType="separate"/>
    </w:r>
    <w:r w:rsidR="0029406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D99BF" w14:textId="77777777" w:rsidR="006A3A9C" w:rsidRDefault="006A3A9C">
      <w:pPr>
        <w:spacing w:after="0"/>
      </w:pPr>
      <w:r>
        <w:separator/>
      </w:r>
    </w:p>
  </w:footnote>
  <w:footnote w:type="continuationSeparator" w:id="0">
    <w:p w14:paraId="50C4948C" w14:textId="77777777" w:rsidR="006A3A9C" w:rsidRDefault="006A3A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B84C" w14:textId="77777777" w:rsidR="001B3588" w:rsidRDefault="00000000">
    <w:pPr>
      <w:pBdr>
        <w:bottom w:val="single" w:sz="4" w:space="4" w:color="D0D0D0"/>
      </w:pBdr>
      <w:spacing w:after="80"/>
      <w:jc w:val="right"/>
    </w:pPr>
    <w:r>
      <w:rPr>
        <w:rFonts w:ascii="Times New Roman" w:hAnsi="Times New Roman" w:cs="Times New Roman"/>
        <w:color w:val="777777"/>
        <w:sz w:val="17"/>
        <w:szCs w:val="17"/>
      </w:rPr>
      <w:t>Discover Oncology | Electronic Supplementary Material (Online Resource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112326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652877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3588"/>
    <w:rsid w:val="001B3588"/>
    <w:rsid w:val="00294061"/>
    <w:rsid w:val="006A3A9C"/>
    <w:rsid w:val="008C25D3"/>
    <w:rsid w:val="009352E1"/>
    <w:rsid w:val="0097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134D2"/>
  <w15:docId w15:val="{F62432B6-C6FD-41C5-97B8-7573550B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标题 字符"/>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标题 字符"/>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标题 1 字符"/>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标题 2 字符"/>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标题 3 字符"/>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标题 4 字符"/>
    <w:basedOn w:val="a1"/>
    <w:link w:val="4"/>
    <w:uiPriority w:val="9"/>
    <w:semiHidden/>
    <w:rsid w:val="00A10FD9"/>
    <w:rPr>
      <w:rFonts w:eastAsiaTheme="majorEastAsia" w:cstheme="majorBidi"/>
      <w:i/>
      <w:iCs/>
      <w:color w:val="0F4761" w:themeColor="accent1" w:themeShade="BF"/>
    </w:rPr>
  </w:style>
  <w:style w:type="character" w:customStyle="1" w:styleId="50">
    <w:name w:val="标题 5 字符"/>
    <w:basedOn w:val="a1"/>
    <w:link w:val="5"/>
    <w:uiPriority w:val="9"/>
    <w:semiHidden/>
    <w:rsid w:val="00A10FD9"/>
    <w:rPr>
      <w:rFonts w:eastAsiaTheme="majorEastAsia" w:cstheme="majorBidi"/>
      <w:color w:val="0F4761" w:themeColor="accent1" w:themeShade="BF"/>
    </w:rPr>
  </w:style>
  <w:style w:type="character" w:customStyle="1" w:styleId="60">
    <w:name w:val="标题 6 字符"/>
    <w:basedOn w:val="a1"/>
    <w:link w:val="6"/>
    <w:uiPriority w:val="9"/>
    <w:semiHidden/>
    <w:rsid w:val="00A10FD9"/>
    <w:rPr>
      <w:rFonts w:eastAsiaTheme="majorEastAsia" w:cstheme="majorBidi"/>
      <w:i/>
      <w:iCs/>
      <w:color w:val="595959" w:themeColor="text1" w:themeTint="A6"/>
    </w:rPr>
  </w:style>
  <w:style w:type="character" w:customStyle="1" w:styleId="70">
    <w:name w:val="标题 7 字符"/>
    <w:basedOn w:val="a1"/>
    <w:link w:val="7"/>
    <w:uiPriority w:val="9"/>
    <w:semiHidden/>
    <w:rsid w:val="00A10FD9"/>
    <w:rPr>
      <w:rFonts w:eastAsiaTheme="majorEastAsia" w:cstheme="majorBidi"/>
      <w:color w:val="595959" w:themeColor="text1" w:themeTint="A6"/>
    </w:rPr>
  </w:style>
  <w:style w:type="character" w:customStyle="1" w:styleId="80">
    <w:name w:val="标题 8 字符"/>
    <w:basedOn w:val="a1"/>
    <w:link w:val="8"/>
    <w:uiPriority w:val="9"/>
    <w:semiHidden/>
    <w:rsid w:val="00A10FD9"/>
    <w:rPr>
      <w:rFonts w:eastAsiaTheme="majorEastAsia" w:cstheme="majorBidi"/>
      <w:i/>
      <w:iCs/>
      <w:color w:val="272727" w:themeColor="text1" w:themeTint="D8"/>
    </w:rPr>
  </w:style>
  <w:style w:type="character" w:customStyle="1" w:styleId="90">
    <w:name w:val="标题 9 字符"/>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题注 字符"/>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TO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424</Words>
  <Characters>2740</Characters>
  <Application>Microsoft Office Word</Application>
  <DocSecurity>0</DocSecurity>
  <Lines>91</Lines>
  <Paragraphs>53</Paragraphs>
  <ScaleCrop>false</ScaleCrop>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Zhaochen Sun</cp:lastModifiedBy>
  <cp:revision>4</cp:revision>
  <dcterms:created xsi:type="dcterms:W3CDTF">2026-10-05T16:53:00Z</dcterms:created>
  <dcterms:modified xsi:type="dcterms:W3CDTF">2026-10-05T17:31:00Z</dcterms:modified>
</cp:coreProperties>
</file>