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4553B" w14:textId="77777777" w:rsidR="006C4EDD" w:rsidRPr="00FE52A4" w:rsidRDefault="006C4EDD" w:rsidP="006C4ED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D5C5FF0" wp14:editId="4BD93FDF">
            <wp:extent cx="5028343" cy="3273790"/>
            <wp:effectExtent l="0" t="0" r="0" b="0"/>
            <wp:docPr id="10846250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625003" name="图片 108462500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343" cy="327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6805D" w14:textId="77777777" w:rsidR="006C4EDD" w:rsidRPr="00A9310E" w:rsidRDefault="006C4EDD" w:rsidP="006C4EDD">
      <w:pPr>
        <w:jc w:val="both"/>
        <w:rPr>
          <w:rFonts w:ascii="Times New Roman" w:hAnsi="Times New Roman" w:cs="Times New Roman"/>
          <w:sz w:val="24"/>
          <w:szCs w:val="24"/>
        </w:rPr>
      </w:pPr>
      <w:r w:rsidRPr="003E3DDC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Pr="006211ED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FE52A4">
        <w:rPr>
          <w:rFonts w:ascii="Times New Roman" w:hAnsi="Times New Roman" w:cs="Times New Roman"/>
          <w:sz w:val="24"/>
          <w:szCs w:val="24"/>
        </w:rPr>
        <w:t xml:space="preserve"> </w:t>
      </w:r>
      <w:r w:rsidRPr="006211ED">
        <w:rPr>
          <w:rFonts w:ascii="Times New Roman" w:hAnsi="Times New Roman" w:cs="Times New Roman"/>
          <w:b/>
          <w:bCs/>
          <w:sz w:val="24"/>
          <w:szCs w:val="24"/>
        </w:rPr>
        <w:t xml:space="preserve">Museum specimens and collection records of the two </w:t>
      </w:r>
      <w:r w:rsidRPr="47EF41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Hoolock</w:t>
      </w:r>
      <w:r w:rsidRPr="006211ED">
        <w:rPr>
          <w:rFonts w:ascii="Times New Roman" w:hAnsi="Times New Roman" w:cs="Times New Roman"/>
          <w:b/>
          <w:bCs/>
          <w:sz w:val="24"/>
          <w:szCs w:val="24"/>
        </w:rPr>
        <w:t xml:space="preserve"> samples analyzed in this study.</w:t>
      </w:r>
      <w:r w:rsidRPr="00FE52A4">
        <w:rPr>
          <w:rFonts w:ascii="Times New Roman" w:hAnsi="Times New Roman" w:cs="Times New Roman"/>
          <w:sz w:val="24"/>
          <w:szCs w:val="24"/>
        </w:rPr>
        <w:t xml:space="preserve"> </w:t>
      </w:r>
      <w:r w:rsidRPr="002A6F6B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A9310E">
        <w:rPr>
          <w:rFonts w:ascii="Times New Roman" w:hAnsi="Times New Roman" w:cs="Times New Roman"/>
          <w:sz w:val="24"/>
          <w:szCs w:val="24"/>
        </w:rPr>
        <w:t xml:space="preserve"> KIZ000166, including the preserved skin specimen, original collection tags, and museum registration card. The Chinese handwritten information on the tags and card is translated as follows: specimen no. 35 </w:t>
      </w:r>
      <w:bookmarkStart w:id="0" w:name="OLE_LINK4"/>
      <w:r w:rsidRPr="00A9310E">
        <w:rPr>
          <w:rFonts w:ascii="Times New Roman" w:hAnsi="Times New Roman" w:cs="Times New Roman"/>
          <w:sz w:val="24"/>
          <w:szCs w:val="24"/>
        </w:rPr>
        <w:t>(original no. 000166)</w:t>
      </w:r>
      <w:bookmarkEnd w:id="0"/>
      <w:r w:rsidRPr="00A9310E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OLE_LINK6"/>
      <w:r w:rsidRPr="00A9310E">
        <w:rPr>
          <w:rFonts w:ascii="Times New Roman" w:hAnsi="Times New Roman" w:cs="Times New Roman"/>
          <w:sz w:val="24"/>
          <w:szCs w:val="24"/>
        </w:rPr>
        <w:t>locality</w:t>
      </w:r>
      <w:bookmarkEnd w:id="1"/>
      <w:r w:rsidRPr="00A9310E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OLE_LINK5"/>
      <w:proofErr w:type="spellStart"/>
      <w:r>
        <w:rPr>
          <w:rFonts w:ascii="Times New Roman" w:hAnsi="Times New Roman" w:cs="Times New Roman" w:hint="eastAsia"/>
          <w:sz w:val="24"/>
          <w:szCs w:val="24"/>
        </w:rPr>
        <w:t>Lengshuihe</w:t>
      </w:r>
      <w:proofErr w:type="spellEnd"/>
      <w:r w:rsidRPr="00A931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Tengchong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9310E">
        <w:rPr>
          <w:rFonts w:ascii="Times New Roman" w:hAnsi="Times New Roman" w:cs="Times New Roman"/>
          <w:sz w:val="24"/>
          <w:szCs w:val="24"/>
        </w:rPr>
        <w:t>Yunnan, collection date 26 May 1960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2A6F6B">
        <w:rPr>
          <w:rFonts w:ascii="Times New Roman" w:hAnsi="Times New Roman" w:cs="Times New Roman"/>
          <w:sz w:val="24"/>
          <w:szCs w:val="24"/>
        </w:rPr>
        <w:t xml:space="preserve"> </w:t>
      </w:r>
      <w:r w:rsidRPr="00A9310E">
        <w:rPr>
          <w:rFonts w:ascii="Times New Roman" w:hAnsi="Times New Roman" w:cs="Times New Roman"/>
          <w:sz w:val="24"/>
          <w:szCs w:val="24"/>
        </w:rPr>
        <w:t>sex male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bookmarkEnd w:id="2"/>
      <w:r w:rsidRPr="00A9310E">
        <w:rPr>
          <w:rFonts w:ascii="Times New Roman" w:hAnsi="Times New Roman" w:cs="Times New Roman"/>
          <w:sz w:val="24"/>
          <w:szCs w:val="24"/>
        </w:rPr>
        <w:t xml:space="preserve"> </w:t>
      </w:r>
      <w:r w:rsidRPr="002A6F6B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2A6F6B">
        <w:rPr>
          <w:rFonts w:ascii="Times New Roman" w:hAnsi="Times New Roman" w:cs="Times New Roman"/>
          <w:sz w:val="24"/>
          <w:szCs w:val="24"/>
        </w:rPr>
        <w:t xml:space="preserve"> </w:t>
      </w:r>
      <w:r w:rsidRPr="00A9310E">
        <w:rPr>
          <w:rFonts w:ascii="Times New Roman" w:hAnsi="Times New Roman" w:cs="Times New Roman"/>
          <w:sz w:val="24"/>
          <w:szCs w:val="24"/>
        </w:rPr>
        <w:t>KIZ011338, including the skeletal specimen, handwritten specimen label, and museum registration card. The Chinese handwritten information on the label and card is translated as follows: specimen no. 34 (original no. 0</w:t>
      </w:r>
      <w:r>
        <w:rPr>
          <w:rFonts w:ascii="Times New Roman" w:hAnsi="Times New Roman" w:cs="Times New Roman" w:hint="eastAsia"/>
          <w:sz w:val="24"/>
          <w:szCs w:val="24"/>
        </w:rPr>
        <w:t>11338</w:t>
      </w:r>
      <w:r w:rsidRPr="00A9310E">
        <w:rPr>
          <w:rFonts w:ascii="Times New Roman" w:hAnsi="Times New Roman" w:cs="Times New Roman"/>
          <w:sz w:val="24"/>
          <w:szCs w:val="24"/>
        </w:rPr>
        <w:t>), locality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Lengshuihe</w:t>
      </w:r>
      <w:proofErr w:type="spellEnd"/>
      <w:r w:rsidRPr="00A931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Tengchong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9310E">
        <w:rPr>
          <w:rFonts w:ascii="Times New Roman" w:hAnsi="Times New Roman" w:cs="Times New Roman"/>
          <w:sz w:val="24"/>
          <w:szCs w:val="24"/>
        </w:rPr>
        <w:t>Yunnan, collection date 26 May 1960, elevation 1,900 m, sex male.</w:t>
      </w:r>
    </w:p>
    <w:p w14:paraId="79D75802" w14:textId="77777777" w:rsidR="006C4EDD" w:rsidRDefault="006C4EDD" w:rsidP="006C4E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5837F7" w14:textId="77777777" w:rsidR="006C4EDD" w:rsidRPr="00057FBE" w:rsidRDefault="006C4EDD" w:rsidP="006C4EDD">
      <w:pPr>
        <w:jc w:val="both"/>
        <w:rPr>
          <w:rFonts w:ascii="Times New Roman" w:hAnsi="Times New Roman" w:cs="Times New Roman"/>
          <w:sz w:val="24"/>
          <w:szCs w:val="24"/>
        </w:rPr>
      </w:pPr>
      <w:r w:rsidRPr="006211ED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0" wp14:anchorId="68742500" wp14:editId="4ABC6CC8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5878800" cy="3528000"/>
            <wp:effectExtent l="0" t="0" r="8255" b="0"/>
            <wp:wrapTopAndBottom/>
            <wp:docPr id="20625042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04203" name="图片 206250420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800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3DDC">
        <w:rPr>
          <w:rFonts w:ascii="Times New Roman" w:hAnsi="Times New Roman" w:cs="Times New Roman"/>
          <w:b/>
          <w:bCs/>
          <w:noProof/>
          <w:sz w:val="24"/>
          <w:szCs w:val="24"/>
        </w:rPr>
        <w:t>Figure</w:t>
      </w:r>
      <w:r w:rsidRPr="006211E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S2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211ED">
        <w:rPr>
          <w:rFonts w:ascii="Times New Roman" w:hAnsi="Times New Roman" w:cs="Times New Roman"/>
          <w:b/>
          <w:bCs/>
          <w:sz w:val="24"/>
          <w:szCs w:val="24"/>
        </w:rPr>
        <w:t>Nucleotide deamination patterns of two museum hoolock gibbons.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</w:rPr>
        <w:t>Plots show the frequency of C&gt;T (red) and G&gt;A (blue) substitutions.</w:t>
      </w:r>
      <w:r w:rsidRPr="008E4577">
        <w:rPr>
          <w:rFonts w:hint="eastAsia"/>
        </w:rPr>
        <w:t xml:space="preserve"> </w:t>
      </w:r>
      <w:r w:rsidRPr="008E4577">
        <w:rPr>
          <w:rFonts w:ascii="Times New Roman" w:hAnsi="Times New Roman"/>
          <w:sz w:val="24"/>
        </w:rPr>
        <w:t>Both specimens exhibited elevated terminal C→T substitutions at the 5′ ends, with the first nucleotide position showing frequencies of 2.59% (KIZ000166) and 1.54% (KIZ011338), respectively. Terminal G→A misincorporation frequencies at the 3′ ends were lower, reaching 0.54% and 0.45% at the first nucleotide position for KIZ000166 and KIZ011338, respectively. These low-frequency terminal misincorporation patterns indicate mild DNA degradation signatures consistent with historical museum-derived genomic data.</w:t>
      </w:r>
    </w:p>
    <w:p w14:paraId="3467E6A8" w14:textId="77777777" w:rsidR="006C4EDD" w:rsidRPr="00057FBE" w:rsidRDefault="006C4EDD" w:rsidP="006C4EDD">
      <w:pPr>
        <w:jc w:val="center"/>
      </w:pPr>
      <w:r>
        <w:rPr>
          <w:noProof/>
        </w:rPr>
        <w:lastRenderedPageBreak/>
        <w:drawing>
          <wp:inline distT="0" distB="0" distL="0" distR="0" wp14:anchorId="39A61132" wp14:editId="32EE6B27">
            <wp:extent cx="5591175" cy="5943600"/>
            <wp:effectExtent l="0" t="0" r="0" b="0"/>
            <wp:docPr id="205581874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818744" name="Picture 205581874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89267" w14:textId="77777777" w:rsidR="006C4EDD" w:rsidRDefault="006C4EDD" w:rsidP="006C4ED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3DDC">
        <w:rPr>
          <w:rFonts w:ascii="Times New Roman" w:eastAsia="Times New Roman" w:hAnsi="Times New Roman" w:cs="Times New Roman"/>
          <w:b/>
          <w:bCs/>
          <w:sz w:val="24"/>
          <w:szCs w:val="24"/>
        </w:rPr>
        <w:t>Figure</w:t>
      </w:r>
      <w:r w:rsidRPr="2B634D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S3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2B634D00">
        <w:rPr>
          <w:rFonts w:ascii="Times New Roman" w:eastAsia="Times New Roman" w:hAnsi="Times New Roman" w:cs="Times New Roman"/>
          <w:sz w:val="24"/>
          <w:szCs w:val="24"/>
        </w:rPr>
        <w:t xml:space="preserve"> Comparison of Grad-CAM heatmaps generated by four convolutional neural networks for the M1, M2, and M3 molars of KIZ014034. The four rows display heatmaps from </w:t>
      </w:r>
      <w:proofErr w:type="spellStart"/>
      <w:r w:rsidRPr="2B634D00">
        <w:rPr>
          <w:rFonts w:ascii="Times New Roman" w:eastAsia="Times New Roman" w:hAnsi="Times New Roman" w:cs="Times New Roman"/>
          <w:sz w:val="24"/>
          <w:szCs w:val="24"/>
        </w:rPr>
        <w:t>ConvNeXt</w:t>
      </w:r>
      <w:proofErr w:type="spellEnd"/>
      <w:r w:rsidRPr="2B634D00">
        <w:rPr>
          <w:rFonts w:ascii="Times New Roman" w:eastAsia="Times New Roman" w:hAnsi="Times New Roman" w:cs="Times New Roman"/>
          <w:sz w:val="24"/>
          <w:szCs w:val="24"/>
        </w:rPr>
        <w:t>-Base (224 × 224 pixels), EfficientNet-X-B5 (448 ×448 pixels), EfficientNet-B5 (448 ×448 pixels), and EfficientNetV2-S (300 × 300 pixels). The three columns represent M1, M2, and M3 teeth, respectively. Warm colors (red/orange) indicate regions of higher importance contributing to the model’s classification decisions, while cool colors (blue) indicate areas with negligible impact.</w:t>
      </w:r>
    </w:p>
    <w:p w14:paraId="10E524F4" w14:textId="77777777" w:rsidR="006C4EDD" w:rsidRDefault="006C4EDD" w:rsidP="006C4EDD">
      <w:pPr>
        <w:jc w:val="both"/>
      </w:pPr>
    </w:p>
    <w:p w14:paraId="41C76C92" w14:textId="77777777" w:rsidR="006C4EDD" w:rsidRDefault="006C4EDD" w:rsidP="006C4EDD">
      <w:pPr>
        <w:jc w:val="center"/>
      </w:pPr>
      <w:r>
        <w:rPr>
          <w:noProof/>
        </w:rPr>
        <w:lastRenderedPageBreak/>
        <w:drawing>
          <wp:inline distT="0" distB="0" distL="0" distR="0" wp14:anchorId="7F9195A6" wp14:editId="0F270362">
            <wp:extent cx="4476750" cy="5943600"/>
            <wp:effectExtent l="0" t="0" r="0" b="0"/>
            <wp:docPr id="2197091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709162" name="Picture 2197091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D0544" w14:textId="77777777" w:rsidR="006C4EDD" w:rsidRDefault="006C4EDD" w:rsidP="006C4ED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3DDC">
        <w:rPr>
          <w:rFonts w:ascii="Times New Roman" w:eastAsia="Times New Roman" w:hAnsi="Times New Roman" w:cs="Times New Roman"/>
          <w:b/>
          <w:bCs/>
          <w:sz w:val="24"/>
          <w:szCs w:val="24"/>
        </w:rPr>
        <w:t>Figure</w:t>
      </w:r>
      <w:r w:rsidRPr="339EF1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S4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339EF1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Additional tooth images and Grad-CAM maps complementing Fig. 2. </w:t>
      </w:r>
      <w:r w:rsidRPr="339EF1BE">
        <w:rPr>
          <w:rFonts w:ascii="Times New Roman" w:eastAsia="Times New Roman" w:hAnsi="Times New Roman" w:cs="Times New Roman"/>
          <w:sz w:val="24"/>
          <w:szCs w:val="24"/>
        </w:rPr>
        <w:t xml:space="preserve">Representative tooth images (upper rows) and corresponding </w:t>
      </w:r>
      <w:proofErr w:type="spellStart"/>
      <w:r w:rsidRPr="339EF1BE">
        <w:rPr>
          <w:rFonts w:ascii="Times New Roman" w:eastAsia="Times New Roman" w:hAnsi="Times New Roman" w:cs="Times New Roman"/>
          <w:sz w:val="24"/>
          <w:szCs w:val="24"/>
        </w:rPr>
        <w:t>ConvNeXt</w:t>
      </w:r>
      <w:proofErr w:type="spellEnd"/>
      <w:r w:rsidRPr="339EF1BE">
        <w:rPr>
          <w:rFonts w:ascii="Times New Roman" w:eastAsia="Times New Roman" w:hAnsi="Times New Roman" w:cs="Times New Roman"/>
          <w:sz w:val="24"/>
          <w:szCs w:val="24"/>
        </w:rPr>
        <w:t xml:space="preserve">-Base Grad-CAM activation maps (lower rows) for upper second (M2) and third (M3) molars of </w:t>
      </w:r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>H. hoolock</w:t>
      </w:r>
      <w:r w:rsidRPr="339EF1B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H. </w:t>
      </w:r>
      <w:proofErr w:type="spellStart"/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>leuconedys</w:t>
      </w:r>
      <w:proofErr w:type="spellEnd"/>
      <w:r w:rsidRPr="339EF1B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H. </w:t>
      </w:r>
      <w:proofErr w:type="spellStart"/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>tianxing</w:t>
      </w:r>
      <w:proofErr w:type="spellEnd"/>
      <w:r w:rsidRPr="339EF1BE">
        <w:rPr>
          <w:rFonts w:ascii="Times New Roman" w:eastAsia="Times New Roman" w:hAnsi="Times New Roman" w:cs="Times New Roman"/>
          <w:sz w:val="24"/>
          <w:szCs w:val="24"/>
        </w:rPr>
        <w:t>. Columns indicate taxa and specimen vouchers: AMNH112688 (</w:t>
      </w:r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>H. hoolock</w:t>
      </w:r>
      <w:r w:rsidRPr="339EF1BE">
        <w:rPr>
          <w:rFonts w:ascii="Times New Roman" w:eastAsia="Times New Roman" w:hAnsi="Times New Roman" w:cs="Times New Roman"/>
          <w:sz w:val="24"/>
          <w:szCs w:val="24"/>
        </w:rPr>
        <w:t>), AMNH112721 (</w:t>
      </w:r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H. </w:t>
      </w:r>
      <w:proofErr w:type="spellStart"/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>leuconedys</w:t>
      </w:r>
      <w:proofErr w:type="spellEnd"/>
      <w:r w:rsidRPr="339EF1BE">
        <w:rPr>
          <w:rFonts w:ascii="Times New Roman" w:eastAsia="Times New Roman" w:hAnsi="Times New Roman" w:cs="Times New Roman"/>
          <w:sz w:val="24"/>
          <w:szCs w:val="24"/>
        </w:rPr>
        <w:t>) and MCZ26474 (</w:t>
      </w:r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H. </w:t>
      </w:r>
      <w:proofErr w:type="spellStart"/>
      <w:r w:rsidRPr="339EF1BE">
        <w:rPr>
          <w:rFonts w:ascii="Times New Roman" w:eastAsia="Times New Roman" w:hAnsi="Times New Roman" w:cs="Times New Roman"/>
          <w:i/>
          <w:iCs/>
          <w:sz w:val="24"/>
          <w:szCs w:val="24"/>
        </w:rPr>
        <w:t>tianxing</w:t>
      </w:r>
      <w:proofErr w:type="spellEnd"/>
      <w:r w:rsidRPr="339EF1BE">
        <w:rPr>
          <w:rFonts w:ascii="Times New Roman" w:eastAsia="Times New Roman" w:hAnsi="Times New Roman" w:cs="Times New Roman"/>
          <w:sz w:val="24"/>
          <w:szCs w:val="24"/>
        </w:rPr>
        <w:t xml:space="preserve">). This figure provides additional examples supporting the activation patterns illustrated in Fig. 2. Warmer </w:t>
      </w:r>
      <w:proofErr w:type="spellStart"/>
      <w:r w:rsidRPr="339EF1BE">
        <w:rPr>
          <w:rFonts w:ascii="Times New Roman" w:eastAsia="Times New Roman" w:hAnsi="Times New Roman" w:cs="Times New Roman"/>
          <w:sz w:val="24"/>
          <w:szCs w:val="24"/>
        </w:rPr>
        <w:t>colours</w:t>
      </w:r>
      <w:proofErr w:type="spellEnd"/>
      <w:r w:rsidRPr="339EF1BE">
        <w:rPr>
          <w:rFonts w:ascii="Times New Roman" w:eastAsia="Times New Roman" w:hAnsi="Times New Roman" w:cs="Times New Roman"/>
          <w:sz w:val="24"/>
          <w:szCs w:val="24"/>
        </w:rPr>
        <w:t xml:space="preserve"> indicate regions with greater contributions to the predicted class.</w:t>
      </w:r>
    </w:p>
    <w:p w14:paraId="14DFCE95" w14:textId="77777777" w:rsidR="006C4EDD" w:rsidRPr="00057FBE" w:rsidRDefault="006C4EDD" w:rsidP="006C4E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04EB8A" w14:textId="77777777" w:rsidR="006C4EDD" w:rsidRPr="00057FBE" w:rsidRDefault="006C4EDD" w:rsidP="006C4E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CCFCEC" w14:textId="77777777" w:rsidR="006C4EDD" w:rsidRPr="00057FBE" w:rsidRDefault="006C4EDD" w:rsidP="006C4E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0FEA3C" w14:textId="77777777" w:rsidR="006C4EDD" w:rsidRPr="00057FBE" w:rsidRDefault="006C4EDD" w:rsidP="006C4EDD">
      <w:pPr>
        <w:jc w:val="both"/>
        <w:rPr>
          <w:rFonts w:ascii="Times New Roman" w:hAnsi="Times New Roman" w:cs="Times New Roman"/>
          <w:sz w:val="24"/>
          <w:szCs w:val="24"/>
        </w:rPr>
      </w:pPr>
      <w:r w:rsidRPr="00057F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66B986AA" wp14:editId="76700D35">
            <wp:extent cx="4299275" cy="5302799"/>
            <wp:effectExtent l="0" t="0" r="6350" b="0"/>
            <wp:docPr id="7096495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49567" name="图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9275" cy="5302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9ED6C" w14:textId="77777777" w:rsidR="006C4EDD" w:rsidRPr="00DF13AC" w:rsidRDefault="006C4EDD" w:rsidP="006C4EDD">
      <w:pPr>
        <w:jc w:val="both"/>
      </w:pPr>
      <w:r w:rsidRPr="003E3DDC"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298987D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298987DB">
        <w:rPr>
          <w:rFonts w:ascii="Times New Roman" w:hAnsi="Times New Roman" w:cs="Times New Roman"/>
          <w:sz w:val="24"/>
          <w:szCs w:val="24"/>
        </w:rPr>
        <w:t xml:space="preserve"> </w:t>
      </w:r>
      <w:r w:rsidRPr="298987DB">
        <w:rPr>
          <w:rFonts w:ascii="Times New Roman" w:hAnsi="Times New Roman" w:cs="Times New Roman"/>
          <w:b/>
          <w:bCs/>
          <w:sz w:val="24"/>
          <w:szCs w:val="24"/>
        </w:rPr>
        <w:t xml:space="preserve">Maximum-likelihood phylogenetic tree inferred from mitogenomes of </w:t>
      </w:r>
      <w:r w:rsidRPr="298987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Hoolock </w:t>
      </w:r>
      <w:r w:rsidRPr="298987DB">
        <w:rPr>
          <w:rFonts w:ascii="Times New Roman" w:hAnsi="Times New Roman" w:cs="Times New Roman"/>
          <w:b/>
          <w:bCs/>
          <w:sz w:val="24"/>
          <w:szCs w:val="24"/>
        </w:rPr>
        <w:t>species</w:t>
      </w:r>
      <w:r w:rsidRPr="298987D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298987DB">
        <w:rPr>
          <w:rFonts w:ascii="Times New Roman" w:hAnsi="Times New Roman" w:cs="Times New Roman"/>
          <w:sz w:val="24"/>
          <w:szCs w:val="24"/>
        </w:rPr>
        <w:t xml:space="preserve"> Bootstrap support values are indicated at nodes (black circles: &gt;90; grey circles: 70–90). The scale bar represents substitutions per site.</w:t>
      </w:r>
    </w:p>
    <w:p w14:paraId="2C35F1BF" w14:textId="77777777" w:rsidR="006C4EDD" w:rsidRDefault="006C4EDD" w:rsidP="006C4EDD">
      <w:pPr>
        <w:jc w:val="both"/>
      </w:pPr>
      <w:r>
        <w:br w:type="page"/>
      </w:r>
    </w:p>
    <w:p w14:paraId="2C87F7FE" w14:textId="77777777" w:rsidR="006C4EDD" w:rsidRDefault="006C4EDD" w:rsidP="006C4E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B7A835" wp14:editId="77BCE021">
            <wp:extent cx="5943600" cy="5629275"/>
            <wp:effectExtent l="0" t="0" r="0" b="0"/>
            <wp:docPr id="140561443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614434" name="Picture 140561443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194D0" w14:textId="77777777" w:rsidR="006C4EDD" w:rsidRDefault="006C4EDD" w:rsidP="006C4EDD">
      <w:pPr>
        <w:jc w:val="both"/>
        <w:rPr>
          <w:rFonts w:ascii="Times New Roman" w:eastAsia="等线" w:hAnsi="Times New Roman" w:cs="Times New Roman"/>
          <w:sz w:val="24"/>
          <w:szCs w:val="24"/>
        </w:rPr>
      </w:pPr>
      <w:r w:rsidRPr="003E3DDC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Pr="6B56EB03">
        <w:rPr>
          <w:rFonts w:ascii="Times New Roman" w:hAnsi="Times New Roman" w:cs="Times New Roman"/>
          <w:b/>
          <w:bCs/>
          <w:sz w:val="24"/>
          <w:szCs w:val="24"/>
        </w:rPr>
        <w:t xml:space="preserve"> S6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6B56EB03">
        <w:rPr>
          <w:rFonts w:ascii="Times New Roman" w:hAnsi="Times New Roman" w:cs="Times New Roman"/>
          <w:sz w:val="24"/>
          <w:szCs w:val="24"/>
        </w:rPr>
        <w:t xml:space="preserve"> </w:t>
      </w:r>
      <w:r w:rsidRPr="6B56EB03">
        <w:rPr>
          <w:rFonts w:ascii="Times New Roman" w:eastAsia="等线" w:hAnsi="Times New Roman" w:cs="Times New Roman"/>
          <w:b/>
          <w:bCs/>
          <w:sz w:val="24"/>
          <w:szCs w:val="24"/>
        </w:rPr>
        <w:t>Pairwise genetic relatedness among western hoolock individuals estimated using KING.</w:t>
      </w:r>
      <w:r w:rsidRPr="6B56EB03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6B56EB03">
        <w:rPr>
          <w:rFonts w:ascii="Times New Roman" w:eastAsia="Times New Roman" w:hAnsi="Times New Roman" w:cs="Times New Roman"/>
          <w:sz w:val="24"/>
          <w:szCs w:val="24"/>
        </w:rPr>
        <w:t>Pairwise kinship coefficients were calculated based on LD-pruned genome-wide SNPs and visualized as a hierarchical clustering heatmap. Darker colors indicate higher kinship coefficients and greater genetic relatedness among individuals</w:t>
      </w:r>
    </w:p>
    <w:p w14:paraId="29F6E756" w14:textId="77777777" w:rsidR="006C4EDD" w:rsidRDefault="006C4EDD" w:rsidP="006C4EDD">
      <w:r>
        <w:br w:type="page"/>
      </w:r>
    </w:p>
    <w:p w14:paraId="0015A28A" w14:textId="77777777" w:rsidR="006C4EDD" w:rsidRDefault="006C4EDD" w:rsidP="006C4ED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EF3AE4" wp14:editId="2BB2FBB2">
            <wp:extent cx="5943600" cy="3962400"/>
            <wp:effectExtent l="0" t="0" r="0" b="0"/>
            <wp:docPr id="104755251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52514" name="Picture 104755251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3DDC">
        <w:rPr>
          <w:b/>
          <w:bCs/>
        </w:rPr>
        <w:t xml:space="preserve"> </w:t>
      </w:r>
      <w:r w:rsidRPr="003E3DDC">
        <w:rPr>
          <w:rFonts w:ascii="Times New Roman" w:eastAsia="Times New Roman" w:hAnsi="Times New Roman" w:cs="Times New Roman"/>
          <w:b/>
          <w:bCs/>
          <w:sz w:val="24"/>
          <w:szCs w:val="24"/>
        </w:rPr>
        <w:t>Figure</w:t>
      </w:r>
      <w:r w:rsidRPr="6B56EB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S7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6B56EB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Upper tooth row of the historical </w:t>
      </w:r>
      <w:r w:rsidRPr="6B56EB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Hoolock</w:t>
      </w:r>
      <w:r w:rsidRPr="6B56EB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museum specimen KIZ011338. </w:t>
      </w:r>
      <w:r w:rsidRPr="6B56EB03">
        <w:rPr>
          <w:rFonts w:ascii="Times New Roman" w:eastAsia="Times New Roman" w:hAnsi="Times New Roman" w:cs="Times New Roman"/>
          <w:sz w:val="24"/>
          <w:szCs w:val="24"/>
        </w:rPr>
        <w:t>The dentition shows an incomplete molar eruption sequence: M1 is fully erupted, M2 is partially erupted, and M3 is not yet visible. Minimal occlusal wear on the erupted teeth is consistent with a juvenile or subadult developmental stage.</w:t>
      </w:r>
    </w:p>
    <w:p w14:paraId="45C4E352" w14:textId="77777777" w:rsidR="004157FC" w:rsidRPr="006C4EDD" w:rsidRDefault="004157FC"/>
    <w:sectPr w:rsidR="004157FC" w:rsidRPr="006C4EDD" w:rsidSect="006C4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5A581" w14:textId="77777777" w:rsidR="00BD0821" w:rsidRDefault="00BD0821" w:rsidP="006C4EDD">
      <w:pPr>
        <w:spacing w:after="0" w:line="240" w:lineRule="auto"/>
      </w:pPr>
      <w:r>
        <w:separator/>
      </w:r>
    </w:p>
  </w:endnote>
  <w:endnote w:type="continuationSeparator" w:id="0">
    <w:p w14:paraId="50B192CD" w14:textId="77777777" w:rsidR="00BD0821" w:rsidRDefault="00BD0821" w:rsidP="006C4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7470E" w14:textId="77777777" w:rsidR="00BD0821" w:rsidRDefault="00BD0821" w:rsidP="006C4EDD">
      <w:pPr>
        <w:spacing w:after="0" w:line="240" w:lineRule="auto"/>
      </w:pPr>
      <w:r>
        <w:separator/>
      </w:r>
    </w:p>
  </w:footnote>
  <w:footnote w:type="continuationSeparator" w:id="0">
    <w:p w14:paraId="45F272B4" w14:textId="77777777" w:rsidR="00BD0821" w:rsidRDefault="00BD0821" w:rsidP="006C4E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17F"/>
    <w:rsid w:val="00293E48"/>
    <w:rsid w:val="004157FC"/>
    <w:rsid w:val="004B62EB"/>
    <w:rsid w:val="0051317F"/>
    <w:rsid w:val="006C4EDD"/>
    <w:rsid w:val="00BD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01EAEA3-5B71-4F32-8E95-FC9BB2C5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EDD"/>
    <w:pPr>
      <w:spacing w:after="160" w:line="259" w:lineRule="auto"/>
    </w:pPr>
    <w:rPr>
      <w:rFonts w:asciiTheme="minorHAnsi" w:eastAsiaTheme="minorEastAsia" w:hAnsiTheme="minorHAnsi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51317F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317F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317F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7F"/>
    <w:pPr>
      <w:keepNext/>
      <w:keepLines/>
      <w:widowControl w:val="0"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17F"/>
    <w:pPr>
      <w:keepNext/>
      <w:keepLines/>
      <w:widowControl w:val="0"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317F"/>
    <w:pPr>
      <w:keepNext/>
      <w:keepLines/>
      <w:widowControl w:val="0"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317F"/>
    <w:pPr>
      <w:keepNext/>
      <w:keepLines/>
      <w:widowControl w:val="0"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317F"/>
    <w:pPr>
      <w:keepNext/>
      <w:keepLines/>
      <w:widowControl w:val="0"/>
      <w:spacing w:after="0" w:line="240" w:lineRule="auto"/>
      <w:jc w:val="both"/>
      <w:outlineLvl w:val="7"/>
    </w:pPr>
    <w:rPr>
      <w:rFonts w:cstheme="majorBidi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317F"/>
    <w:pPr>
      <w:keepNext/>
      <w:keepLines/>
      <w:widowControl w:val="0"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31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13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13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1317F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1317F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1317F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1317F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1317F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1317F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1317F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13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317F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131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317F"/>
    <w:pPr>
      <w:widowControl w:val="0"/>
      <w:spacing w:before="160" w:line="240" w:lineRule="auto"/>
      <w:jc w:val="center"/>
    </w:pPr>
    <w:rPr>
      <w:rFonts w:ascii="Times New Roman" w:eastAsia="宋体" w:hAnsi="Times New Roman"/>
      <w:i/>
      <w:iCs/>
      <w:color w:val="404040" w:themeColor="text1" w:themeTint="BF"/>
      <w:kern w:val="2"/>
      <w:sz w:val="21"/>
    </w:rPr>
  </w:style>
  <w:style w:type="character" w:customStyle="1" w:styleId="a8">
    <w:name w:val="引用 字符"/>
    <w:basedOn w:val="a0"/>
    <w:link w:val="a7"/>
    <w:uiPriority w:val="29"/>
    <w:rsid w:val="005131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317F"/>
    <w:pPr>
      <w:widowControl w:val="0"/>
      <w:spacing w:after="0" w:line="240" w:lineRule="auto"/>
      <w:ind w:left="720"/>
      <w:contextualSpacing/>
      <w:jc w:val="both"/>
    </w:pPr>
    <w:rPr>
      <w:rFonts w:ascii="Times New Roman" w:eastAsia="宋体" w:hAnsi="Times New Roman"/>
      <w:kern w:val="2"/>
      <w:sz w:val="21"/>
    </w:rPr>
  </w:style>
  <w:style w:type="character" w:styleId="aa">
    <w:name w:val="Intense Emphasis"/>
    <w:basedOn w:val="a0"/>
    <w:uiPriority w:val="21"/>
    <w:qFormat/>
    <w:rsid w:val="005131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317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宋体" w:hAnsi="Times New Roman"/>
      <w:i/>
      <w:iCs/>
      <w:color w:val="0F4761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rsid w:val="005131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1317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4EDD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宋体" w:hAnsi="Times New Roman"/>
      <w:kern w:val="2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C4ED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4ED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宋体" w:hAnsi="Times New Roman"/>
      <w:kern w:val="2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C4EDD"/>
    <w:rPr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6C4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476</Words>
  <Characters>2973</Characters>
  <Application>Microsoft Office Word</Application>
  <DocSecurity>0</DocSecurity>
  <Lines>50</Lines>
  <Paragraphs>7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 Huang</dc:creator>
  <cp:keywords/>
  <dc:description/>
  <cp:lastModifiedBy>Xia Huang</cp:lastModifiedBy>
  <cp:revision>2</cp:revision>
  <dcterms:created xsi:type="dcterms:W3CDTF">2026-09-23T10:06:00Z</dcterms:created>
  <dcterms:modified xsi:type="dcterms:W3CDTF">2026-09-23T10:08:00Z</dcterms:modified>
</cp:coreProperties>
</file>