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160" w:before="0"/>
        <w:jc w:val="left"/>
      </w:pPr>
      <w:r>
        <w:rPr>
          <w:rFonts w:ascii="Times New Roman" w:eastAsia="Times New Roman" w:hAnsi="Times New Roman"/>
          <w:b/>
          <w:bCs/>
          <w:sz w:val="20"/>
          <w:szCs w:val="20"/>
        </w:rPr>
        <w:t xml:space="preserve">Table S1. </w:t>
      </w:r>
      <w:r>
        <w:rPr>
          <w:rFonts w:ascii="Times New Roman" w:eastAsia="Times New Roman" w:hAnsi="Times New Roman"/>
          <w:b/>
          <w:bCs/>
          <w:sz w:val="20"/>
          <w:szCs w:val="20"/>
        </w:rPr>
        <w:t xml:space="preserve">Key features, strengths and limitations of the five candidate modelling strategies</w:t>
      </w:r>
    </w:p>
    <w:tbl>
      <w:tblPr>
        <w:tblW w:type="dxa" w:w="151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2200"/>
        <w:gridCol w:w="2900"/>
        <w:gridCol w:w="3200"/>
        <w:gridCol w:w="3400"/>
        <w:gridCol w:w="3438"/>
      </w:tblGrid>
      <w:tr>
        <w:trPr>
          <w:cantSplit/>
          <w:tblHeader/>
        </w:trPr>
        <w:tc>
          <w:tcPr>
            <w:tcW w:type="dxa" w:w="2200"/>
            <w:tcBorders>
              <w:top w:val="single" w:color="000000" w:sz="12"/>
              <w:left w:val="none" w:color="auto" w:sz="0"/>
              <w:bottom w:val="single" w:color="000000" w:sz="6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Model</w:t>
            </w:r>
          </w:p>
        </w:tc>
        <w:tc>
          <w:tcPr>
            <w:tcW w:type="dxa" w:w="2900"/>
            <w:tcBorders>
              <w:top w:val="single" w:color="000000" w:sz="12"/>
              <w:left w:val="none" w:color="auto" w:sz="0"/>
              <w:bottom w:val="single" w:color="000000" w:sz="6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Main structure</w:t>
            </w:r>
          </w:p>
        </w:tc>
        <w:tc>
          <w:tcPr>
            <w:tcW w:type="dxa" w:w="3200"/>
            <w:tcBorders>
              <w:top w:val="single" w:color="000000" w:sz="12"/>
              <w:left w:val="none" w:color="auto" w:sz="0"/>
              <w:bottom w:val="single" w:color="000000" w:sz="6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How BMI enters the model</w:t>
            </w:r>
          </w:p>
        </w:tc>
        <w:tc>
          <w:tcPr>
            <w:tcW w:type="dxa" w:w="3400"/>
            <w:tcBorders>
              <w:top w:val="single" w:color="000000" w:sz="12"/>
              <w:left w:val="none" w:color="auto" w:sz="0"/>
              <w:bottom w:val="single" w:color="000000" w:sz="6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Main strengths</w:t>
            </w:r>
          </w:p>
        </w:tc>
        <w:tc>
          <w:tcPr>
            <w:tcW w:type="dxa" w:w="3438"/>
            <w:tcBorders>
              <w:top w:val="single" w:color="000000" w:sz="12"/>
              <w:left w:val="none" w:color="auto" w:sz="0"/>
              <w:bottom w:val="single" w:color="000000" w:sz="6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Main limitations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60"/>
            </w:tcMar>
            <w:vAlign w:val="top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Reference LSM-clinical model</w:t>
            </w:r>
          </w:p>
        </w:tc>
        <w:tc>
          <w:tcPr>
            <w:tcW w:type="dxa" w:w="29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L1-penalized logistic regression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BMI as a main effect only</w:t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Simple, stable and interpretable; allows variable shrinkage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Assumes the LSM effect is identical across all BMI levels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60"/>
            </w:tcMar>
            <w:vAlign w:val="top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Linear LSM×BMI interaction model</w:t>
            </w:r>
          </w:p>
        </w:tc>
        <w:tc>
          <w:tcPr>
            <w:tcW w:type="dxa" w:w="29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Logistic regression + L×B term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BMI shifts the LSM slope linearly</w:t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Directly tests whether BMI modifies the LSM effect; simple formula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Captures only linear modification; may misfit at extreme BMI</w:t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60"/>
            </w:tcMar>
            <w:vAlign w:val="top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Standard spline varying-coefficient model</w:t>
            </w:r>
          </w:p>
        </w:tc>
        <w:tc>
          <w:tcPr>
            <w:tcW w:type="dxa" w:w="29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Logistic regression + BMI splines + L×BMI spline terms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The LSM coefficient varies non-linearly with BMI</w:t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Can represent curved, plateau or threshold relationships; more flexible than the linear interaction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More parameters; prone to overfitting; wider confidence intervals in small high-BMI samples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60"/>
            </w:tcMar>
            <w:vAlign w:val="top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BMI-balanced spline varying-coefficient model</w:t>
            </w:r>
          </w:p>
        </w:tc>
        <w:tc>
          <w:tcPr>
            <w:tcW w:type="dxa" w:w="29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Same structure as the standard spline model, but fitted with stratum weights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Allows non-linear BMI effects while increasing the training weight of under-represented BMI strata</w:t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Prevents domination by large BMI strata; may improve subgroup fairness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Weights increase estimation variance; may sacrifice overall calibration or AUC</w:t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auto" w:sz="0"/>
              <w:left w:val="none" w:color="auto" w:sz="0"/>
              <w:bottom w:val="single" w:color="000000" w:sz="12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60"/>
            </w:tcMar>
            <w:vAlign w:val="top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Monotonic gradient-boosting model</w:t>
            </w:r>
          </w:p>
        </w:tc>
        <w:tc>
          <w:tcPr>
            <w:tcW w:type="dxa" w:w="2900"/>
            <w:tcBorders>
              <w:top w:val="none" w:color="auto" w:sz="0"/>
              <w:left w:val="none" w:color="auto" w:sz="0"/>
              <w:bottom w:val="single" w:color="000000" w:sz="12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Tree ensemble</w:t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000000" w:sz="12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BMI and other variables enter through non-linear terms, interactions and thresholds; LSM is constrained to be monotonic increasing</w:t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single" w:color="000000" w:sz="12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Captures complex non-linearities and higher-order interactions; often high predictive performance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000000" w:sz="12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Less interpretable; high overfitting risk; no simple closed-form formula</w:t>
            </w:r>
          </w:p>
        </w:tc>
      </w:tr>
    </w:tbl>
    <w:p>
      <w:pPr>
        <w:spacing w:after="0" w:before="120" w:line="216" w:lineRule="auto"/>
        <w:jc w:val="left"/>
      </w:pPr>
      <w:r>
        <w:rPr>
          <w:rFonts w:ascii="Times New Roman" w:eastAsia="Times New Roman" w:hAnsi="Times New Roman"/>
          <w:b w:val="false"/>
          <w:bCs w:val="false"/>
          <w:sz w:val="16"/>
          <w:szCs w:val="16"/>
        </w:rPr>
        <w:t xml:space="preserve">Abbreviations: AUC, area under the receiver operating characteristic curve; BMI, body mass index; L×B, LSM × BMI product term; LSM, liver stiffness measurement.</w:t>
      </w:r>
    </w:p>
    <w:p>
      <w:pPr>
        <w:sectPr>
          <w:pgSz w:w="16838" w:h="11906" w:orient="landscape"/>
          <w:pgMar w:top="1134" w:right="850" w:bottom="1134" w:left="850" w:header="708" w:footer="708" w:gutter="0"/>
          <w:pgNumType/>
          <w:docGrid w:linePitch="360"/>
        </w:sectPr>
      </w:pPr>
    </w:p>
    <w:p>
      <w:pPr>
        <w:keepNext/>
        <w:spacing w:after="160" w:before="0"/>
        <w:jc w:val="left"/>
      </w:pPr>
      <w:r>
        <w:rPr>
          <w:rFonts w:ascii="Times New Roman" w:eastAsia="Times New Roman" w:hAnsi="Times New Roman"/>
          <w:b/>
          <w:bCs/>
          <w:sz w:val="20"/>
          <w:szCs w:val="20"/>
        </w:rPr>
        <w:t xml:space="preserve">Table S2. </w:t>
      </w:r>
      <w:r>
        <w:rPr>
          <w:rFonts w:ascii="Times New Roman" w:eastAsia="Times New Roman" w:hAnsi="Times New Roman"/>
          <w:b/>
          <w:bCs/>
          <w:sz w:val="20"/>
          <w:szCs w:val="20"/>
        </w:rPr>
        <w:t xml:space="preserve">Discrimination performance of each model by BMI group in the training and internal validation datasets</w:t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2300"/>
        <w:gridCol w:w="1650"/>
        <w:gridCol w:w="1250"/>
        <w:gridCol w:w="1110"/>
        <w:gridCol w:w="1980"/>
        <w:gridCol w:w="1916"/>
      </w:tblGrid>
      <w:tr>
        <w:trPr>
          <w:cantSplit/>
          <w:tblHeader/>
        </w:trPr>
        <w:tc>
          <w:tcPr>
            <w:tcW w:type="dxa" w:w="2300"/>
            <w:tcBorders>
              <w:top w:val="single" w:color="000000" w:sz="12"/>
              <w:left w:val="none" w:color="auto" w:sz="0"/>
              <w:bottom w:val="single" w:color="000000" w:sz="6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Model</w:t>
            </w:r>
          </w:p>
        </w:tc>
        <w:tc>
          <w:tcPr>
            <w:tcW w:type="dxa" w:w="1650"/>
            <w:tcBorders>
              <w:top w:val="single" w:color="000000" w:sz="12"/>
              <w:left w:val="none" w:color="auto" w:sz="0"/>
              <w:bottom w:val="single" w:color="000000" w:sz="6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Dataset</w:t>
            </w:r>
          </w:p>
        </w:tc>
        <w:tc>
          <w:tcPr>
            <w:tcW w:type="dxa" w:w="1250"/>
            <w:tcBorders>
              <w:top w:val="single" w:color="000000" w:sz="12"/>
              <w:left w:val="none" w:color="auto" w:sz="0"/>
              <w:bottom w:val="single" w:color="000000" w:sz="6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BMI group</w:t>
            </w:r>
          </w:p>
        </w:tc>
        <w:tc>
          <w:tcPr>
            <w:tcW w:type="dxa" w:w="1110"/>
            <w:tcBorders>
              <w:top w:val="single" w:color="000000" w:sz="12"/>
              <w:left w:val="none" w:color="auto" w:sz="0"/>
              <w:bottom w:val="single" w:color="000000" w:sz="6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 xml:space="preserve">n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/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 xml:space="preserve">F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≥2</w:t>
            </w:r>
          </w:p>
        </w:tc>
        <w:tc>
          <w:tcPr>
            <w:tcW w:type="dxa" w:w="1980"/>
            <w:tcBorders>
              <w:top w:val="single" w:color="000000" w:sz="12"/>
              <w:left w:val="none" w:color="auto" w:sz="0"/>
              <w:bottom w:val="single" w:color="000000" w:sz="6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AUC</w:t>
            </w:r>
          </w:p>
        </w:tc>
        <w:tc>
          <w:tcPr>
            <w:tcW w:type="dxa" w:w="1916"/>
            <w:tcBorders>
              <w:top w:val="single" w:color="000000" w:sz="12"/>
              <w:left w:val="none" w:color="auto" w:sz="0"/>
              <w:bottom w:val="single" w:color="000000" w:sz="6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ΔAUC</w:t>
            </w:r>
          </w:p>
        </w:tc>
      </w:tr>
      <w:tr>
        <w:trPr>
          <w:cantSplit/>
        </w:trPr>
        <w:tc>
          <w:tcPr>
            <w:tcW w:type="dxa" w:w="230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Reference LSM–clinical</w:t>
            </w:r>
          </w:p>
        </w:tc>
        <w:tc>
          <w:tcPr>
            <w:tcW w:type="dxa" w:w="16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Training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&lt;28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66/27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0.904 (0.827–0.965)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+0.000 (+0.000–+0.000)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Reference LSM–clinical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Training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28–31.999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123/60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0.909 (0.847–0.960)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+0.000 (+0.000–+0.000)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Reference LSM–clinical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Training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32.0–36.999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90/45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0.905 (0.837–0.955)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+0.000 (+0.000–+0.000)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Reference LSM–clinical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Training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37–41.999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39/19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0.932 (0.827–1.000)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+0.000 (+0.000–+0.000)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Reference LSM–clinical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Training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≥42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46/27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0.873 (0.744–0.984)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+0.000 (+0.000–+0.000)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Reference LSM–clinical</w:t>
            </w:r>
          </w:p>
        </w:tc>
        <w:tc>
          <w:tcPr>
            <w:tcW w:type="dxa" w:w="16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Internal validation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&lt;28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28/9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0.912 (0.781–1.000)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+0.000 (+0.000–+0.000)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Reference LSM–clinical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Internal validation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28–31.999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39/18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0.937 (0.837–0.994)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+0.000 (+0.000–+0.000)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Reference LSM–clinical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Internal validation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32.0–36.999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37/16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0.818 (0.667–0.938)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+0.000 (+0.000–+0.000)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Reference LSM–clinical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Internal validation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37–41.999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23/16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0.768 (0.511–0.974)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+0.000 (+0.000–+0.000)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Reference LSM–clinical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Internal validation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≥42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29/18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0.778 (0.580–0.947)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+0.000 (+0.000–+0.000)</w:t>
            </w:r>
          </w:p>
        </w:tc>
      </w:tr>
      <w:tr>
        <w:trPr>
          <w:cantSplit/>
        </w:trPr>
        <w:tc>
          <w:tcPr>
            <w:tcW w:type="dxa" w:w="230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Linear LSM×BMI</w:t>
            </w:r>
          </w:p>
        </w:tc>
        <w:tc>
          <w:tcPr>
            <w:tcW w:type="dxa" w:w="16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Training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&lt;28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66/27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0.904 (0.829–0.963)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+0.000 (−0.012–+0.011)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Linear LSM×BMI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Training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28–31.999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123/60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0.909 (0.850–0.957)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+0.000 (−0.006–+0.006)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Linear LSM×BMI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Training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32.0–36.999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90/45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0.905 (0.839–0.956)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+0.000 (−0.007–+0.006)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Linear LSM×BMI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Training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37–41.999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39/19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0.926 (0.813–1.000)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−0.005 (−0.024–+0.000)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Linear LSM×BMI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Training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≥42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46/27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0.877 (0.742–0.981)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+0.004 (−0.000–+0.018)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Linear LSM×BMI</w:t>
            </w:r>
          </w:p>
        </w:tc>
        <w:tc>
          <w:tcPr>
            <w:tcW w:type="dxa" w:w="16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Internal validation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&lt;28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28/9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0.918 (0.798–1.000)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+0.006 (+0.000–+0.034)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Linear LSM×BMI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Internal validation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28–31.999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39/18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0.942 (0.854–0.995)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+0.005 (+0.000–+0.022)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Linear LSM×BMI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Internal validation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32.0–36.999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37/16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0.824 (0.671–0.947)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+0.006 (−0.009–+0.027)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Linear LSM×BMI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Internal validation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37–41.999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23/16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0.768 (0.509–0.961)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+0.000 (−0.066–+0.066)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Linear LSM×BMI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Internal validation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≥42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29/18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0.778 (0.577–0.947)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+0.000 (−0.036–+0.033)</w:t>
            </w:r>
          </w:p>
        </w:tc>
      </w:tr>
      <w:tr>
        <w:trPr>
          <w:cantSplit/>
        </w:trPr>
        <w:tc>
          <w:tcPr>
            <w:tcW w:type="dxa" w:w="230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Spline varying-coefficient</w:t>
            </w:r>
          </w:p>
        </w:tc>
        <w:tc>
          <w:tcPr>
            <w:tcW w:type="dxa" w:w="16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Training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&lt;28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66/27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0.930 (0.865–0.979)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+0.026 (−0.027–+0.087)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Spline varying-coefficient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Training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28–31.999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123/60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0.913 (0.850–0.961)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+0.004 (−0.004–+0.014)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Spline varying-coefficient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Training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32.0–36.999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90/45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0.908 (0.846–0.956)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+0.003 (−0.005–+0.012)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Spline varying-coefficient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Training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37–41.999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39/19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0.929 (0.811–1.000)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−0.003 (−0.019–+0.011)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Spline varying-coefficient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Training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≥42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46/27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0.881 (0.735–0.989)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+0.008 (−0.001–+0.028)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Spline varying-coefficient</w:t>
            </w:r>
          </w:p>
        </w:tc>
        <w:tc>
          <w:tcPr>
            <w:tcW w:type="dxa" w:w="16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Internal validation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&lt;28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28/9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0.942 (0.836–1.000)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+0.029 (+0.000–+0.099)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Spline varying-coefficient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Internal validation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28–31.999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39/18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0.931 (0.851–0.989)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−0.005 (−0.032–+0.017)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Spline varying-coefficient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Internal validation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32.0–36.999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37/16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0.818 (0.670–0.946)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+0.000 (−0.029–+0.032)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Spline varying-coefficient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Internal validation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37–41.999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23/16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0.777 (0.520–0.969)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+0.009 (−0.046–+0.078)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Spline varying-coefficient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Internal validation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≥42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29/18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0.763 (0.565–0.939)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−0.015 (−0.078–+0.025)</w:t>
            </w:r>
          </w:p>
        </w:tc>
      </w:tr>
      <w:tr>
        <w:trPr>
          <w:cantSplit/>
        </w:trPr>
        <w:tc>
          <w:tcPr>
            <w:tcW w:type="dxa" w:w="230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BMI-balanced spline VC</w:t>
            </w:r>
          </w:p>
        </w:tc>
        <w:tc>
          <w:tcPr>
            <w:tcW w:type="dxa" w:w="16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Training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&lt;28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66/27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0.933 (0.873–0.977)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+0.028 (−0.021–+0.088)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BMI-balanced spline VC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Training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28–31.999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123/60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0.914 (0.853–0.963)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+0.005 (−0.003–+0.015)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BMI-balanced spline VC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Training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32.0–36.999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90/45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0.910 (0.846–0.958)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+0.005 (−0.002–+0.015)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BMI-balanced spline VC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Training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37–41.999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39/19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0.937 (0.822–1.000)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+0.005 (−0.011–+0.027)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BMI-balanced spline VC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Training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≥42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46/27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0.891 (0.763–0.983)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+0.018 (−0.004–+0.053)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BMI-balanced spline VC</w:t>
            </w:r>
          </w:p>
        </w:tc>
        <w:tc>
          <w:tcPr>
            <w:tcW w:type="dxa" w:w="16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Internal validation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&lt;28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28/9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0.942 (0.836–1.000)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+0.029 (+0.000–+0.102)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BMI-balanced spline VC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Internal validation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28–31.999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39/18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0.942 (0.867–0.995)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+0.005 (−0.017–+0.033)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BMI-balanced spline VC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Internal validation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32.0–36.999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37/16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0.812 (0.658–0.942)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−0.006 (−0.036–+0.021)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BMI-balanced spline VC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Internal validation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37–41.999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23/16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0.795 (0.530–1.000)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+0.027 (−0.043–+0.100)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BMI-balanced spline VC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Internal validation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≥42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29/18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0.742 (0.540–0.916)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−0.035 (−0.106–+0.014)</w:t>
            </w:r>
          </w:p>
        </w:tc>
      </w:tr>
      <w:tr>
        <w:trPr>
          <w:cantSplit/>
        </w:trPr>
        <w:tc>
          <w:tcPr>
            <w:tcW w:type="dxa" w:w="230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Monotonic gradient boosting</w:t>
            </w:r>
          </w:p>
        </w:tc>
        <w:tc>
          <w:tcPr>
            <w:tcW w:type="dxa" w:w="16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Training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&lt;28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66/27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0.998 (0.991–1.000)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+0.094 (+0.033–+0.170)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Monotonic gradient boosting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Training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28–31.999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123/60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0.990 (0.978–0.998)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+0.082 (+0.037–+0.135)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Monotonic gradient boosting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Training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32.0–36.999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90/45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0.979 (0.954–0.996)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+0.075 (+0.038–+0.123)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Monotonic gradient boosting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Training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37–41.999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39/19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1.000 (1.000–1.000)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+0.068 (+0.000–+0.177)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Monotonic gradient boosting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Training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≥42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46/27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0.998 (0.988–1.000)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+0.125 (+0.019–+0.267)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Monotonic gradient boosting</w:t>
            </w:r>
          </w:p>
        </w:tc>
        <w:tc>
          <w:tcPr>
            <w:tcW w:type="dxa" w:w="16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Internal validation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&lt;28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28/9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0.930 (0.818–1.000)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+0.018 (−0.053–+0.107)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Monotonic gradient boosting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Internal validation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28–31.999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39/18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0.952 (0.878–1.000)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+0.016 (−0.019–+0.057)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Monotonic gradient boosting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Internal validation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32.0–36.999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37/16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0.881 (0.749–0.975)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+0.062 (+0.003–+0.141)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Monotonic gradient boosting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Internal validation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37–41.999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23/16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0.696 (0.378–0.947)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−0.071 (−0.211–+0.079)</w:t>
            </w:r>
          </w:p>
        </w:tc>
      </w:tr>
      <w:tr>
        <w:trPr>
          <w:cantSplit/>
        </w:trPr>
        <w:tc>
          <w:tcPr>
            <w:tcW w:type="dxa" w:w="2300"/>
            <w:vMerge w:val="continue"/>
            <w:tcBorders>
              <w:top w:val="none" w:color="auto" w:sz="0"/>
              <w:left w:val="none" w:color="auto" w:sz="0"/>
              <w:bottom w:val="single" w:color="000000" w:sz="12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Monotonic gradient boosting</w:t>
            </w:r>
          </w:p>
        </w:tc>
        <w:tc>
          <w:tcPr>
            <w:tcW w:type="dxa" w:w="1650"/>
            <w:vMerge w:val="continue"/>
            <w:tcBorders>
              <w:top w:val="none" w:color="auto" w:sz="0"/>
              <w:left w:val="none" w:color="auto" w:sz="0"/>
              <w:bottom w:val="single" w:color="000000" w:sz="12"/>
              <w:right w:val="none" w:color="auto" w:sz="0"/>
            </w:tcBorders>
            <w:tcMar>
              <w:top w:type="dxa" w:w="40"/>
              <w:left w:type="dxa" w:w="60"/>
              <w:bottom w:type="dxa" w:w="4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Internal validation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000000" w:sz="12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≥42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000000" w:sz="12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29/18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000000" w:sz="12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0.795 (0.582–0.958)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000000" w:sz="12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+0.018 (−0.055–+0.092)</w:t>
            </w:r>
          </w:p>
        </w:tc>
      </w:tr>
    </w:tbl>
    <w:p>
      <w:pPr>
        <w:spacing w:after="0" w:before="120" w:line="216" w:lineRule="auto"/>
        <w:jc w:val="left"/>
      </w:pPr>
      <w:r>
        <w:rPr>
          <w:rFonts w:ascii="Times New Roman" w:eastAsia="Times New Roman" w:hAnsi="Times New Roman"/>
          <w:b w:val="false"/>
          <w:bCs w:val="false"/>
          <w:sz w:val="16"/>
          <w:szCs w:val="16"/>
        </w:rPr>
        <w:t xml:space="preserve">Data are AUC (95% confidence interval). ΔAUC denotes the difference in AUC between the indicated model and the reference LSM–clinical model. </w:t>
      </w:r>
      <w:r>
        <w:rPr>
          <w:rFonts w:ascii="Times New Roman" w:eastAsia="Times New Roman" w:hAnsi="Times New Roman"/>
          <w:b w:val="false"/>
          <w:bCs w:val="false"/>
          <w:i/>
          <w:iCs/>
          <w:sz w:val="16"/>
          <w:szCs w:val="16"/>
        </w:rPr>
        <w:t xml:space="preserve">n</w:t>
      </w:r>
      <w:r>
        <w:rPr>
          <w:rFonts w:ascii="Times New Roman" w:eastAsia="Times New Roman" w:hAnsi="Times New Roman"/>
          <w:b w:val="false"/>
          <w:bCs w:val="false"/>
          <w:sz w:val="16"/>
          <w:szCs w:val="16"/>
        </w:rPr>
        <w:t xml:space="preserve">/</w:t>
      </w:r>
      <w:r>
        <w:rPr>
          <w:rFonts w:ascii="Times New Roman" w:eastAsia="Times New Roman" w:hAnsi="Times New Roman"/>
          <w:b w:val="false"/>
          <w:bCs w:val="false"/>
          <w:i/>
          <w:iCs/>
          <w:sz w:val="16"/>
          <w:szCs w:val="16"/>
        </w:rPr>
        <w:t xml:space="preserve">F</w:t>
      </w:r>
      <w:r>
        <w:rPr>
          <w:rFonts w:ascii="Times New Roman" w:eastAsia="Times New Roman" w:hAnsi="Times New Roman"/>
          <w:b w:val="false"/>
          <w:bCs w:val="false"/>
          <w:sz w:val="16"/>
          <w:szCs w:val="16"/>
        </w:rPr>
        <w:t xml:space="preserve">≥2 denotes the number of patients/the number of patients with significant fibrosis (</w:t>
      </w:r>
      <w:r>
        <w:rPr>
          <w:rFonts w:ascii="Times New Roman" w:eastAsia="Times New Roman" w:hAnsi="Times New Roman"/>
          <w:b w:val="false"/>
          <w:bCs w:val="false"/>
          <w:i/>
          <w:iCs/>
          <w:sz w:val="16"/>
          <w:szCs w:val="16"/>
        </w:rPr>
        <w:t xml:space="preserve">F</w:t>
      </w:r>
      <w:r>
        <w:rPr>
          <w:rFonts w:ascii="Times New Roman" w:eastAsia="Times New Roman" w:hAnsi="Times New Roman"/>
          <w:b w:val="false"/>
          <w:bCs w:val="false"/>
          <w:sz w:val="16"/>
          <w:szCs w:val="16"/>
        </w:rPr>
        <w:t xml:space="preserve">≥2).</w:t>
      </w:r>
    </w:p>
    <w:p>
      <w:pPr>
        <w:spacing w:after="0" w:before="60" w:line="216" w:lineRule="auto"/>
        <w:jc w:val="left"/>
      </w:pPr>
      <w:r>
        <w:rPr>
          <w:rFonts w:ascii="Times New Roman" w:eastAsia="Times New Roman" w:hAnsi="Times New Roman"/>
          <w:b w:val="false"/>
          <w:bCs w:val="false"/>
          <w:sz w:val="16"/>
          <w:szCs w:val="16"/>
        </w:rPr>
        <w:t xml:space="preserve">Abbreviations: AUC, area under the receiver operating characteristic curve; BMI, body mass index; LSM, liver stiffness measurement; VC, varying-coefficient model.</w:t>
      </w:r>
    </w:p>
    <w:sectPr>
      <w:pgSz w:w="11906" w:h="16838" w:orient="portrait"/>
      <w:pgMar w:top="1134" w:right="850" w:bottom="1134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2026-09-26T15:42:56.570Z</dcterms:created>
  <dcterms:modified xsi:type="dcterms:W3CDTF">2026-09-26T15:42:56.570Z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