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80" w:lineRule="auto"/>
      </w:pPr>
      <w:r>
        <w:rPr>
          <w:b/>
        </w:rPr>
        <w:t>Table 1</w:t>
      </w:r>
    </w:p>
    <w:p>
      <w:pPr>
        <w:spacing w:line="480" w:lineRule="auto"/>
      </w:pPr>
      <w:r>
        <w:rPr>
          <w:i/>
        </w:rPr>
        <w:t>Patient Characteristics and Efficiency of Distalization by Group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515"/>
        <w:gridCol w:w="1644"/>
        <w:gridCol w:w="1644"/>
        <w:gridCol w:w="1077"/>
        <w:gridCol w:w="3402"/>
        <w:gridCol w:w="1134"/>
      </w:tblGrid>
      <w:tr>
        <w:trPr>
          <w:tblHeader w:val="true"/>
        </w:trPr>
        <w:tc>
          <w:tcPr>
            <w:tcW w:type="dxa" w:w="3515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left"/>
            </w:pPr>
            <w:r/>
            <w:r>
              <w:rPr>
                <w:sz w:val="20"/>
              </w:rPr>
              <w:t>Variable</w:t>
            </w:r>
          </w:p>
        </w:tc>
        <w:tc>
          <w:tcPr>
            <w:tcW w:type="dxa" w:w="1644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SDJ (</w:t>
            </w:r>
            <w:r>
              <w:rPr>
                <w:i/>
                <w:sz w:val="20"/>
              </w:rPr>
              <w:t>n</w:t>
            </w:r>
            <w:r>
              <w:rPr>
                <w:sz w:val="20"/>
              </w:rPr>
              <w:t xml:space="preserve"> = 17)</w:t>
            </w:r>
          </w:p>
        </w:tc>
        <w:tc>
          <w:tcPr>
            <w:tcW w:type="dxa" w:w="1644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DDJ (</w:t>
            </w:r>
            <w:r>
              <w:rPr>
                <w:i/>
                <w:sz w:val="20"/>
              </w:rPr>
              <w:t>n</w:t>
            </w:r>
            <w:r>
              <w:rPr>
                <w:sz w:val="20"/>
              </w:rPr>
              <w:t xml:space="preserve"> = 17)</w:t>
            </w:r>
          </w:p>
        </w:tc>
        <w:tc>
          <w:tcPr>
            <w:tcW w:type="dxa" w:w="1077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p</w:t>
            </w:r>
          </w:p>
        </w:tc>
        <w:tc>
          <w:tcPr>
            <w:tcW w:type="dxa" w:w="3402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Adjusted difference [95% CI]</w:t>
            </w:r>
            <w:r>
              <w:rPr>
                <w:sz w:val="20"/>
                <w:vertAlign w:val="superscript"/>
              </w:rPr>
              <w:t>b</w:t>
            </w:r>
          </w:p>
        </w:tc>
        <w:tc>
          <w:tcPr>
            <w:tcW w:type="dxa" w:w="1134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Effect size</w:t>
            </w:r>
          </w:p>
        </w:tc>
      </w:tr>
      <w:tr>
        <w:tc>
          <w:tcPr>
            <w:tcW w:type="dxa" w:w="1134"/>
            <w:gridSpan w:val="6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Patient characteristics</w:t>
            </w:r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Sex, </w:t>
            </w:r>
            <w:r>
              <w:rPr>
                <w:i/>
                <w:sz w:val="20"/>
              </w:rPr>
              <w:t>n</w:t>
            </w:r>
            <w:r>
              <w:rPr>
                <w:sz w:val="20"/>
              </w:rPr>
              <w:t xml:space="preserve"> (%)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&gt; .999</w:t>
            </w:r>
            <w:r>
              <w:rPr>
                <w:sz w:val="20"/>
                <w:vertAlign w:val="superscript"/>
              </w:rPr>
              <w:t>a</w:t>
            </w:r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Female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9 (53%)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10 (59%)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Male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8 (47%)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7 (41%)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Age at T1 (years)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13.95 ± 1.28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15.71 ± 1.43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 xml:space="preserve"> = 1.30</w:t>
            </w:r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Skeletal maturation (CVM), </w:t>
            </w:r>
            <w:r>
              <w:rPr>
                <w:i/>
                <w:sz w:val="20"/>
              </w:rPr>
              <w:t>n</w:t>
            </w:r>
            <w:r>
              <w:rPr>
                <w:sz w:val="20"/>
              </w:rPr>
              <w:t xml:space="preserve"> (%)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.096</w:t>
            </w:r>
            <w:r>
              <w:rPr>
                <w:sz w:val="20"/>
                <w:vertAlign w:val="superscript"/>
              </w:rPr>
              <w:t>a</w:t>
            </w:r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Prepubertal (CS1–CS2)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8 (47%)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 (12%)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Pubertal (CS3)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3 (18%)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5 (29%)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Postpubertal (CS4–CS5)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6 (35%)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10 (59%)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Third-molar development, </w:t>
            </w:r>
            <w:r>
              <w:rPr>
                <w:i/>
                <w:sz w:val="20"/>
              </w:rPr>
              <w:t>n</w:t>
            </w:r>
            <w:r>
              <w:rPr>
                <w:sz w:val="20"/>
              </w:rPr>
              <w:t xml:space="preserve"> (%)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.016*</w:t>
            </w:r>
            <w:r>
              <w:rPr>
                <w:sz w:val="20"/>
                <w:vertAlign w:val="superscript"/>
              </w:rPr>
              <w:t>a</w:t>
            </w:r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Germ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10 (59%)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 (12%)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Crown formation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5 (29%)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9 (53%)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Root formation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 (12%)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6 (35%)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Class II molar severity, </w:t>
            </w:r>
            <w:r>
              <w:rPr>
                <w:i/>
                <w:sz w:val="20"/>
              </w:rPr>
              <w:t>n</w:t>
            </w:r>
            <w:r>
              <w:rPr>
                <w:sz w:val="20"/>
              </w:rPr>
              <w:t xml:space="preserve"> (%)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.438</w:t>
            </w:r>
            <w:r>
              <w:rPr>
                <w:sz w:val="20"/>
                <w:vertAlign w:val="superscript"/>
              </w:rPr>
              <w:t>a</w:t>
            </w:r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Half cusp (≈2 mm)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14 (82%)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11 (65%)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 xml:space="preserve">   Full cusp (≈4 mm)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3 (18%)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6 (35%)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</w:p>
        </w:tc>
      </w:tr>
      <w:tr>
        <w:tc>
          <w:tcPr>
            <w:tcW w:type="dxa" w:w="1134"/>
            <w:gridSpan w:val="6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Efficiency of distalization</w:t>
            </w:r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Distalization period (months)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4.10 ± 1.16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3.22 ± 0.86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.018*</w:t>
            </w:r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 xml:space="preserve">−1.08 [−1.94, −0.21]; </w:t>
            </w:r>
            <w:r>
              <w:rPr>
                <w:i/>
                <w:sz w:val="20"/>
              </w:rPr>
              <w:t>p</w:t>
            </w:r>
            <w:r>
              <w:rPr>
                <w:sz w:val="20"/>
              </w:rPr>
              <w:t xml:space="preserve"> = .017; </w:t>
            </w:r>
            <w:r>
              <w:rPr>
                <w:i/>
                <w:sz w:val="20"/>
              </w:rPr>
              <w:t>q</w:t>
            </w:r>
            <w:r>
              <w:rPr>
                <w:sz w:val="20"/>
              </w:rPr>
              <w:t xml:space="preserve"> = .025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 xml:space="preserve"> = −0.86</w:t>
            </w:r>
          </w:p>
        </w:tc>
      </w:tr>
      <w:tr>
        <w:tc>
          <w:tcPr>
            <w:tcW w:type="dxa" w:w="3515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S⊥U6 distalization rate (mm/month)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0.88 ± 0.54</w:t>
            </w:r>
          </w:p>
        </w:tc>
        <w:tc>
          <w:tcPr>
            <w:tcW w:type="dxa" w:w="164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1.38 ± 0.61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.018*</w:t>
            </w:r>
          </w:p>
        </w:tc>
        <w:tc>
          <w:tcPr>
            <w:tcW w:type="dxa" w:w="340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 xml:space="preserve">0.53 [−0.01, 1.07]; </w:t>
            </w:r>
            <w:r>
              <w:rPr>
                <w:i/>
                <w:sz w:val="20"/>
              </w:rPr>
              <w:t>p</w:t>
            </w:r>
            <w:r>
              <w:rPr>
                <w:sz w:val="20"/>
              </w:rPr>
              <w:t xml:space="preserve"> = .055; </w:t>
            </w:r>
            <w:r>
              <w:rPr>
                <w:i/>
                <w:sz w:val="20"/>
              </w:rPr>
              <w:t>q</w:t>
            </w:r>
            <w:r>
              <w:rPr>
                <w:sz w:val="20"/>
              </w:rPr>
              <w:t xml:space="preserve"> = .055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 xml:space="preserve"> = 0.86</w:t>
            </w:r>
          </w:p>
        </w:tc>
      </w:tr>
      <w:tr>
        <w:tc>
          <w:tcPr>
            <w:tcW w:type="dxa" w:w="3515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S⊥U7 distalization rate (mm/month)</w:t>
            </w:r>
          </w:p>
        </w:tc>
        <w:tc>
          <w:tcPr>
            <w:tcW w:type="dxa" w:w="164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0.79 ± 0.50</w:t>
            </w:r>
          </w:p>
        </w:tc>
        <w:tc>
          <w:tcPr>
            <w:tcW w:type="dxa" w:w="164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1.73 ± 0.70</w:t>
            </w:r>
          </w:p>
        </w:tc>
        <w:tc>
          <w:tcPr>
            <w:tcW w:type="dxa" w:w="107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3402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 xml:space="preserve">0.98 [0.41, 1.55]; </w:t>
            </w:r>
            <w:r>
              <w:rPr>
                <w:i/>
                <w:sz w:val="20"/>
              </w:rPr>
              <w:t>p</w:t>
            </w:r>
            <w:r>
              <w:rPr>
                <w:sz w:val="20"/>
              </w:rPr>
              <w:t xml:space="preserve"> = .002; </w:t>
            </w:r>
            <w:r>
              <w:rPr>
                <w:i/>
                <w:sz w:val="20"/>
              </w:rPr>
              <w:t>q</w:t>
            </w:r>
            <w:r>
              <w:rPr>
                <w:sz w:val="20"/>
              </w:rPr>
              <w:t xml:space="preserve"> = .005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d</w:t>
            </w:r>
            <w:r>
              <w:rPr>
                <w:sz w:val="20"/>
              </w:rPr>
              <w:t xml:space="preserve"> = 1.56</w:t>
            </w:r>
          </w:p>
        </w:tc>
      </w:tr>
    </w:tbl>
    <w:p>
      <w:pPr>
        <w:spacing w:before="120"/>
      </w:pPr>
      <w:r>
        <w:rPr>
          <w:i/>
          <w:sz w:val="20"/>
        </w:rPr>
        <w:t xml:space="preserve">Note. </w:t>
      </w:r>
      <w:r>
        <w:rPr>
          <w:sz w:val="20"/>
        </w:rPr>
        <w:t xml:space="preserve">Values are </w:t>
      </w:r>
      <w:r>
        <w:rPr>
          <w:i/>
          <w:sz w:val="20"/>
        </w:rPr>
        <w:t>M</w:t>
      </w:r>
      <w:r>
        <w:rPr>
          <w:sz w:val="20"/>
        </w:rPr>
        <w:t xml:space="preserve"> ± </w:t>
      </w:r>
      <w:r>
        <w:rPr>
          <w:i/>
          <w:sz w:val="20"/>
        </w:rPr>
        <w:t>SD</w:t>
      </w:r>
      <w:r>
        <w:rPr>
          <w:sz w:val="20"/>
        </w:rPr>
        <w:t xml:space="preserve"> or </w:t>
      </w:r>
      <w:r>
        <w:rPr>
          <w:i/>
          <w:sz w:val="20"/>
        </w:rPr>
        <w:t>n</w:t>
      </w:r>
      <w:r>
        <w:rPr>
          <w:sz w:val="20"/>
        </w:rPr>
        <w:t xml:space="preserve"> (%). Continuous variables, Welch’s </w:t>
      </w:r>
      <w:r>
        <w:rPr>
          <w:i/>
          <w:sz w:val="20"/>
        </w:rPr>
        <w:t>t</w:t>
      </w:r>
      <w:r>
        <w:rPr>
          <w:sz w:val="20"/>
        </w:rPr>
        <w:t xml:space="preserve"> test; effect size, Cohen’s </w:t>
      </w:r>
      <w:r>
        <w:rPr>
          <w:i/>
          <w:sz w:val="20"/>
        </w:rPr>
        <w:t>d</w:t>
      </w:r>
      <w:r>
        <w:rPr>
          <w:sz w:val="20"/>
        </w:rPr>
        <w:t xml:space="preserve"> (DDJ − SDJ). Months = days / 30.44. Rates were calculated for each patient (molar distal displacement / distalization period). CVM = cervical vertebral maturation (Baccetti). </w:t>
      </w:r>
      <w:r>
        <w:rPr>
          <w:i/>
          <w:sz w:val="20"/>
        </w:rPr>
        <w:t>q</w:t>
      </w:r>
      <w:r>
        <w:rPr>
          <w:sz w:val="20"/>
        </w:rPr>
        <w:t xml:space="preserve"> = Benjamini–Hochberg adjusted value within the efficiency family.</w:t>
      </w:r>
    </w:p>
    <w:p>
      <w:pPr>
        <w:spacing w:before="0"/>
      </w:pPr>
      <w:r>
        <w:rPr>
          <w:sz w:val="20"/>
          <w:vertAlign w:val="superscript"/>
        </w:rPr>
        <w:t>a</w:t>
      </w:r>
      <w:r>
        <w:rPr>
          <w:sz w:val="20"/>
        </w:rPr>
        <w:t xml:space="preserve"> Fisher’s exact (Fisher–Freeman–Halton) test. </w:t>
      </w:r>
      <w:r>
        <w:rPr>
          <w:sz w:val="20"/>
          <w:vertAlign w:val="superscript"/>
        </w:rPr>
        <w:t>b</w:t>
      </w:r>
      <w:r>
        <w:rPr>
          <w:sz w:val="20"/>
        </w:rPr>
        <w:t xml:space="preserve"> DDJ − SDJ from a linear model adjusted for age, Class II severity (full vs half cusp), skeletal maturation (postpubertal vs not) and third-molar development (crown/root formation vs germ).</w:t>
      </w:r>
    </w:p>
    <w:p>
      <w:pPr>
        <w:spacing w:before="0"/>
      </w:pPr>
      <w:r>
        <w:rPr>
          <w:sz w:val="20"/>
        </w:rPr>
        <w:t xml:space="preserve">* </w:t>
      </w:r>
      <w:r>
        <w:rPr>
          <w:i/>
          <w:sz w:val="20"/>
        </w:rPr>
        <w:t>p</w:t>
      </w:r>
      <w:r>
        <w:rPr>
          <w:sz w:val="20"/>
        </w:rPr>
        <w:t xml:space="preserve"> &lt; .05. ** </w:t>
      </w:r>
      <w:r>
        <w:rPr>
          <w:i/>
          <w:sz w:val="20"/>
        </w:rPr>
        <w:t>p</w:t>
      </w:r>
      <w:r>
        <w:rPr>
          <w:sz w:val="20"/>
        </w:rPr>
        <w:t xml:space="preserve"> &lt; .01. *** </w:t>
      </w:r>
      <w:r>
        <w:rPr>
          <w:i/>
          <w:sz w:val="20"/>
        </w:rPr>
        <w:t>p</w:t>
      </w:r>
      <w:r>
        <w:rPr>
          <w:sz w:val="20"/>
        </w:rPr>
        <w:t xml:space="preserve"> &lt; .001.</w:t>
      </w:r>
    </w:p>
    <w:p>
      <w:r>
        <w:br w:type="page"/>
      </w:r>
    </w:p>
    <w:p>
      <w:pPr>
        <w:spacing w:line="480" w:lineRule="auto"/>
      </w:pPr>
      <w:r>
        <w:rPr>
          <w:b/>
        </w:rPr>
        <w:t>Table 2</w:t>
      </w:r>
    </w:p>
    <w:p>
      <w:pPr>
        <w:spacing w:line="480" w:lineRule="auto"/>
      </w:pPr>
      <w:r>
        <w:rPr>
          <w:i/>
        </w:rPr>
        <w:t>Within-Group Treatment Changes (T2 − T1)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2381"/>
        <w:gridCol w:w="1134"/>
        <w:gridCol w:w="907"/>
        <w:gridCol w:w="2381"/>
        <w:gridCol w:w="1134"/>
        <w:gridCol w:w="907"/>
      </w:tblGrid>
      <w:tr>
        <w:trPr>
          <w:tblHeader w:val="true"/>
        </w:trPr>
        <w:tc>
          <w:tcPr>
            <w:tcW w:type="dxa" w:w="2608"/>
            <w:vMerge w:val="restart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left"/>
            </w:pPr>
            <w:r/>
            <w:r>
              <w:rPr>
                <w:sz w:val="20"/>
              </w:rPr>
              <w:t>Parameter</w:t>
            </w:r>
          </w:p>
        </w:tc>
        <w:tc>
          <w:tcPr>
            <w:tcW w:type="dxa" w:w="907"/>
            <w:gridSpan w:val="3"/>
            <w:vAlign w:val="bottom"/>
            <w:tcBorders>
              <w:bottom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SDJ (</w:t>
            </w:r>
            <w:r>
              <w:rPr>
                <w:i/>
                <w:sz w:val="20"/>
              </w:rPr>
              <w:t>n</w:t>
            </w:r>
            <w:r>
              <w:rPr>
                <w:sz w:val="20"/>
              </w:rPr>
              <w:t xml:space="preserve"> = 17)</w:t>
            </w:r>
          </w:p>
        </w:tc>
        <w:tc>
          <w:tcPr>
            <w:tcW w:type="dxa" w:w="907"/>
            <w:gridSpan w:val="3"/>
            <w:vAlign w:val="bottom"/>
            <w:tcBorders>
              <w:bottom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DDJ (</w:t>
            </w:r>
            <w:r>
              <w:rPr>
                <w:i/>
                <w:sz w:val="20"/>
              </w:rPr>
              <w:t>n</w:t>
            </w:r>
            <w:r>
              <w:rPr>
                <w:sz w:val="20"/>
              </w:rPr>
              <w:t xml:space="preserve"> = 17)</w:t>
            </w:r>
          </w:p>
        </w:tc>
      </w:tr>
      <w:tr>
        <w:trPr>
          <w:tblHeader w:val="true"/>
        </w:trPr>
        <w:tc>
          <w:tcPr>
            <w:tcW w:type="dxa" w:w="1851"/>
            <w:vMerge/>
          </w:tcPr>
          <w:p/>
        </w:tc>
        <w:tc>
          <w:tcPr>
            <w:tcW w:type="dxa" w:w="238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Δ [95% CI]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p</w:t>
            </w:r>
          </w:p>
        </w:tc>
        <w:tc>
          <w:tcPr>
            <w:tcW w:type="dxa" w:w="90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d</w:t>
            </w:r>
            <w:r>
              <w:rPr>
                <w:sz w:val="20"/>
                <w:vertAlign w:val="subscript"/>
              </w:rPr>
              <w:t>z</w:t>
            </w:r>
          </w:p>
        </w:tc>
        <w:tc>
          <w:tcPr>
            <w:tcW w:type="dxa" w:w="238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Δ [95% CI]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p</w:t>
            </w:r>
          </w:p>
        </w:tc>
        <w:tc>
          <w:tcPr>
            <w:tcW w:type="dxa" w:w="90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d</w:t>
            </w:r>
            <w:r>
              <w:rPr>
                <w:sz w:val="20"/>
                <w:vertAlign w:val="subscript"/>
              </w:rPr>
              <w:t>z</w:t>
            </w:r>
          </w:p>
        </w:tc>
      </w:tr>
      <w:tr>
        <w:tc>
          <w:tcPr>
            <w:tcW w:type="dxa" w:w="907"/>
            <w:gridSpan w:val="7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Molar distalization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S⊥U7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−3.01 [−3.94, −2.08]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−1.67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−5.35 [−6.41, −4.29]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−2.59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S⊥U6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−3.33 [−4.30, −2.36]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−1.76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−4.24 [−5.14, −3.34]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−2.43</w:t>
            </w:r>
          </w:p>
        </w:tc>
      </w:tr>
      <w:tr>
        <w:tc>
          <w:tcPr>
            <w:tcW w:type="dxa" w:w="907"/>
            <w:gridSpan w:val="7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Molar angulation and vertical position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U6-PP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−1.69 [−5.45, 2.07]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.355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−0.23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−1.07 [−4.50, 2.35]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.516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−0.16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U7-PP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−4.80 [−8.10, −1.49]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.007**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−0.75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−3.50 [−6.32, −0.68]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.018*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−0.64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U6-PP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−0.28 [−1.20, 0.65]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.533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−0.15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1.00 [0.18, 1.83]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.020*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0.63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U7-PP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0.13 [−0.95, 1.20]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.806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0.06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1.21 [0.05, 2.37]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.041*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0.54</w:t>
            </w:r>
          </w:p>
        </w:tc>
      </w:tr>
      <w:tr>
        <w:tc>
          <w:tcPr>
            <w:tcW w:type="dxa" w:w="907"/>
            <w:gridSpan w:val="7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Premolar anchorage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S⊥U4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1.15 [−0.02, 2.32]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.053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0.51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−0.21 [−0.99, 0.56]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.569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−0.14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U4-PP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1.97 [0.39, 3.55]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.018*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0.64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2.93 [1.85, 4.00]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1.40</w:t>
            </w:r>
          </w:p>
        </w:tc>
      </w:tr>
      <w:tr>
        <w:tc>
          <w:tcPr>
            <w:tcW w:type="dxa" w:w="907"/>
            <w:gridSpan w:val="7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Incisors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U1-SN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1.78 [0.54, 3.03]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.008**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0.74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1.93 [−0.38, 4.24]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.096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0.43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U1-NA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1.21 [−0.36, 2.77]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.122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0.40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2.39 [0.11, 4.68]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.041*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0.54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U1-PP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2.51 [1.33, 3.70]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1.09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2.18 [0.00, 4.36]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.050*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0.51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S⊥U1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1.52 [0.11, 2.93]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.036*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0.56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0.87 [−0.52, 2.27]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.204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0.32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L1-NB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1.34 [−1.34, 4.03]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.305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0.26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2.51 [0.67, 4.35]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.011*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0.70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Interincisal angle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−5.24 [−6.89, −3.59]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−1.64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−6.49 [−8.81, −4.17]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−1.44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Overjet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−0.26 [−1.22, 0.70]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.576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−0.14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1.01 [0.18, 1.84]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.020*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0.62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Overbite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−1.56 [−2.33, −0.78]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−1.03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−3.09 [−4.14, −2.04]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&lt; .001***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−1.51</w:t>
            </w:r>
          </w:p>
        </w:tc>
      </w:tr>
      <w:tr>
        <w:tc>
          <w:tcPr>
            <w:tcW w:type="dxa" w:w="907"/>
            <w:gridSpan w:val="7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Skeletal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SNA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0.06 [−0.75, 0.88]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.868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0.04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−0.02 [−0.73, 0.68]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.944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−0.02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SNB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−0.16 [−0.87, 0.54]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.627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−0.12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−0.75 [−1.88, 0.39]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.182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−0.34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ANB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0.25 [−0.58, 1.08]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.537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0.15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0.74 [−0.17, 1.64]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.106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0.42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SN-GoGn (°)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0.08 [−1.35, 1.51]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.911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0.03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2.41 [0.73, 4.10]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.008**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0.74</w:t>
            </w:r>
          </w:p>
        </w:tc>
      </w:tr>
      <w:tr>
        <w:tc>
          <w:tcPr>
            <w:tcW w:type="dxa" w:w="907"/>
            <w:gridSpan w:val="7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Soft tissue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UL-E (mm)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0.17 [−0.77, 1.11]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.700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0.10</w:t>
            </w:r>
          </w:p>
        </w:tc>
        <w:tc>
          <w:tcPr>
            <w:tcW w:type="dxa" w:w="238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−0.39 [−1.09, 0.30]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.247</w:t>
            </w:r>
          </w:p>
        </w:tc>
        <w:tc>
          <w:tcPr>
            <w:tcW w:type="dxa" w:w="90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−0.29</w:t>
            </w:r>
          </w:p>
        </w:tc>
      </w:tr>
      <w:tr>
        <w:tc>
          <w:tcPr>
            <w:tcW w:type="dxa" w:w="2608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LL-E (mm)</w:t>
            </w:r>
          </w:p>
        </w:tc>
        <w:tc>
          <w:tcPr>
            <w:tcW w:type="dxa" w:w="238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−0.24 [−0.87, 0.40]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.442</w:t>
            </w:r>
          </w:p>
        </w:tc>
        <w:tc>
          <w:tcPr>
            <w:tcW w:type="dxa" w:w="90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−0.19</w:t>
            </w:r>
          </w:p>
        </w:tc>
        <w:tc>
          <w:tcPr>
            <w:tcW w:type="dxa" w:w="238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−1.05 [−1.90, −0.20]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.019*</w:t>
            </w:r>
          </w:p>
        </w:tc>
        <w:tc>
          <w:tcPr>
            <w:tcW w:type="dxa" w:w="90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−0.63</w:t>
            </w:r>
          </w:p>
        </w:tc>
      </w:tr>
    </w:tbl>
    <w:p>
      <w:pPr>
        <w:spacing w:before="120"/>
      </w:pPr>
      <w:r>
        <w:rPr>
          <w:i/>
          <w:sz w:val="20"/>
        </w:rPr>
        <w:t xml:space="preserve">Note. </w:t>
      </w:r>
      <w:r>
        <w:rPr>
          <w:sz w:val="20"/>
        </w:rPr>
        <w:t xml:space="preserve">Δ = mean change (T2 − T1) with 95% CI; paired-samples </w:t>
      </w:r>
      <w:r>
        <w:rPr>
          <w:i/>
          <w:sz w:val="20"/>
        </w:rPr>
        <w:t>t</w:t>
      </w:r>
      <w:r>
        <w:rPr>
          <w:sz w:val="20"/>
        </w:rPr>
        <w:t xml:space="preserve"> test; </w:t>
      </w:r>
      <w:r>
        <w:rPr>
          <w:i/>
          <w:sz w:val="20"/>
        </w:rPr>
        <w:t>d</w:t>
      </w:r>
      <w:r>
        <w:rPr>
          <w:sz w:val="20"/>
          <w:vertAlign w:val="subscript"/>
        </w:rPr>
        <w:t>z</w:t>
      </w:r>
      <w:r>
        <w:rPr>
          <w:sz w:val="20"/>
        </w:rPr>
        <w:t xml:space="preserve"> = within-subject Cohen’s </w:t>
      </w:r>
      <w:r>
        <w:rPr>
          <w:i/>
          <w:sz w:val="20"/>
        </w:rPr>
        <w:t>d</w:t>
      </w:r>
      <w:r>
        <w:rPr>
          <w:sz w:val="20"/>
        </w:rPr>
        <w:t>. For S⊥ measurements, negative values indicate distal movement.</w:t>
      </w:r>
    </w:p>
    <w:p>
      <w:pPr>
        <w:spacing w:before="0"/>
      </w:pPr>
      <w:r>
        <w:rPr>
          <w:sz w:val="20"/>
        </w:rPr>
        <w:t xml:space="preserve">* </w:t>
      </w:r>
      <w:r>
        <w:rPr>
          <w:i/>
          <w:sz w:val="20"/>
        </w:rPr>
        <w:t>p</w:t>
      </w:r>
      <w:r>
        <w:rPr>
          <w:sz w:val="20"/>
        </w:rPr>
        <w:t xml:space="preserve"> &lt; .05. ** </w:t>
      </w:r>
      <w:r>
        <w:rPr>
          <w:i/>
          <w:sz w:val="20"/>
        </w:rPr>
        <w:t>p</w:t>
      </w:r>
      <w:r>
        <w:rPr>
          <w:sz w:val="20"/>
        </w:rPr>
        <w:t xml:space="preserve"> &lt; .01. *** </w:t>
      </w:r>
      <w:r>
        <w:rPr>
          <w:i/>
          <w:sz w:val="20"/>
        </w:rPr>
        <w:t>p</w:t>
      </w:r>
      <w:r>
        <w:rPr>
          <w:sz w:val="20"/>
        </w:rPr>
        <w:t xml:space="preserve"> &lt; .001.</w:t>
      </w:r>
    </w:p>
    <w:p>
      <w:r>
        <w:br w:type="page"/>
      </w:r>
    </w:p>
    <w:p>
      <w:pPr>
        <w:spacing w:line="480" w:lineRule="auto"/>
      </w:pPr>
      <w:r>
        <w:rPr>
          <w:b/>
        </w:rPr>
        <w:t>Table 3</w:t>
      </w:r>
    </w:p>
    <w:p>
      <w:pPr>
        <w:spacing w:line="480" w:lineRule="auto"/>
      </w:pPr>
      <w:r>
        <w:rPr>
          <w:i/>
        </w:rPr>
        <w:t>Between-Group Comparison of Treatment Changes: ANCOVA Adjusted for Baseline Value and 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1275"/>
        <w:gridCol w:w="1275"/>
        <w:gridCol w:w="1842"/>
        <w:gridCol w:w="822"/>
        <w:gridCol w:w="1842"/>
        <w:gridCol w:w="793"/>
        <w:gridCol w:w="850"/>
        <w:gridCol w:w="567"/>
        <w:gridCol w:w="793"/>
        <w:gridCol w:w="850"/>
      </w:tblGrid>
      <w:tr>
        <w:trPr>
          <w:tblHeader w:val="true"/>
        </w:trPr>
        <w:tc>
          <w:tcPr>
            <w:tcW w:type="dxa" w:w="1984"/>
            <w:vMerge w:val="restart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left"/>
            </w:pPr>
            <w:r/>
            <w:r>
              <w:rPr>
                <w:sz w:val="18"/>
              </w:rPr>
              <w:t>Parameter</w:t>
            </w:r>
          </w:p>
        </w:tc>
        <w:tc>
          <w:tcPr>
            <w:tcW w:type="dxa" w:w="1276"/>
            <w:gridSpan w:val="2"/>
            <w:vAlign w:val="bottom"/>
            <w:tcBorders>
              <w:bottom w:val="single" w:sz="6" w:space="0" w:color="000000"/>
              <w:top w:val="single" w:sz="6" w:space="0" w:color="000000"/>
              <w:top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Change</w:t>
            </w:r>
          </w:p>
        </w:tc>
        <w:tc>
          <w:tcPr>
            <w:tcW w:type="dxa" w:w="822"/>
            <w:gridSpan w:val="2"/>
            <w:vAlign w:val="bottom"/>
            <w:tcBorders>
              <w:bottom w:val="single" w:sz="6" w:space="0" w:color="000000"/>
              <w:top w:val="single" w:sz="6" w:space="0" w:color="000000"/>
              <w:top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Unadjusted</w:t>
            </w:r>
          </w:p>
        </w:tc>
        <w:tc>
          <w:tcPr>
            <w:tcW w:type="dxa" w:w="794"/>
            <w:gridSpan w:val="5"/>
            <w:vAlign w:val="bottom"/>
            <w:tcBorders>
              <w:bottom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ANCOVA (baseline + age)</w:t>
            </w:r>
          </w:p>
        </w:tc>
        <w:tc>
          <w:tcPr>
            <w:tcW w:type="dxa" w:w="850"/>
            <w:vMerge w:val="restart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18"/>
              </w:rPr>
              <w:t>p</w:t>
            </w:r>
            <w:r>
              <w:rPr>
                <w:sz w:val="18"/>
              </w:rPr>
              <w:t xml:space="preserve"> (GEE)</w:t>
            </w:r>
          </w:p>
        </w:tc>
      </w:tr>
      <w:tr>
        <w:trPr>
          <w:tblHeader w:val="true"/>
        </w:trPr>
        <w:tc>
          <w:tcPr>
            <w:tcW w:type="dxa" w:w="1178"/>
            <w:vMerge/>
          </w:tcPr>
          <w:p/>
        </w:tc>
        <w:tc>
          <w:tcPr>
            <w:tcW w:type="dxa" w:w="1276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SDJ Δ</w:t>
            </w:r>
          </w:p>
        </w:tc>
        <w:tc>
          <w:tcPr>
            <w:tcW w:type="dxa" w:w="1276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DDJ Δ</w:t>
            </w:r>
          </w:p>
        </w:tc>
        <w:tc>
          <w:tcPr>
            <w:tcW w:type="dxa" w:w="1843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Δ diff. [95% CI]</w:t>
            </w:r>
          </w:p>
        </w:tc>
        <w:tc>
          <w:tcPr>
            <w:tcW w:type="dxa" w:w="822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18"/>
              </w:rPr>
              <w:t>d</w:t>
            </w:r>
          </w:p>
        </w:tc>
        <w:tc>
          <w:tcPr>
            <w:tcW w:type="dxa" w:w="1843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Δ diff. [95% CI]</w:t>
            </w:r>
          </w:p>
        </w:tc>
        <w:tc>
          <w:tcPr>
            <w:tcW w:type="dxa" w:w="79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18"/>
              </w:rPr>
              <w:t>F</w:t>
            </w:r>
            <w:r>
              <w:rPr>
                <w:sz w:val="18"/>
              </w:rPr>
              <w:t>(1, 30)</w:t>
            </w:r>
          </w:p>
        </w:tc>
        <w:tc>
          <w:tcPr>
            <w:tcW w:type="dxa" w:w="85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18"/>
              </w:rPr>
              <w:t>p</w:t>
            </w:r>
          </w:p>
        </w:tc>
        <w:tc>
          <w:tcPr>
            <w:tcW w:type="dxa" w:w="56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η</w:t>
            </w:r>
            <w:r>
              <w:rPr>
                <w:sz w:val="18"/>
                <w:vertAlign w:val="superscript"/>
              </w:rPr>
              <w:t>2</w:t>
            </w:r>
            <w:r>
              <w:rPr>
                <w:sz w:val="18"/>
                <w:vertAlign w:val="subscript"/>
              </w:rPr>
              <w:t>p</w:t>
            </w:r>
          </w:p>
        </w:tc>
        <w:tc>
          <w:tcPr>
            <w:tcW w:type="dxa" w:w="79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18"/>
              </w:rPr>
              <w:t>q</w:t>
            </w:r>
            <w:r>
              <w:rPr>
                <w:sz w:val="18"/>
              </w:rPr>
              <w:t xml:space="preserve"> (FDR)</w:t>
            </w:r>
          </w:p>
        </w:tc>
        <w:tc>
          <w:tcPr>
            <w:tcW w:type="dxa" w:w="1178"/>
            <w:vMerge/>
          </w:tcPr>
          <w:p/>
        </w:tc>
      </w:tr>
      <w:tr>
        <w:tc>
          <w:tcPr>
            <w:tcW w:type="dxa" w:w="850"/>
            <w:gridSpan w:val="11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Molar distalization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S⊥U7 (mm)</w:t>
            </w:r>
            <w:r>
              <w:rPr>
                <w:sz w:val="18"/>
                <w:vertAlign w:val="superscript"/>
              </w:rPr>
              <w:t>a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−3.01 ± 1.81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−5.35 ± 2.06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−2.34 [−3.69, −0.98]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−1.21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−1.58 [−2.84, −0.32]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6.52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.016*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.18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—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.091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S⊥U6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−3.33 ± 1.89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−4.24 ± 1.74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−0.91 [−2.18, 0.36]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−0.50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−0.45 [−1.72, 0.83]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0.51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.479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.635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.758</w:t>
            </w:r>
          </w:p>
        </w:tc>
      </w:tr>
      <w:tr>
        <w:tc>
          <w:tcPr>
            <w:tcW w:type="dxa" w:w="850"/>
            <w:gridSpan w:val="11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Molar angulation and vertical position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U6-PP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−1.69 ± 7.32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−1.07 ± 6.67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0.62 [−4.28, 5.51]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0.09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2.21 [−3.22, 7.63]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0.69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.413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.635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.425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U7-PP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−4.80 ± 6.43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−3.50 ± 5.49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1.29 [−2.89, 5.47]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0.22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2.72 [−2.38, 7.82]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1.19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.284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.543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.347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U6-PP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−0.28 ± 1.80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1.00 ± 1.60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1.28 [0.09, 2.47]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0.75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1.02 [−0.32, 2.35]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2.42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.130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.07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.341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.048*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U7-PP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0.13 ± 2.09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1.21 ± 2.25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1.09 [−0.43, 2.60]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0.50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1.77 [0.10, 3.44]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4.71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.038*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.14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.249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.047*</w:t>
            </w:r>
          </w:p>
        </w:tc>
      </w:tr>
      <w:tr>
        <w:tc>
          <w:tcPr>
            <w:tcW w:type="dxa" w:w="850"/>
            <w:gridSpan w:val="11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Premolar anchorage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S⊥U4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1.15 ± 2.27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−0.21 ± 1.51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−1.36 [−2.72, −0.01]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−0.71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−1.39 [−3.01, 0.23]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3.07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.090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.305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.026*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U4-PP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1.97 ± 3.07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2.93 ± 2.09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0.96 [−0.89, 2.80]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0.36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0.62 [−1.51, 2.76]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0.36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.555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.686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.709</w:t>
            </w:r>
          </w:p>
        </w:tc>
      </w:tr>
      <w:tr>
        <w:tc>
          <w:tcPr>
            <w:tcW w:type="dxa" w:w="850"/>
            <w:gridSpan w:val="11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Incisors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U1-SN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1.78 ± 2.42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1.93 ± 4.50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0.15 [−2.41, 2.70]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0.04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0.46 [−2.72, 3.63]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0.09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.770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.770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.830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U1-NA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1.21 ± 3.04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2.39 ± 4.44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1.19 [−1.48, 3.86]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0.31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0.64 [−2.70, 3.99]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0.15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.697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.770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.855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U1-PP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2.51 ± 2.30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2.18 ± 4.24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−0.33 [−2.74, 2.08]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−0.10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−0.52 [−3.62, 2.58]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0.12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.735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.770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.467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S⊥U1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1.52 ± 2.74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0.87 ± 2.72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−0.65 [−2.55, 1.26]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−0.24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−0.34 [−2.63, 1.95]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0.09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.763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.770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.757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L1-NB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1.34 ± 5.22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2.51 ± 3.58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1.17 [−1.97, 4.31]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0.26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1.33 [−2.08, 4.73]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0.63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.432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.635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.628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Interincisal angle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−5.24 ± 3.20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−6.49 ± 4.51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−1.25 [−3.99, 1.50]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−0.32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−1.71 [−4.87, 1.44]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1.23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.276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.543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.531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Overjet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−0.26 ± 1.87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1.01 ± 1.62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1.27 [0.05, 2.49]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0.73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1.29 [−0.11, 2.68]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3.56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.069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.11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.289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.034*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Overbite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−1.56 ± 1.51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−3.09 ± 2.04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−1.53 [−2.79, −0.27]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−0.85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−2.37 [−3.73, −1.01]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12.69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.001**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.30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.026†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.027*</w:t>
            </w:r>
          </w:p>
        </w:tc>
      </w:tr>
      <w:tr>
        <w:tc>
          <w:tcPr>
            <w:tcW w:type="dxa" w:w="850"/>
            <w:gridSpan w:val="11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Skeletal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SNA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0.06 ± 1.58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−0.02 ± 1.37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−0.09 [−1.12, 0.94]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−0.06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0.44 [−0.83, 1.70]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0.50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.484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.635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.559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SNB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−0.16 ± 1.37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−0.75 ± 2.21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−0.58 [−1.88, 0.71]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−0.32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−0.68 [−2.26, 0.90]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0.78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.385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.635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.346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ANB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0.25 ± 1.61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0.74 ± 1.77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0.49 [−0.70, 1.67]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0.29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1.17 [−0.24, 2.58]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2.85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.102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.305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.063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SN-GoGn (°)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0.08 ± 2.78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2.41 ± 3.28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2.34 [0.21, 4.46]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0.77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2.47 [0.03, 4.90]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4.28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.047*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.12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.249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.097</w:t>
            </w:r>
          </w:p>
        </w:tc>
      </w:tr>
      <w:tr>
        <w:tc>
          <w:tcPr>
            <w:tcW w:type="dxa" w:w="850"/>
            <w:gridSpan w:val="11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Soft tissue</w:t>
            </w:r>
          </w:p>
        </w:tc>
      </w:tr>
      <w:tr>
        <w:tc>
          <w:tcPr>
            <w:tcW w:type="dxa" w:w="1984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UL-E (mm)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0.17 ± 1.83</w:t>
            </w:r>
          </w:p>
        </w:tc>
        <w:tc>
          <w:tcPr>
            <w:tcW w:type="dxa" w:w="1276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−0.39 ± 1.35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−0.57 [−1.70, 0.56]</w:t>
            </w:r>
          </w:p>
        </w:tc>
        <w:tc>
          <w:tcPr>
            <w:tcW w:type="dxa" w:w="822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−0.35</w:t>
            </w:r>
          </w:p>
        </w:tc>
        <w:tc>
          <w:tcPr>
            <w:tcW w:type="dxa" w:w="1843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−0.86 [−2.23, 0.51]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1.63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.211</w:t>
            </w:r>
          </w:p>
        </w:tc>
        <w:tc>
          <w:tcPr>
            <w:tcW w:type="dxa" w:w="56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.05</w:t>
            </w:r>
          </w:p>
        </w:tc>
        <w:tc>
          <w:tcPr>
            <w:tcW w:type="dxa" w:w="7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.493</w:t>
            </w:r>
          </w:p>
        </w:tc>
        <w:tc>
          <w:tcPr>
            <w:tcW w:type="dxa" w:w="85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.118</w:t>
            </w:r>
          </w:p>
        </w:tc>
      </w:tr>
      <w:tr>
        <w:tc>
          <w:tcPr>
            <w:tcW w:type="dxa" w:w="198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LL-E (mm)</w:t>
            </w:r>
          </w:p>
        </w:tc>
        <w:tc>
          <w:tcPr>
            <w:tcW w:type="dxa" w:w="1276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−0.24 ± 1.23</w:t>
            </w:r>
          </w:p>
        </w:tc>
        <w:tc>
          <w:tcPr>
            <w:tcW w:type="dxa" w:w="1276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−1.05 ± 1.65</w:t>
            </w:r>
          </w:p>
        </w:tc>
        <w:tc>
          <w:tcPr>
            <w:tcW w:type="dxa" w:w="1843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−0.81 [−1.83, 0.21]</w:t>
            </w:r>
          </w:p>
        </w:tc>
        <w:tc>
          <w:tcPr>
            <w:tcW w:type="dxa" w:w="822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−0.56</w:t>
            </w:r>
          </w:p>
        </w:tc>
        <w:tc>
          <w:tcPr>
            <w:tcW w:type="dxa" w:w="1843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−1.38 [−2.54, −0.23]</w:t>
            </w:r>
          </w:p>
        </w:tc>
        <w:tc>
          <w:tcPr>
            <w:tcW w:type="dxa" w:w="79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5.98</w:t>
            </w:r>
          </w:p>
        </w:tc>
        <w:tc>
          <w:tcPr>
            <w:tcW w:type="dxa" w:w="85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.021*</w:t>
            </w:r>
          </w:p>
        </w:tc>
        <w:tc>
          <w:tcPr>
            <w:tcW w:type="dxa" w:w="56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.17</w:t>
            </w:r>
          </w:p>
        </w:tc>
        <w:tc>
          <w:tcPr>
            <w:tcW w:type="dxa" w:w="79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.216</w:t>
            </w:r>
          </w:p>
        </w:tc>
        <w:tc>
          <w:tcPr>
            <w:tcW w:type="dxa" w:w="85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.045*</w:t>
            </w:r>
          </w:p>
        </w:tc>
      </w:tr>
    </w:tbl>
    <w:p>
      <w:pPr>
        <w:spacing w:before="120"/>
      </w:pPr>
      <w:r>
        <w:rPr>
          <w:i/>
          <w:sz w:val="18"/>
        </w:rPr>
        <w:t xml:space="preserve">Note. </w:t>
      </w:r>
      <w:r>
        <w:rPr>
          <w:sz w:val="18"/>
        </w:rPr>
        <w:t xml:space="preserve">Δ = mean change (T2 − T1) ± </w:t>
      </w:r>
      <w:r>
        <w:rPr>
          <w:i/>
          <w:sz w:val="18"/>
        </w:rPr>
        <w:t>SD</w:t>
      </w:r>
      <w:r>
        <w:rPr>
          <w:sz w:val="18"/>
        </w:rPr>
        <w:t xml:space="preserve">. Δ diff. = DDJ − SDJ. Unadjusted difference and Cohen’s </w:t>
      </w:r>
      <w:r>
        <w:rPr>
          <w:i/>
          <w:sz w:val="18"/>
        </w:rPr>
        <w:t>d</w:t>
      </w:r>
      <w:r>
        <w:rPr>
          <w:sz w:val="18"/>
        </w:rPr>
        <w:t xml:space="preserve"> from Welch’s </w:t>
      </w:r>
      <w:r>
        <w:rPr>
          <w:i/>
          <w:sz w:val="18"/>
        </w:rPr>
        <w:t>t</w:t>
      </w:r>
      <w:r>
        <w:rPr>
          <w:sz w:val="18"/>
        </w:rPr>
        <w:t xml:space="preserve"> test on change scores. Adjusted difference, </w:t>
      </w:r>
      <w:r>
        <w:rPr>
          <w:i/>
          <w:sz w:val="18"/>
        </w:rPr>
        <w:t>F</w:t>
      </w:r>
      <w:r>
        <w:rPr>
          <w:sz w:val="18"/>
        </w:rPr>
        <w:t xml:space="preserve">, </w:t>
      </w:r>
      <w:r>
        <w:rPr>
          <w:i/>
          <w:sz w:val="18"/>
        </w:rPr>
        <w:t>p</w:t>
      </w:r>
      <w:r>
        <w:rPr>
          <w:sz w:val="18"/>
        </w:rPr>
        <w:t xml:space="preserve"> and partial η² (η²</w:t>
      </w:r>
      <w:r>
        <w:rPr>
          <w:sz w:val="18"/>
          <w:vertAlign w:val="subscript"/>
        </w:rPr>
        <w:t>p</w:t>
      </w:r>
      <w:r>
        <w:rPr>
          <w:sz w:val="18"/>
        </w:rPr>
        <w:t xml:space="preserve">) from ANCOVA of the change score with appliance group as factor and the baseline (T1) value and age as covariates (primary analysis). </w:t>
      </w:r>
      <w:r>
        <w:rPr>
          <w:i/>
          <w:sz w:val="18"/>
        </w:rPr>
        <w:t>q</w:t>
      </w:r>
      <w:r>
        <w:rPr>
          <w:sz w:val="18"/>
        </w:rPr>
        <w:t xml:space="preserve"> (FDR) = Benjamini–Hochberg adjusted value across the 21 secondary parameters.</w:t>
      </w:r>
    </w:p>
    <w:p>
      <w:pPr>
        <w:spacing w:before="0"/>
      </w:pPr>
      <w:r>
        <w:rPr>
          <w:i/>
          <w:sz w:val="18"/>
        </w:rPr>
        <w:t>p</w:t>
      </w:r>
      <w:r>
        <w:rPr>
          <w:sz w:val="18"/>
        </w:rPr>
        <w:t xml:space="preserve"> (GEE) = group × time interaction from generalized estimating equations adjusted for age (age and age × time; exchangeable working correlation, robust variance), sensitivity analysis.</w:t>
      </w:r>
    </w:p>
    <w:p>
      <w:pPr>
        <w:spacing w:before="0"/>
      </w:pPr>
      <w:r>
        <w:rPr>
          <w:sz w:val="18"/>
          <w:vertAlign w:val="superscript"/>
        </w:rPr>
        <w:t>a</w:t>
      </w:r>
      <w:r>
        <w:rPr>
          <w:sz w:val="18"/>
        </w:rPr>
        <w:t xml:space="preserve"> Primary outcome, tested at α = .05. † </w:t>
      </w:r>
      <w:r>
        <w:rPr>
          <w:i/>
          <w:sz w:val="18"/>
        </w:rPr>
        <w:t>q</w:t>
      </w:r>
      <w:r>
        <w:rPr>
          <w:sz w:val="18"/>
        </w:rPr>
        <w:t xml:space="preserve"> &lt; .05.</w:t>
      </w:r>
    </w:p>
    <w:p>
      <w:pPr>
        <w:spacing w:before="0"/>
      </w:pPr>
      <w:r>
        <w:rPr>
          <w:sz w:val="18"/>
        </w:rPr>
        <w:t xml:space="preserve">* </w:t>
      </w:r>
      <w:r>
        <w:rPr>
          <w:i/>
          <w:sz w:val="18"/>
        </w:rPr>
        <w:t>p</w:t>
      </w:r>
      <w:r>
        <w:rPr>
          <w:sz w:val="18"/>
        </w:rPr>
        <w:t xml:space="preserve"> &lt; .05. ** </w:t>
      </w:r>
      <w:r>
        <w:rPr>
          <w:i/>
          <w:sz w:val="18"/>
        </w:rPr>
        <w:t>p</w:t>
      </w:r>
      <w:r>
        <w:rPr>
          <w:sz w:val="18"/>
        </w:rPr>
        <w:t xml:space="preserve"> &lt; .01. *** </w:t>
      </w:r>
      <w:r>
        <w:rPr>
          <w:i/>
          <w:sz w:val="18"/>
        </w:rPr>
        <w:t>p</w:t>
      </w:r>
      <w:r>
        <w:rPr>
          <w:sz w:val="18"/>
        </w:rPr>
        <w:t xml:space="preserve"> &lt; .001.</w:t>
      </w:r>
    </w:p>
    <w:p>
      <w:r>
        <w:br w:type="page"/>
      </w:r>
    </w:p>
    <w:p>
      <w:pPr>
        <w:spacing w:line="480" w:lineRule="auto"/>
      </w:pPr>
      <w:r>
        <w:rPr>
          <w:b/>
        </w:rPr>
        <w:t>Table S1</w:t>
      </w:r>
    </w:p>
    <w:p>
      <w:pPr>
        <w:spacing w:line="480" w:lineRule="auto"/>
      </w:pPr>
      <w:r>
        <w:rPr>
          <w:i/>
        </w:rPr>
        <w:t>Intra-Observer Reliability (Intraclass Correlation and Method Error)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118"/>
        <w:gridCol w:w="1701"/>
        <w:gridCol w:w="1701"/>
        <w:gridCol w:w="1701"/>
      </w:tblGrid>
      <w:tr>
        <w:trPr>
          <w:tblHeader w:val="true"/>
        </w:trPr>
        <w:tc>
          <w:tcPr>
            <w:tcW w:type="dxa" w:w="3118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left"/>
            </w:pPr>
            <w:r/>
            <w:r>
              <w:rPr>
                <w:sz w:val="20"/>
              </w:rPr>
              <w:t>Parameter</w:t>
            </w:r>
          </w:p>
        </w:tc>
        <w:tc>
          <w:tcPr>
            <w:tcW w:type="dxa" w:w="1701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ICC(2,1)</w:t>
            </w:r>
          </w:p>
        </w:tc>
        <w:tc>
          <w:tcPr>
            <w:tcW w:type="dxa" w:w="1701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Dahlberg error</w:t>
            </w:r>
          </w:p>
        </w:tc>
        <w:tc>
          <w:tcPr>
            <w:tcW w:type="dxa" w:w="1701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Mean difference</w:t>
            </w:r>
          </w:p>
        </w:tc>
      </w:tr>
      <w:tr>
        <w:tc>
          <w:tcPr>
            <w:tcW w:type="dxa" w:w="1701"/>
            <w:gridSpan w:val="4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Molar distalization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S⊥U7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.973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0.63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0.43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S⊥U6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.989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0.46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0.27</w:t>
            </w:r>
          </w:p>
        </w:tc>
      </w:tr>
      <w:tr>
        <w:tc>
          <w:tcPr>
            <w:tcW w:type="dxa" w:w="1701"/>
            <w:gridSpan w:val="4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Molar angulation and vertical position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U6-PP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.997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0.46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0.24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U7-PP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.997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0.42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0.07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U6-PP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.988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0.22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−0.20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U7-PP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.996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0.22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−0.07</w:t>
            </w:r>
          </w:p>
        </w:tc>
      </w:tr>
      <w:tr>
        <w:tc>
          <w:tcPr>
            <w:tcW w:type="dxa" w:w="1701"/>
            <w:gridSpan w:val="4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Premolar anchorage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S⊥U4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.994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0.33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0.16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U4-PP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.996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0.18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−0.03</w:t>
            </w:r>
          </w:p>
        </w:tc>
      </w:tr>
      <w:tr>
        <w:tc>
          <w:tcPr>
            <w:tcW w:type="dxa" w:w="1701"/>
            <w:gridSpan w:val="4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Incisors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U1-SN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.997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0.30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0.10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U1-NA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.997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0.25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0.14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U1-PP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.994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0.38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0.12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S⊥U1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.996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0.28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0.06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L1-NB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.998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0.32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−0.16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Interincisal angle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.997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0.56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0.14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Overjet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.947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0.32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−0.09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Overbite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.995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0.10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−0.02</w:t>
            </w:r>
          </w:p>
        </w:tc>
      </w:tr>
      <w:tr>
        <w:tc>
          <w:tcPr>
            <w:tcW w:type="dxa" w:w="1701"/>
            <w:gridSpan w:val="4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Skeletal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SNA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.989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0.32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−0.01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SNB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.993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0.26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−0.02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ANB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.903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0.44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0.01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SN-GoGn (°)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.995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0.28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0.10</w:t>
            </w:r>
          </w:p>
        </w:tc>
      </w:tr>
      <w:tr>
        <w:tc>
          <w:tcPr>
            <w:tcW w:type="dxa" w:w="1701"/>
            <w:gridSpan w:val="4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Soft tissue</w:t>
            </w:r>
          </w:p>
        </w:tc>
      </w:tr>
      <w:tr>
        <w:tc>
          <w:tcPr>
            <w:tcW w:type="dxa" w:w="311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UL-E (mm)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.981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0.26</w:t>
            </w:r>
          </w:p>
        </w:tc>
        <w:tc>
          <w:tcPr>
            <w:tcW w:type="dxa" w:w="170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0.16</w:t>
            </w:r>
          </w:p>
        </w:tc>
      </w:tr>
      <w:tr>
        <w:tc>
          <w:tcPr>
            <w:tcW w:type="dxa" w:w="3118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LL-E (mm)</w:t>
            </w:r>
          </w:p>
        </w:tc>
        <w:tc>
          <w:tcPr>
            <w:tcW w:type="dxa" w:w="170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.992</w:t>
            </w:r>
          </w:p>
        </w:tc>
        <w:tc>
          <w:tcPr>
            <w:tcW w:type="dxa" w:w="170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0.22</w:t>
            </w:r>
          </w:p>
        </w:tc>
        <w:tc>
          <w:tcPr>
            <w:tcW w:type="dxa" w:w="170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0.06</w:t>
            </w:r>
          </w:p>
        </w:tc>
      </w:tr>
    </w:tbl>
    <w:p>
      <w:pPr>
        <w:spacing w:before="120"/>
      </w:pPr>
      <w:r>
        <w:rPr>
          <w:i/>
          <w:sz w:val="20"/>
        </w:rPr>
        <w:t xml:space="preserve">Note. </w:t>
      </w:r>
      <w:r>
        <w:rPr>
          <w:sz w:val="20"/>
        </w:rPr>
        <w:t>Based on 14 pretreatment cephalograms (7 per group) retraced after 14 days by the same examiner. ICC(2,1) = two-way random-effects, absolute-agreement, single-measure intraclass correlation coefficient; range .90–1.00. Dahlberg error = √(Σ</w:t>
      </w:r>
      <w:r>
        <w:rPr>
          <w:i/>
          <w:sz w:val="20"/>
        </w:rPr>
        <w:t>d</w:t>
      </w:r>
      <w:r>
        <w:rPr>
          <w:sz w:val="20"/>
        </w:rPr>
        <w:t>²/2</w:t>
      </w:r>
      <w:r>
        <w:rPr>
          <w:i/>
          <w:sz w:val="20"/>
        </w:rPr>
        <w:t>n</w:t>
      </w:r>
      <w:r>
        <w:rPr>
          <w:sz w:val="20"/>
        </w:rPr>
        <w:t>), range 0.10–0.63 mm or degrees. Mean difference = first minus second measurement.</w:t>
      </w:r>
    </w:p>
    <w:p>
      <w:r>
        <w:br w:type="page"/>
      </w:r>
    </w:p>
    <w:p>
      <w:pPr>
        <w:spacing w:line="480" w:lineRule="auto"/>
      </w:pPr>
      <w:r>
        <w:rPr>
          <w:b/>
        </w:rPr>
        <w:t>Table S2</w:t>
      </w:r>
    </w:p>
    <w:p>
      <w:pPr>
        <w:spacing w:line="480" w:lineRule="auto"/>
      </w:pPr>
      <w:r>
        <w:rPr>
          <w:i/>
        </w:rPr>
        <w:t>Baseline (Pretreatment) Comparability Between Groups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608"/>
        <w:gridCol w:w="1871"/>
        <w:gridCol w:w="1871"/>
        <w:gridCol w:w="2494"/>
        <w:gridCol w:w="1134"/>
        <w:gridCol w:w="1360"/>
      </w:tblGrid>
      <w:tr>
        <w:trPr>
          <w:tblHeader w:val="true"/>
        </w:trPr>
        <w:tc>
          <w:tcPr>
            <w:tcW w:type="dxa" w:w="2608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left"/>
            </w:pPr>
            <w:r/>
            <w:r>
              <w:rPr>
                <w:sz w:val="20"/>
              </w:rPr>
              <w:t>Parameter</w:t>
            </w:r>
          </w:p>
        </w:tc>
        <w:tc>
          <w:tcPr>
            <w:tcW w:type="dxa" w:w="1871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SDJ</w:t>
            </w:r>
          </w:p>
        </w:tc>
        <w:tc>
          <w:tcPr>
            <w:tcW w:type="dxa" w:w="1871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DDJ</w:t>
            </w:r>
          </w:p>
        </w:tc>
        <w:tc>
          <w:tcPr>
            <w:tcW w:type="dxa" w:w="2494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Mean diff. [95% CI]</w:t>
            </w:r>
          </w:p>
        </w:tc>
        <w:tc>
          <w:tcPr>
            <w:tcW w:type="dxa" w:w="1134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p</w:t>
            </w:r>
          </w:p>
        </w:tc>
        <w:tc>
          <w:tcPr>
            <w:tcW w:type="dxa" w:w="1361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20"/>
              </w:rPr>
              <w:t>p</w:t>
            </w:r>
            <w:r>
              <w:rPr>
                <w:sz w:val="20"/>
              </w:rPr>
              <w:t xml:space="preserve"> (age-adj.)</w:t>
            </w:r>
          </w:p>
        </w:tc>
      </w:tr>
      <w:tr>
        <w:tc>
          <w:tcPr>
            <w:tcW w:type="dxa" w:w="1361"/>
            <w:gridSpan w:val="6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Molar distalization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S⊥U7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16.45 ± 3.72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17.01 ± 5.41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0.56 [−2.70, 3.82]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.726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.915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S⊥U6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26.39 ± 4.34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26.50 ± 6.11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0.11 [−3.61, 3.83]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.952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.697</w:t>
            </w:r>
          </w:p>
        </w:tc>
      </w:tr>
      <w:tr>
        <w:tc>
          <w:tcPr>
            <w:tcW w:type="dxa" w:w="1361"/>
            <w:gridSpan w:val="6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Molar angulation and vertical position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U6-PP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76.32 ± 7.28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78.72 ± 6.83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2.41 [−2.53, 7.34]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.328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.586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U7-PP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71.84 ± 5.96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72.45 ± 6.25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0.62 [−3.65, 4.88]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.771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.490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U6-PP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19.80 ± 2.44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19.58 ± 3.07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−0.21 [−2.16, 1.73]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.823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.150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U7-PP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15.39 ± 3.26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16.56 ± 3.12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1.17 [−1.06, 3.40]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.293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.538</w:t>
            </w:r>
          </w:p>
        </w:tc>
      </w:tr>
      <w:tr>
        <w:tc>
          <w:tcPr>
            <w:tcW w:type="dxa" w:w="1361"/>
            <w:gridSpan w:val="6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Premolar anchorage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S⊥U4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39.91 ± 4.02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38.27 ± 6.30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−1.64 [−5.35, 2.08]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.374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.429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U4-PP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21.72 ± 2.35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21.99 ± 2.97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0.27 [−1.61, 2.14]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.774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.534</w:t>
            </w:r>
          </w:p>
        </w:tc>
      </w:tr>
      <w:tr>
        <w:tc>
          <w:tcPr>
            <w:tcW w:type="dxa" w:w="1361"/>
            <w:gridSpan w:val="6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Incisors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U1-SN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103.55 ± 8.47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107.02 ± 6.59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3.47 [−1.84, 8.79]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.192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.067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U1-NA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20.48 ± 8.31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22.45 ± 5.21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1.97 [−2.91, 6.85]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.414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.147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U1-PP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112.20 ± 6.85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114.55 ± 5.65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2.34 [−2.05, 6.74]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.285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.051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S⊥U1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53.64 ± 5.70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53.58 ± 8.40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−0.06 [−5.10, 4.99]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.982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.969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L1-NB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26.39 ± 5.73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26.76 ± 7.22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0.36 [−4.20, 4.93]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.871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.674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Interincisal angle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127.86 ± 11.39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125.36 ± 11.31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−2.49 [−10.42, 5.44]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.526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.312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Overjet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4.74 ± 1.37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4.68 ± 1.21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−0.06 [−0.96, 0.84]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.895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.643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Overbite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3.39 ± 1.02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2.18 ± 1.25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−1.21 [−2.01, −0.41]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.004**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.044*</w:t>
            </w:r>
          </w:p>
        </w:tc>
      </w:tr>
      <w:tr>
        <w:tc>
          <w:tcPr>
            <w:tcW w:type="dxa" w:w="1361"/>
            <w:gridSpan w:val="6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Skeletal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SNA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83.22 ± 3.28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84.35 ± 3.77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1.13 [−1.34, 3.60]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.359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.305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SNB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77.95 ± 3.26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78.16 ± 3.75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0.21 [−2.25, 2.67]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.862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.493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ANB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5.29 ± 1.18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6.17 ± 1.51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0.88 [−0.07, 1.83]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.069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.398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SN-GoGn (°)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27.18 ± 4.98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28.82 ± 4.91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1.64 [−1.81, 5.09]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.340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.333</w:t>
            </w:r>
          </w:p>
        </w:tc>
      </w:tr>
      <w:tr>
        <w:tc>
          <w:tcPr>
            <w:tcW w:type="dxa" w:w="1361"/>
            <w:gridSpan w:val="6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20"/>
              </w:rPr>
              <w:t>Soft tissue</w:t>
            </w:r>
          </w:p>
        </w:tc>
      </w:tr>
      <w:tr>
        <w:tc>
          <w:tcPr>
            <w:tcW w:type="dxa" w:w="2608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UL-E (mm)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4.00 ± 2.35</w:t>
            </w:r>
          </w:p>
        </w:tc>
        <w:tc>
          <w:tcPr>
            <w:tcW w:type="dxa" w:w="187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4.38 ± 2.02</w:t>
            </w:r>
          </w:p>
        </w:tc>
        <w:tc>
          <w:tcPr>
            <w:tcW w:type="dxa" w:w="249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0.39 [−1.14, 1.92]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.610</w:t>
            </w:r>
          </w:p>
        </w:tc>
        <w:tc>
          <w:tcPr>
            <w:tcW w:type="dxa" w:w="136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.658</w:t>
            </w:r>
          </w:p>
        </w:tc>
      </w:tr>
      <w:tr>
        <w:tc>
          <w:tcPr>
            <w:tcW w:type="dxa" w:w="2608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20"/>
              </w:rPr>
              <w:t>LL-E (mm)</w:t>
            </w:r>
          </w:p>
        </w:tc>
        <w:tc>
          <w:tcPr>
            <w:tcW w:type="dxa" w:w="187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2.54 ± 2.14</w:t>
            </w:r>
          </w:p>
        </w:tc>
        <w:tc>
          <w:tcPr>
            <w:tcW w:type="dxa" w:w="187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2.38 ± 2.96</w:t>
            </w:r>
          </w:p>
        </w:tc>
        <w:tc>
          <w:tcPr>
            <w:tcW w:type="dxa" w:w="249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−0.16 [−1.97, 1.65]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.858</w:t>
            </w:r>
          </w:p>
        </w:tc>
        <w:tc>
          <w:tcPr>
            <w:tcW w:type="dxa" w:w="136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20"/>
              </w:rPr>
              <w:t>.353</w:t>
            </w:r>
          </w:p>
        </w:tc>
      </w:tr>
    </w:tbl>
    <w:p>
      <w:pPr>
        <w:spacing w:before="120"/>
      </w:pPr>
      <w:r>
        <w:rPr>
          <w:i/>
          <w:sz w:val="20"/>
        </w:rPr>
        <w:t xml:space="preserve">Note. </w:t>
      </w:r>
      <w:r>
        <w:rPr>
          <w:sz w:val="20"/>
        </w:rPr>
        <w:t xml:space="preserve">Values are </w:t>
      </w:r>
      <w:r>
        <w:rPr>
          <w:i/>
          <w:sz w:val="20"/>
        </w:rPr>
        <w:t>M</w:t>
      </w:r>
      <w:r>
        <w:rPr>
          <w:sz w:val="20"/>
        </w:rPr>
        <w:t xml:space="preserve"> ± </w:t>
      </w:r>
      <w:r>
        <w:rPr>
          <w:i/>
          <w:sz w:val="20"/>
        </w:rPr>
        <w:t>SD</w:t>
      </w:r>
      <w:r>
        <w:rPr>
          <w:sz w:val="20"/>
        </w:rPr>
        <w:t xml:space="preserve">; mean difference = DDJ − SDJ. Unadjusted </w:t>
      </w:r>
      <w:r>
        <w:rPr>
          <w:i/>
          <w:sz w:val="20"/>
        </w:rPr>
        <w:t>p</w:t>
      </w:r>
      <w:r>
        <w:rPr>
          <w:sz w:val="20"/>
        </w:rPr>
        <w:t xml:space="preserve">, Welch’s </w:t>
      </w:r>
      <w:r>
        <w:rPr>
          <w:i/>
          <w:sz w:val="20"/>
        </w:rPr>
        <w:t>t</w:t>
      </w:r>
      <w:r>
        <w:rPr>
          <w:sz w:val="20"/>
        </w:rPr>
        <w:t xml:space="preserve"> test; age-adjusted </w:t>
      </w:r>
      <w:r>
        <w:rPr>
          <w:i/>
          <w:sz w:val="20"/>
        </w:rPr>
        <w:t>p</w:t>
      </w:r>
      <w:r>
        <w:rPr>
          <w:sz w:val="20"/>
        </w:rPr>
        <w:t>, linear model with group and age.</w:t>
      </w:r>
    </w:p>
    <w:p>
      <w:pPr>
        <w:spacing w:before="0"/>
      </w:pPr>
      <w:r>
        <w:rPr>
          <w:sz w:val="20"/>
        </w:rPr>
        <w:t xml:space="preserve">* </w:t>
      </w:r>
      <w:r>
        <w:rPr>
          <w:i/>
          <w:sz w:val="20"/>
        </w:rPr>
        <w:t>p</w:t>
      </w:r>
      <w:r>
        <w:rPr>
          <w:sz w:val="20"/>
        </w:rPr>
        <w:t xml:space="preserve"> &lt; .05. ** </w:t>
      </w:r>
      <w:r>
        <w:rPr>
          <w:i/>
          <w:sz w:val="20"/>
        </w:rPr>
        <w:t>p</w:t>
      </w:r>
      <w:r>
        <w:rPr>
          <w:sz w:val="20"/>
        </w:rPr>
        <w:t xml:space="preserve"> &lt; .01. *** </w:t>
      </w:r>
      <w:r>
        <w:rPr>
          <w:i/>
          <w:sz w:val="20"/>
        </w:rPr>
        <w:t>p</w:t>
      </w:r>
      <w:r>
        <w:rPr>
          <w:sz w:val="20"/>
        </w:rPr>
        <w:t xml:space="preserve"> &lt; .001.</w:t>
      </w:r>
    </w:p>
    <w:p>
      <w:r>
        <w:br w:type="page"/>
      </w:r>
    </w:p>
    <w:p>
      <w:pPr>
        <w:spacing w:line="480" w:lineRule="auto"/>
      </w:pPr>
      <w:r>
        <w:rPr>
          <w:b/>
        </w:rPr>
        <w:t>Table S3</w:t>
      </w:r>
    </w:p>
    <w:p>
      <w:pPr>
        <w:spacing w:line="480" w:lineRule="auto"/>
      </w:pPr>
      <w:r>
        <w:rPr>
          <w:i/>
        </w:rPr>
        <w:t>Sensitivity Analyses for the Between-Group Difference in Change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211"/>
        <w:gridCol w:w="1020"/>
        <w:gridCol w:w="1077"/>
        <w:gridCol w:w="1020"/>
        <w:gridCol w:w="1134"/>
        <w:gridCol w:w="1134"/>
        <w:gridCol w:w="1020"/>
        <w:gridCol w:w="2041"/>
        <w:gridCol w:w="1020"/>
        <w:gridCol w:w="1134"/>
      </w:tblGrid>
      <w:tr>
        <w:trPr>
          <w:tblHeader w:val="true"/>
        </w:trPr>
        <w:tc>
          <w:tcPr>
            <w:tcW w:type="dxa" w:w="2211"/>
            <w:vMerge w:val="restart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left"/>
            </w:pPr>
            <w:r/>
            <w:r>
              <w:rPr>
                <w:sz w:val="18"/>
              </w:rPr>
              <w:t>Parameter</w:t>
            </w:r>
          </w:p>
        </w:tc>
        <w:tc>
          <w:tcPr>
            <w:tcW w:type="dxa" w:w="1020"/>
            <w:gridSpan w:val="6"/>
            <w:vAlign w:val="bottom"/>
            <w:tcBorders>
              <w:bottom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  <w:top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ANCOVA, p</w:t>
            </w:r>
          </w:p>
        </w:tc>
        <w:tc>
          <w:tcPr>
            <w:tcW w:type="dxa" w:w="1020"/>
            <w:gridSpan w:val="2"/>
            <w:vAlign w:val="bottom"/>
            <w:tcBorders>
              <w:bottom w:val="single" w:sz="6" w:space="0" w:color="000000"/>
              <w:top w:val="single" w:sz="6" w:space="0" w:color="000000"/>
              <w:top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GEE (age-adjusted)</w:t>
            </w:r>
          </w:p>
        </w:tc>
        <w:tc>
          <w:tcPr>
            <w:tcW w:type="dxa" w:w="1134"/>
            <w:vMerge w:val="restart"/>
            <w:vAlign w:val="bottom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 xml:space="preserve">Mann–Whitney </w:t>
            </w:r>
            <w:r>
              <w:rPr>
                <w:i/>
                <w:sz w:val="18"/>
              </w:rPr>
              <w:t>p</w:t>
            </w:r>
          </w:p>
        </w:tc>
      </w:tr>
      <w:tr>
        <w:trPr>
          <w:tblHeader w:val="true"/>
        </w:trPr>
        <w:tc>
          <w:tcPr>
            <w:tcW w:type="dxa" w:w="1296"/>
            <w:vMerge/>
          </w:tcPr>
          <w:p/>
        </w:tc>
        <w:tc>
          <w:tcPr>
            <w:tcW w:type="dxa" w:w="102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Primary</w:t>
            </w:r>
          </w:p>
        </w:tc>
        <w:tc>
          <w:tcPr>
            <w:tcW w:type="dxa" w:w="107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+ Severity</w:t>
            </w:r>
          </w:p>
        </w:tc>
        <w:tc>
          <w:tcPr>
            <w:tcW w:type="dxa" w:w="102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+ CVM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+ Third molar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+ All three</w:t>
            </w:r>
          </w:p>
        </w:tc>
        <w:tc>
          <w:tcPr>
            <w:tcW w:type="dxa" w:w="102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+ Period</w:t>
            </w:r>
          </w:p>
        </w:tc>
        <w:tc>
          <w:tcPr>
            <w:tcW w:type="dxa" w:w="204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Δ diff. [95% CI]</w:t>
            </w:r>
          </w:p>
        </w:tc>
        <w:tc>
          <w:tcPr>
            <w:tcW w:type="dxa" w:w="102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i/>
                <w:sz w:val="18"/>
              </w:rPr>
              <w:t>p</w:t>
            </w:r>
          </w:p>
        </w:tc>
        <w:tc>
          <w:tcPr>
            <w:tcW w:type="dxa" w:w="1296"/>
            <w:vMerge/>
          </w:tcPr>
          <w:p/>
        </w:tc>
      </w:tr>
      <w:tr>
        <w:tc>
          <w:tcPr>
            <w:tcW w:type="dxa" w:w="1134"/>
            <w:gridSpan w:val="10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Molar distalization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S⊥U7 (mm)</w:t>
            </w:r>
            <w:r>
              <w:rPr>
                <w:sz w:val="18"/>
                <w:vertAlign w:val="superscript"/>
              </w:rPr>
              <w:t>a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.016*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.013*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.019*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.023*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.027*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.038*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−1.53 [−3.30, 0.24]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.091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.001**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S⊥U6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.479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.465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.472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.518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.547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.661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−0.28 [−2.09, 1.52]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.758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.030*</w:t>
            </w:r>
          </w:p>
        </w:tc>
      </w:tr>
      <w:tr>
        <w:tc>
          <w:tcPr>
            <w:tcW w:type="dxa" w:w="1134"/>
            <w:gridSpan w:val="10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Molar angulation and vertical position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U6-PP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.413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.422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.442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.165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.183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.843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1.47 [−2.13, 5.06]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.425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.890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U7-PP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.284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.266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.244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.421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.284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.283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2.38 [−2.59, 7.36]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.347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.959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U6-PP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.130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.114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.165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.114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.105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.307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1.52 [0.01, 3.04]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.048*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.036*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U7-PP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.038*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.028*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.046*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.051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.041*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.190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1.98 [0.03, 3.93]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.047*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.168</w:t>
            </w:r>
          </w:p>
        </w:tc>
      </w:tr>
      <w:tr>
        <w:tc>
          <w:tcPr>
            <w:tcW w:type="dxa" w:w="1134"/>
            <w:gridSpan w:val="10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Premolar anchorage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S⊥U4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.090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.088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.115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.125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.175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.021*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−1.20 [−2.26, −0.15]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.026*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.042*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U4-PP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.555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.551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.619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.600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.711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&gt; .999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0.39 [−1.67, 2.46]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.709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.158</w:t>
            </w:r>
          </w:p>
        </w:tc>
      </w:tr>
      <w:tr>
        <w:tc>
          <w:tcPr>
            <w:tcW w:type="dxa" w:w="1134"/>
            <w:gridSpan w:val="10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Incisors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U1-SN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.770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.759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.801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.640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.673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.495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−0.35 [−3.50, 2.81]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.830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.973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U1-NA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.697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.688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.736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.649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.707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.549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0.30 [−2.94, 3.54]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.855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.513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U1-PP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.735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.745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.724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.924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.926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.758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−0.93 [−3.44, 1.58]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.467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.757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S⊥U1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.763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.778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.572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.916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.723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.749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−0.35 [−2.58, 1.88]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.757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.757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L1-NB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.432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.441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.423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.668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.676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.498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0.94 [−2.85, 4.72]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.628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.399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Interincisal angle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.276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.290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.322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.223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.310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.254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−1.02 [−4.19, 2.16]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.531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.449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Overjet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.069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.073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.094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.016*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.029*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.143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1.43 [0.11, 2.74]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.034*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.039*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Overbite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.001**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.001**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.002**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&lt; .001***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.002**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.007**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−1.45 [−2.74, −0.16]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.027*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.004**</w:t>
            </w:r>
          </w:p>
        </w:tc>
      </w:tr>
      <w:tr>
        <w:tc>
          <w:tcPr>
            <w:tcW w:type="dxa" w:w="1134"/>
            <w:gridSpan w:val="10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Skeletal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SNA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.484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.493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.386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.558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.426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.525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0.39 [−0.92, 1.71]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.559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&gt; .999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SNB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.385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.387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.451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.390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.489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.782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−0.78 [−2.40, 0.84]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.346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.524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ANB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.102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.108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.100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.110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.110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.363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1.20 [−0.07, 2.47]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.063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.469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SN-GoGn (°)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.047*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.052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.063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.051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.077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.096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1.95 [−0.35, 4.24]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.097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.079</w:t>
            </w:r>
          </w:p>
        </w:tc>
      </w:tr>
      <w:tr>
        <w:tc>
          <w:tcPr>
            <w:tcW w:type="dxa" w:w="1134"/>
            <w:gridSpan w:val="10"/>
            <w:vAlign w:val="bottom"/>
          </w:tcPr>
          <w:p>
            <w:pPr>
              <w:spacing w:before="20" w:after="20"/>
              <w:jc w:val="left"/>
            </w:pPr>
            <w:r/>
            <w:r>
              <w:rPr>
                <w:i/>
                <w:sz w:val="18"/>
              </w:rPr>
              <w:t>Soft tissue</w:t>
            </w:r>
          </w:p>
        </w:tc>
      </w:tr>
      <w:tr>
        <w:tc>
          <w:tcPr>
            <w:tcW w:type="dxa" w:w="2211"/>
            <w:vAlign w:val="bottom"/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UL-E (mm)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.211</w:t>
            </w:r>
          </w:p>
        </w:tc>
        <w:tc>
          <w:tcPr>
            <w:tcW w:type="dxa" w:w="1077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.211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.257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.190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.247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.060</w:t>
            </w:r>
          </w:p>
        </w:tc>
        <w:tc>
          <w:tcPr>
            <w:tcW w:type="dxa" w:w="2041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−0.80 [−1.80, 0.20]</w:t>
            </w:r>
          </w:p>
        </w:tc>
        <w:tc>
          <w:tcPr>
            <w:tcW w:type="dxa" w:w="1020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.118</w:t>
            </w:r>
          </w:p>
        </w:tc>
        <w:tc>
          <w:tcPr>
            <w:tcW w:type="dxa" w:w="1134"/>
            <w:vAlign w:val="bottom"/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.335</w:t>
            </w:r>
          </w:p>
        </w:tc>
      </w:tr>
      <w:tr>
        <w:tc>
          <w:tcPr>
            <w:tcW w:type="dxa" w:w="221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ind w:left="198"/>
              <w:jc w:val="left"/>
            </w:pPr>
            <w:r/>
            <w:r>
              <w:rPr>
                <w:sz w:val="18"/>
              </w:rPr>
              <w:t>LL-E (mm)</w:t>
            </w:r>
          </w:p>
        </w:tc>
        <w:tc>
          <w:tcPr>
            <w:tcW w:type="dxa" w:w="102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.021*</w:t>
            </w:r>
          </w:p>
        </w:tc>
        <w:tc>
          <w:tcPr>
            <w:tcW w:type="dxa" w:w="1077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.020*</w:t>
            </w:r>
          </w:p>
        </w:tc>
        <w:tc>
          <w:tcPr>
            <w:tcW w:type="dxa" w:w="102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.018*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.012*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.009**</w:t>
            </w:r>
          </w:p>
        </w:tc>
        <w:tc>
          <w:tcPr>
            <w:tcW w:type="dxa" w:w="102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.024*</w:t>
            </w:r>
          </w:p>
        </w:tc>
        <w:tc>
          <w:tcPr>
            <w:tcW w:type="dxa" w:w="2041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−1.15 [−2.28, −0.02]</w:t>
            </w:r>
          </w:p>
        </w:tc>
        <w:tc>
          <w:tcPr>
            <w:tcW w:type="dxa" w:w="1020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.045*</w:t>
            </w:r>
          </w:p>
        </w:tc>
        <w:tc>
          <w:tcPr>
            <w:tcW w:type="dxa" w:w="1134"/>
            <w:vAlign w:val="bottom"/>
            <w:tcBorders>
              <w:bottom w:val="single" w:sz="6" w:space="0" w:color="000000"/>
            </w:tcBorders>
          </w:tcPr>
          <w:p>
            <w:pPr>
              <w:spacing w:before="20" w:after="20"/>
              <w:jc w:val="center"/>
            </w:pPr>
            <w:r/>
            <w:r>
              <w:rPr>
                <w:sz w:val="18"/>
              </w:rPr>
              <w:t>.179</w:t>
            </w:r>
          </w:p>
        </w:tc>
      </w:tr>
    </w:tbl>
    <w:p>
      <w:pPr>
        <w:spacing w:before="120"/>
      </w:pPr>
      <w:r>
        <w:rPr>
          <w:i/>
          <w:sz w:val="18"/>
        </w:rPr>
        <w:t xml:space="preserve">Note. </w:t>
      </w:r>
      <w:r>
        <w:rPr>
          <w:sz w:val="18"/>
        </w:rPr>
        <w:t xml:space="preserve">ANCOVA columns give </w:t>
      </w:r>
      <w:r>
        <w:rPr>
          <w:i/>
          <w:sz w:val="18"/>
        </w:rPr>
        <w:t>p</w:t>
      </w:r>
      <w:r>
        <w:rPr>
          <w:sz w:val="18"/>
        </w:rPr>
        <w:t xml:space="preserve"> values for the group effect: primary model (baseline value and age) and the primary model with additional adjustment for Class II severity (full vs half cusp), skeletal maturation (postpubertal vs not), third-molar development (crown/root formation vs germ), all three, or the distalization period. GEE = generalized estimating equations (Gaussian, identity link, exchangeable working correlation, robust sandwich variance) with group, time, group × time, age and age × time; the group × time estimate (DDJ − SDJ difference in change) is shown. Mann–Whitney </w:t>
      </w:r>
      <w:r>
        <w:rPr>
          <w:i/>
          <w:sz w:val="18"/>
        </w:rPr>
        <w:t>U</w:t>
      </w:r>
      <w:r>
        <w:rPr>
          <w:sz w:val="18"/>
        </w:rPr>
        <w:t xml:space="preserve"> test on change scores.</w:t>
      </w:r>
    </w:p>
    <w:p>
      <w:pPr>
        <w:spacing w:before="0"/>
      </w:pPr>
      <w:r>
        <w:rPr>
          <w:sz w:val="18"/>
          <w:vertAlign w:val="superscript"/>
        </w:rPr>
        <w:t>a</w:t>
      </w:r>
      <w:r>
        <w:rPr>
          <w:sz w:val="18"/>
        </w:rPr>
        <w:t xml:space="preserve"> Primary outcome.</w:t>
      </w:r>
    </w:p>
    <w:p>
      <w:pPr>
        <w:spacing w:before="0"/>
      </w:pPr>
      <w:r>
        <w:rPr>
          <w:sz w:val="18"/>
        </w:rPr>
        <w:t xml:space="preserve">* </w:t>
      </w:r>
      <w:r>
        <w:rPr>
          <w:i/>
          <w:sz w:val="18"/>
        </w:rPr>
        <w:t>p</w:t>
      </w:r>
      <w:r>
        <w:rPr>
          <w:sz w:val="18"/>
        </w:rPr>
        <w:t xml:space="preserve"> &lt; .05. ** </w:t>
      </w:r>
      <w:r>
        <w:rPr>
          <w:i/>
          <w:sz w:val="18"/>
        </w:rPr>
        <w:t>p</w:t>
      </w:r>
      <w:r>
        <w:rPr>
          <w:sz w:val="18"/>
        </w:rPr>
        <w:t xml:space="preserve"> &lt; .01. *** </w:t>
      </w:r>
      <w:r>
        <w:rPr>
          <w:i/>
          <w:sz w:val="18"/>
        </w:rPr>
        <w:t>p</w:t>
      </w:r>
      <w:r>
        <w:rPr>
          <w:sz w:val="18"/>
        </w:rPr>
        <w:t xml:space="preserve"> &lt; .001.</w:t>
      </w:r>
    </w:p>
    <w:sectPr w:rsidR="00FC693F" w:rsidRPr="0006063C" w:rsidSect="0003461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