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A797D">
      <w:pPr>
        <w:spacing w:before="240" w:after="80" w:line="240" w:lineRule="auto"/>
        <w:jc w:val="left"/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Table S1. Missing data of clinical variables.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</w:tblPr>
      <w:tblGrid>
        <w:gridCol w:w="4621"/>
        <w:gridCol w:w="4621"/>
      </w:tblGrid>
      <w:tr w14:paraId="608D3200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994E30E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27BDDC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Missing rate</w:t>
            </w:r>
          </w:p>
        </w:tc>
      </w:tr>
      <w:tr w14:paraId="5EF9E9C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AF3A3A0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Base excess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C73FFE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18.15%</w:t>
            </w:r>
          </w:p>
        </w:tc>
      </w:tr>
      <w:tr w14:paraId="0C44EC54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8D42182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PaCO₂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510405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18.15%</w:t>
            </w:r>
          </w:p>
        </w:tc>
      </w:tr>
      <w:tr w14:paraId="454BD493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2B29421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19ACF0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18.15%</w:t>
            </w:r>
          </w:p>
        </w:tc>
      </w:tr>
      <w:tr w14:paraId="68CD637E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FF0E89F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PaO₂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C14B9A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18.15%</w:t>
            </w:r>
          </w:p>
        </w:tc>
      </w:tr>
      <w:tr w14:paraId="26A22028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6C55AF8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Total CO₂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0E3069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18.15%</w:t>
            </w:r>
          </w:p>
        </w:tc>
      </w:tr>
      <w:tr w14:paraId="0BFDF00D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EA82FCF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MBP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4C9A19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12.68%</w:t>
            </w:r>
          </w:p>
        </w:tc>
      </w:tr>
      <w:tr w14:paraId="5DF6B900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C8EBCED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DBP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C46AA3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12.64%</w:t>
            </w:r>
          </w:p>
        </w:tc>
      </w:tr>
      <w:tr w14:paraId="2C98F2B6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B98E344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SBP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090116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12.60%</w:t>
            </w:r>
          </w:p>
        </w:tc>
      </w:tr>
      <w:tr w14:paraId="37522A2B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88C5163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Fluid balance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CD7DD3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11.88%</w:t>
            </w:r>
          </w:p>
        </w:tc>
      </w:tr>
      <w:tr w14:paraId="39B7D554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D0905D3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UO rate 24 h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93A967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10.20%</w:t>
            </w:r>
          </w:p>
        </w:tc>
      </w:tr>
      <w:tr w14:paraId="31355E8C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2BFFFAD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APTT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9B945F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9.13%</w:t>
            </w:r>
          </w:p>
        </w:tc>
      </w:tr>
      <w:tr w14:paraId="4AC0442A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F66E8F4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INR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75323B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8.69%</w:t>
            </w:r>
          </w:p>
        </w:tc>
      </w:tr>
      <w:tr w14:paraId="227560E1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302EDED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PT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71C695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8.69%</w:t>
            </w:r>
          </w:p>
        </w:tc>
      </w:tr>
      <w:tr w14:paraId="7A9DB6EF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E0532D0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UO rate 12 h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4A0BE0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4.40%</w:t>
            </w:r>
          </w:p>
        </w:tc>
      </w:tr>
      <w:tr w14:paraId="0A96F2E3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D52A400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Temperature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48952F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4.04%</w:t>
            </w:r>
          </w:p>
        </w:tc>
      </w:tr>
      <w:tr w14:paraId="0A63E78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213748D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AKI stage (UO)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059F6A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2.63%</w:t>
            </w:r>
          </w:p>
        </w:tc>
      </w:tr>
      <w:tr w14:paraId="67476FE3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7D3F218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UO rate 6 h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F7601C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2.63%</w:t>
            </w:r>
          </w:p>
        </w:tc>
      </w:tr>
      <w:tr w14:paraId="10EE46DF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81DEB89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Calcium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3C8622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0.99%</w:t>
            </w:r>
          </w:p>
        </w:tc>
      </w:tr>
      <w:tr w14:paraId="0DEF1DF2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1F3C7A2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RDW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B2E626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0.34%</w:t>
            </w:r>
          </w:p>
        </w:tc>
      </w:tr>
      <w:tr w14:paraId="61CA32BF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9342076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HGB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1F0FA5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0.27%</w:t>
            </w:r>
          </w:p>
        </w:tc>
      </w:tr>
      <w:tr w14:paraId="022D9662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BF8FE3D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MCH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7E7253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0.27%</w:t>
            </w:r>
          </w:p>
        </w:tc>
      </w:tr>
      <w:tr w14:paraId="0F4561E7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862EDE3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MCHC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9D4F7A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0.27%</w:t>
            </w:r>
          </w:p>
        </w:tc>
      </w:tr>
      <w:tr w14:paraId="5DFFB7A2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EFA5A54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MCV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7938D3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0.25%</w:t>
            </w:r>
          </w:p>
        </w:tc>
      </w:tr>
      <w:tr w14:paraId="02A18342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2F0F258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PLT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296FAA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0.25%</w:t>
            </w:r>
          </w:p>
        </w:tc>
      </w:tr>
      <w:tr w14:paraId="27E264F1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1FD7C2E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RBC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D93C6E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0.25%</w:t>
            </w:r>
          </w:p>
        </w:tc>
      </w:tr>
      <w:tr w14:paraId="0B3DF9B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F2B3E92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WBC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83E6BB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0.25%</w:t>
            </w:r>
          </w:p>
        </w:tc>
      </w:tr>
      <w:tr w14:paraId="744203D6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2BB37CD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Glucose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A2C348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0.24%</w:t>
            </w:r>
          </w:p>
        </w:tc>
      </w:tr>
      <w:tr w14:paraId="5C4C4F08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09D1CE1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Hematocrit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D8C0E3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0.18%</w:t>
            </w:r>
          </w:p>
        </w:tc>
      </w:tr>
      <w:tr w14:paraId="10C84029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69A01F1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Weight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0A2272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0.18%</w:t>
            </w:r>
          </w:p>
        </w:tc>
      </w:tr>
      <w:tr w14:paraId="448BFF30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BE87820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GCS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5AB522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0.16%</w:t>
            </w:r>
          </w:p>
        </w:tc>
      </w:tr>
      <w:tr w14:paraId="3273B474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BE346B0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Respiratory rate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E8989C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0.15%</w:t>
            </w:r>
          </w:p>
        </w:tc>
      </w:tr>
      <w:tr w14:paraId="0D0E6278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FF348EA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Heart rate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58A359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0.13%</w:t>
            </w:r>
          </w:p>
        </w:tc>
      </w:tr>
      <w:tr w14:paraId="55547CCE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3EA3AB9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SpO₂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AC5A45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0.13%</w:t>
            </w:r>
          </w:p>
        </w:tc>
      </w:tr>
      <w:tr w14:paraId="2B612208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DD22A9E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Anion gap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35138E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0.04%</w:t>
            </w:r>
          </w:p>
        </w:tc>
      </w:tr>
      <w:tr w14:paraId="46ADE3F7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61C7487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BUN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095E61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0.04%</w:t>
            </w:r>
          </w:p>
        </w:tc>
      </w:tr>
      <w:tr w14:paraId="61A433BB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5E37E40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Potassium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CDEB65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0.04%</w:t>
            </w:r>
          </w:p>
        </w:tc>
      </w:tr>
      <w:tr w14:paraId="4371FD9B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A63D684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Chloride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4C7503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0.03%</w:t>
            </w:r>
          </w:p>
        </w:tc>
      </w:tr>
      <w:tr w14:paraId="2E025BD2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A38F2C0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Creatinine</w:t>
            </w:r>
          </w:p>
        </w:tc>
        <w:tc>
          <w:tcPr>
            <w:tcW w:w="415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9FC58C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0.03%</w:t>
            </w:r>
          </w:p>
        </w:tc>
      </w:tr>
    </w:tbl>
    <w:p w14:paraId="594C77D5">
      <w:pPr>
        <w:spacing w:before="40" w:after="200" w:line="240" w:lineRule="auto"/>
        <w:jc w:val="left"/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 w:val="0"/>
          <w:i/>
          <w:color w:val="000000"/>
          <w:sz w:val="18"/>
        </w:rPr>
        <w:t>Abbreviations: PaCO₂, arterial partial pressure of carbon dioxide; PaO₂, arterial partial pressure of oxygen; CO₂, carbon dioxide; MBP, mean blood pressure; DBP, diastolic blood pressure; SBP, systolic blood pressure; UO, urine output; PT, prothrombin time; APTT, activated partial thromboplastin time; INR, international normalized ratio; AKI, acute kidney injury; RDW, red cell distribution width; HGB, hemoglobin; MCH, mean corpuscular hemoglobin; MCHC, mean corpuscular hemoglobin concentration; MCV, mean corpuscular volume; PLT, platelet count; RBC, red blood cell count; WBC, white blood cell count; GCS, Glasgow Coma Scale; SpO₂, peripheral oxygen saturation; BUN, blood urea nitrogen.</w:t>
      </w:r>
      <w:bookmarkStart w:id="0" w:name="_GoBack"/>
      <w:bookmarkEnd w:id="0"/>
    </w:p>
    <w:p w14:paraId="6895CB23">
      <w:pPr>
        <w:spacing w:before="240" w:after="80" w:line="240" w:lineRule="auto"/>
        <w:jc w:val="left"/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b/>
          <w:i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Table S2. Class-specific AvePP and OCC for candidate GBTM solutions.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</w:tblPr>
      <w:tblGrid>
        <w:gridCol w:w="2242"/>
        <w:gridCol w:w="2320"/>
        <w:gridCol w:w="2351"/>
        <w:gridCol w:w="2329"/>
      </w:tblGrid>
      <w:tr w14:paraId="5DAF9671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8C03E10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No.of trajectories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35ABF6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878A8C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AvePP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04CB84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OCC</w:t>
            </w:r>
          </w:p>
        </w:tc>
      </w:tr>
      <w:tr w14:paraId="15DCCA0A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AF52FDF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76D865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1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149816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0.938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78126C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116.89</w:t>
            </w:r>
          </w:p>
        </w:tc>
      </w:tr>
      <w:tr w14:paraId="4C87B80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AF43CC6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ADD1E2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2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E2FC49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0.989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C096D9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11.70</w:t>
            </w:r>
          </w:p>
        </w:tc>
      </w:tr>
      <w:tr w14:paraId="13B3908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7DE9B07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9859C5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1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B67E3B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0.965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21D71B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7.60</w:t>
            </w:r>
          </w:p>
        </w:tc>
      </w:tr>
      <w:tr w14:paraId="58BA6E24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B88AC6B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629CD8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2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CAB624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0.887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4983A6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35.62</w:t>
            </w:r>
          </w:p>
        </w:tc>
      </w:tr>
      <w:tr w14:paraId="73F1F4B9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1CD9AFC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DE8E5A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3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67816E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0.950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053838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477.39</w:t>
            </w:r>
          </w:p>
        </w:tc>
      </w:tr>
      <w:tr w14:paraId="2F01A686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E4C3E6D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74CD1D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1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5C0239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0.819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C4ACA2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14.76</w:t>
            </w:r>
          </w:p>
        </w:tc>
      </w:tr>
      <w:tr w14:paraId="6C97D9F4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ADF94C3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51D9A1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2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1E8B31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0.940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1D6D39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847.00</w:t>
            </w:r>
          </w:p>
        </w:tc>
      </w:tr>
      <w:tr w14:paraId="7609F3EB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390BB1D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DA484F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3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289558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0.904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D67917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124.14</w:t>
            </w:r>
          </w:p>
        </w:tc>
      </w:tr>
      <w:tr w14:paraId="213421BB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0011214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41B0E8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4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046CEB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0.928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315DF7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6.09</w:t>
            </w:r>
          </w:p>
        </w:tc>
      </w:tr>
      <w:tr w14:paraId="6DD28E16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6ED1DF2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64008F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1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A6C93C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0.814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63D3BB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12.82</w:t>
            </w:r>
          </w:p>
        </w:tc>
      </w:tr>
      <w:tr w14:paraId="72E185FB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88FE4BC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8E1C95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2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2BC575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0.914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D59AB1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6.26</w:t>
            </w:r>
          </w:p>
        </w:tc>
      </w:tr>
      <w:tr w14:paraId="7D107659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CD39A2C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508161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3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3D3158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0.851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EF8F05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175.95</w:t>
            </w:r>
          </w:p>
        </w:tc>
      </w:tr>
      <w:tr w14:paraId="6C21178E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DC36ED4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23A94A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4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84503B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0.952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3AFB47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964.49</w:t>
            </w:r>
          </w:p>
        </w:tc>
      </w:tr>
      <w:tr w14:paraId="2BE30311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894CBA4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70B3F5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5</w:t>
            </w:r>
          </w:p>
        </w:tc>
        <w:tc>
          <w:tcPr>
            <w:tcW w:w="235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8C4942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0.890</w:t>
            </w:r>
          </w:p>
        </w:tc>
        <w:tc>
          <w:tcPr>
            <w:tcW w:w="232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4365E9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117.29</w:t>
            </w:r>
          </w:p>
        </w:tc>
      </w:tr>
    </w:tbl>
    <w:p w14:paraId="77CB371E">
      <w:pPr>
        <w:spacing w:before="40" w:after="200" w:line="240" w:lineRule="auto"/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 w:val="0"/>
          <w:i/>
          <w:color w:val="000000"/>
          <w:sz w:val="18"/>
        </w:rPr>
        <w:t>Abbreviations: GBTM, group-based trajectory modeling; AvePP, average posterior probability; OCC, odds of correct classification.</w:t>
      </w:r>
    </w:p>
    <w:p w14:paraId="5467F395">
      <w:pPr>
        <w:spacing w:before="240" w:after="80" w:line="240" w:lineRule="auto"/>
        <w:jc w:val="left"/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Table S3. Model 2 multivariable Cox results for ICU 28-day mortality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</w:tblPr>
      <w:tblGrid>
        <w:gridCol w:w="3080"/>
        <w:gridCol w:w="3081"/>
        <w:gridCol w:w="3081"/>
      </w:tblGrid>
      <w:tr w14:paraId="042E9EF2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blHeader/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919BEAF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6E7EFA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HR (95% CI)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ABB46A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 value</w:t>
            </w:r>
          </w:p>
        </w:tc>
      </w:tr>
      <w:tr w14:paraId="0E70E749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0B43FDA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Trajectory 1 (Reference)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7E562F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 (Reference)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E6CF1E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4249B9D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6155C27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Trajectory 2 vs 1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CA4BC6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1.86 (1.66–2.08)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ACE67E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4D8135E0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D3830DF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Trajectory 3 vs 1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CA6493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2.68 (2.20–3.26)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B56F59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3FB5E21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AD072CA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Age (per year)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0DE065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1.02 (1.02–1.03)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DAD214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0A52F4E0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05DD15A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Female vs Male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F68840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1.09 (0.99–1.20)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872765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0.087</w:t>
            </w:r>
          </w:p>
        </w:tc>
      </w:tr>
      <w:tr w14:paraId="3A522CCC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F30EEC8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Black vs White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A83CDB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1.01 (0.83–1.22)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81F120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0.955</w:t>
            </w:r>
          </w:p>
        </w:tc>
      </w:tr>
      <w:tr w14:paraId="503DC71F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50D126B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Asian vs White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AA3312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1.11 (0.80–1.55)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8FF5D9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0.537</w:t>
            </w:r>
          </w:p>
        </w:tc>
      </w:tr>
      <w:tr w14:paraId="44D759B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260FA6F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Other vs White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9BB0D3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1.55 (1.39–1.72)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85CE52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</w:tbl>
    <w:p w14:paraId="066B7FCF">
      <w:pPr>
        <w:spacing w:before="40" w:after="200" w:line="240" w:lineRule="auto"/>
      </w:pPr>
      <w:r>
        <w:rPr>
          <w:rFonts w:ascii="Times New Roman" w:hAnsi="Times New Roman" w:eastAsia="Times New Roman" w:cs="Times New Roman"/>
          <w:b w:val="0"/>
          <w:i/>
          <w:color w:val="000000"/>
          <w:sz w:val="18"/>
        </w:rPr>
        <w:t>Abbreviations: ICU, intensive care unit; HR, hazard ratio; CI, confidence interval.</w:t>
      </w:r>
    </w:p>
    <w:p w14:paraId="2F58352C"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6F8A6410">
      <w:pPr>
        <w:spacing w:before="240" w:after="80" w:line="240" w:lineRule="auto"/>
        <w:jc w:val="left"/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Table S4. Model 3 multivariable Cox results for ICU 28-day mortality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</w:tblPr>
      <w:tblGrid>
        <w:gridCol w:w="3080"/>
        <w:gridCol w:w="3081"/>
        <w:gridCol w:w="3081"/>
      </w:tblGrid>
      <w:tr w14:paraId="22D7CC4F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F86CD34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817A0B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HR (95% CI)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979E5D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 value</w:t>
            </w:r>
          </w:p>
        </w:tc>
      </w:tr>
      <w:tr w14:paraId="472738C6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D0D7C62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Trajectory 1 (Reference)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7F057D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 (Reference)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7F52EA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17B7281C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4F23691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Trajectory 2 vs 1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C82DF4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1.16 (1.03–1.30)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1CC9D3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0.018</w:t>
            </w:r>
          </w:p>
        </w:tc>
      </w:tr>
      <w:tr w14:paraId="363BD5D7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E487EB5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Trajectory 3 vs 1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822906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1.26 (1.02–1.55)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EF12DE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0.028</w:t>
            </w:r>
          </w:p>
        </w:tc>
      </w:tr>
      <w:tr w14:paraId="1DDE2B61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9D5FBA1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Age (per year)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9C0265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1.01 (1.01–1.01)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F7AAA0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789FEB3F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95880AB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Female vs Male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CB04E8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1.08 (0.98–1.19)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2FEF78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0.110</w:t>
            </w:r>
          </w:p>
        </w:tc>
      </w:tr>
      <w:tr w14:paraId="23D962E9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0BB3062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CCI (per point)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C0A427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1.15 (1.13–1.17)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4ECD78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0D0CE8D2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7B60A14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SOFA (per point)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A58BE4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1.09 (1.07–1.10)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0AD78F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6F578DB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5487EF5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AKI stage 1 (Reference)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59D0BA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 (Reference)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B47B49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6794C74C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C7C9F34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AKI stage 2 vs 1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DA04A9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1.54 (1.19–1.98)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370A24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08BE6057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8862F88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AKI stage 3 vs 1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5A28D8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3.04 (2.37–3.91)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73BCE1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</w:tbl>
    <w:p w14:paraId="3836C68A">
      <w:pPr>
        <w:spacing w:before="40" w:after="200" w:line="240" w:lineRule="auto"/>
      </w:pPr>
      <w:r>
        <w:rPr>
          <w:rFonts w:ascii="Times New Roman" w:hAnsi="Times New Roman" w:eastAsia="Times New Roman" w:cs="Times New Roman"/>
          <w:b w:val="0"/>
          <w:i/>
          <w:color w:val="000000"/>
          <w:sz w:val="18"/>
        </w:rPr>
        <w:t>Abbreviations: ICU, intensive care unit; HR, hazard ratio; CI, confidence interval; CCI, Charlson Comorbidity Index; SOFA, Sequential Organ Failure Assessment; AKI, acute kidney injury.</w:t>
      </w:r>
    </w:p>
    <w:p w14:paraId="77E2F2BE"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1D17DD4F">
      <w:pPr>
        <w:spacing w:before="240" w:after="80" w:line="240" w:lineRule="auto"/>
        <w:jc w:val="left"/>
        <w:rPr>
          <w:rFonts w:hint="eastAsia" w:eastAsia="宋体" w:cs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B78C7A6">
      <w:pPr>
        <w:spacing w:before="240" w:after="80" w:line="240" w:lineRule="auto"/>
        <w:jc w:val="left"/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Table S5. Model 4 multivariable Cox results for ICU 28-day mortality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</w:tblPr>
      <w:tblGrid>
        <w:gridCol w:w="3080"/>
        <w:gridCol w:w="3081"/>
        <w:gridCol w:w="3081"/>
      </w:tblGrid>
      <w:tr w14:paraId="3BF8B73D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B69661B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D9630E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HR (95% CI)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F677E7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 value</w:t>
            </w:r>
          </w:p>
        </w:tc>
      </w:tr>
      <w:tr w14:paraId="13B461A7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C9B3383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Trajectory 1 (Reference)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801BFF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 (Reference)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47291F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0D8AB58A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673BCD1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Trajectory 2 vs 1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F7E7BB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1.15 (1.02–1.30)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DCDF97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0.020</w:t>
            </w:r>
          </w:p>
        </w:tc>
      </w:tr>
      <w:tr w14:paraId="0551D4D9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60F5391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Trajectory 3 vs 1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02E420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1.28 (1.04–1.57)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665994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0.021</w:t>
            </w:r>
          </w:p>
        </w:tc>
      </w:tr>
      <w:tr w14:paraId="16CADD93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7361530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Age (per year)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483AB1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1.01 (1.01–1.01)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3E5507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7BE9293E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247BA13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Female vs Male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E82BC9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1.09 (0.99–1.20)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B235A4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0.097</w:t>
            </w:r>
          </w:p>
        </w:tc>
      </w:tr>
      <w:tr w14:paraId="34A537A8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C3FEDCD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CCI (per point)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089160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1.16 (1.13–1.18)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296CA1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2FDC6E4C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0333C75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SOFA (per point)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7CFB6F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1.07 (1.06–1.09)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9ABD01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6F9CE686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2FFD2B3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AKI stage 1 (Reference)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22CA9D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 (Reference)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F0F2F5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616F0AD4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7FB24FA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AKI stage 2 vs 1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18DF94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1.48 (1.15–1.91)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E57565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</w:tr>
      <w:tr w14:paraId="21EEAC1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8341DEB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AKI stage 3 vs 1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B7F3FB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2.95 (2.29–3.79)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4F150B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37D2FE69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3586097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Mechanical ventilation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DA56A0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1.38 (1.21–1.58)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A35088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68F46589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D140B30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Vasopressor use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BFCCDB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1.05 (0.93–1.17)</w:t>
            </w:r>
          </w:p>
        </w:tc>
        <w:tc>
          <w:tcPr>
            <w:tcW w:w="27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45CBCB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0.440</w:t>
            </w:r>
          </w:p>
        </w:tc>
      </w:tr>
    </w:tbl>
    <w:p w14:paraId="1608234C">
      <w:pPr>
        <w:spacing w:before="40" w:after="200" w:line="240" w:lineRule="auto"/>
      </w:pPr>
      <w:r>
        <w:rPr>
          <w:rFonts w:ascii="Times New Roman" w:hAnsi="Times New Roman" w:eastAsia="Times New Roman" w:cs="Times New Roman"/>
          <w:b w:val="0"/>
          <w:i/>
          <w:color w:val="000000"/>
          <w:sz w:val="18"/>
        </w:rPr>
        <w:t>Abbreviations: ICU, intensive care unit; HR, hazard ratio; CI, confidence interval; CCI, Charlson Comorbidity Index; SOFA, Sequential Organ Failure Assessment; AKI, acute kidney injury.</w:t>
      </w:r>
    </w:p>
    <w:p w14:paraId="22BBC37D"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64EBC7ED">
      <w:pPr>
        <w:spacing w:before="240" w:after="80" w:line="240" w:lineRule="auto"/>
        <w:jc w:val="left"/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b/>
          <w:i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Table S6. VIF for Model 2 (ICU 28-day mortality).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</w:tblPr>
      <w:tblGrid>
        <w:gridCol w:w="1848"/>
        <w:gridCol w:w="1848"/>
        <w:gridCol w:w="1848"/>
        <w:gridCol w:w="1849"/>
        <w:gridCol w:w="1849"/>
      </w:tblGrid>
      <w:tr w14:paraId="2A4B13C7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blHeader/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502D4E2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178BE7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GVIF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A5C148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Df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BC5DCC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GVIF^(1/(2·Df))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37F46A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VIF &gt; 5</w:t>
            </w:r>
          </w:p>
        </w:tc>
      </w:tr>
      <w:tr w14:paraId="7AB596A3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49E0131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cluster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5D5CC2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1.019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1A8F69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C9EA66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1.005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AFFBE3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14912496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7BC70D7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age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4EE2FC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1.033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0127C2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8B5128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1.017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4FC50C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6580F0E7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BA3F570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gender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345973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1.023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E894F6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F9365D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1.012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B3FBD2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05327101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D2588BA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race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888360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1.019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C75224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7DD65B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1.003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1540B8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</w:tbl>
    <w:p w14:paraId="68992938">
      <w:pPr>
        <w:spacing w:before="40" w:after="200" w:line="240" w:lineRule="auto"/>
      </w:pPr>
      <w:r>
        <w:rPr>
          <w:rFonts w:ascii="Times New Roman" w:hAnsi="Times New Roman" w:eastAsia="Times New Roman" w:cs="Times New Roman"/>
          <w:b w:val="0"/>
          <w:i/>
          <w:color w:val="000000"/>
          <w:sz w:val="18"/>
        </w:rPr>
        <w:t>Abbreviations: ICU, intensive care unit; VIF, variance inflation factor; GVIF, generalized variance inflation factor; Df, degrees of freedom.</w:t>
      </w:r>
    </w:p>
    <w:p w14:paraId="04738FE3"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4DB5DB4E">
      <w:pPr>
        <w:spacing w:before="240" w:after="80" w:line="240" w:lineRule="auto"/>
        <w:jc w:val="left"/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b/>
          <w:i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Table S7. VIF for Model 3 (ICU 28-day mortality).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</w:tblPr>
      <w:tblGrid>
        <w:gridCol w:w="1848"/>
        <w:gridCol w:w="1848"/>
        <w:gridCol w:w="1848"/>
        <w:gridCol w:w="1849"/>
        <w:gridCol w:w="1849"/>
      </w:tblGrid>
      <w:tr w14:paraId="60CD580C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6737FBC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499C39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GVIF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2B9058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Df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9246CB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GVIF^(1/(2·Df))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C4DA5C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VIF &gt; 5</w:t>
            </w:r>
          </w:p>
        </w:tc>
      </w:tr>
      <w:tr w14:paraId="493BB043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24912C8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cluster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996F76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1.210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46A0A8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13566F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1.049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CBBABB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502ADD1C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11368AD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age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AC9F2C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1.347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D5225C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099CDE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1.161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E5A6E0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1070FDB0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ECE149B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gender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AB8471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1.023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DDCCFE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FF9716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1.011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2D33B7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10A593CB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55B04F9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charlson_cci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0E339C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1.291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E7DB58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5F0701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1.136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181F4C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6E16E429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F6B07FA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sofa_score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0A97E5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1.273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91BB79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C2C819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1.128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D2E331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28A8D2C6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F96674A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aki_stage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3FBC9B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1.163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D8CF37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ECDF0D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1.039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470EF5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</w:tbl>
    <w:p w14:paraId="63D9B573">
      <w:pPr>
        <w:spacing w:before="40" w:after="200" w:line="240" w:lineRule="auto"/>
      </w:pPr>
      <w:r>
        <w:rPr>
          <w:rFonts w:ascii="Times New Roman" w:hAnsi="Times New Roman" w:eastAsia="Times New Roman" w:cs="Times New Roman"/>
          <w:b w:val="0"/>
          <w:i/>
          <w:color w:val="000000"/>
          <w:sz w:val="18"/>
        </w:rPr>
        <w:t>Abbreviations: ICU, intensive care unit; VIF, variance inflation factor; GVIF, generalized variance inflation factor; Df, degrees of freedom; CCI, Charlson Comorbidity Index; SOFA, Sequential Organ Failure Assessment; AKI, acute kidney injury.</w:t>
      </w:r>
    </w:p>
    <w:p w14:paraId="6BB18B1C"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7A668DBC"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5A7DC5DA"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5B0C2591">
      <w:pPr>
        <w:spacing w:before="240" w:after="80" w:line="240" w:lineRule="auto"/>
        <w:jc w:val="left"/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b/>
          <w:color w:val="000000" w:themeColor="text1"/>
          <w:sz w:val="22"/>
          <w14:textFill>
            <w14:solidFill>
              <w14:schemeClr w14:val="tx1"/>
            </w14:solidFill>
          </w14:textFill>
        </w:rPr>
        <w:t>Table S8. VIF for Model 4 (ICU 28-day mortality).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</w:tblPr>
      <w:tblGrid>
        <w:gridCol w:w="2350"/>
        <w:gridCol w:w="1723"/>
        <w:gridCol w:w="1723"/>
        <w:gridCol w:w="1723"/>
        <w:gridCol w:w="1723"/>
      </w:tblGrid>
      <w:tr w14:paraId="0638DEE1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EC7834F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AE1156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GVIF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C1D73F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Df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91BED5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GVIF^(1/(2·Df))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438B0F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VIF &gt; 5</w:t>
            </w:r>
          </w:p>
        </w:tc>
      </w:tr>
      <w:tr w14:paraId="730144BA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E1175B2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cluster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2C0D23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1.208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E303A8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1338BC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1.048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A8ACE7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565301A7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B405A26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age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82797A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1.362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9F961E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62832D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1.167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8A36AC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28042B0B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2487EC3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gender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2BF6E1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1.023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E81CE9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9C9927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1.011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8858C2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68337526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CA96445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charlson_cci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D2B892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1.309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43A355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261EBB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1.144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C570DB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7CCE003D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8EACCC9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sofa_score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6F6601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1.595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A17DC8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C25268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1.263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FF13D3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07AB04A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D6C8286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aki_stage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A48667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1.162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77D157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053C6E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1.038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EADB52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62FC43C0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D0EBF19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mechanical_ventilation_flag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749338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1.190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61098E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0FFF73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1.091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09FDCD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2C58A722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68006B7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vaso_any_used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C57B73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1.320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70FD2A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B6D45A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1.149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BFEF0F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</w:tbl>
    <w:p w14:paraId="2BC0A4EE">
      <w:pPr>
        <w:spacing w:before="40" w:after="200" w:line="240" w:lineRule="auto"/>
      </w:pPr>
      <w:r>
        <w:rPr>
          <w:rFonts w:ascii="Times New Roman" w:hAnsi="Times New Roman" w:eastAsia="Times New Roman" w:cs="Times New Roman"/>
          <w:b w:val="0"/>
          <w:i/>
          <w:color w:val="000000"/>
          <w:sz w:val="18"/>
        </w:rPr>
        <w:t>Abbreviations: ICU, intensive care unit; VIF, variance inflation factor; GVIF, generalized variance inflation factor; Df, degrees of freedom; CCI, Charlson Comorbidity Index; SOFA, Sequential Organ Failure Assessment; AKI, acute kidney injury.</w:t>
      </w:r>
    </w:p>
    <w:p w14:paraId="48100649"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14FF774A">
      <w:pPr>
        <w:spacing w:before="240" w:after="80" w:line="240" w:lineRule="auto"/>
        <w:jc w:val="left"/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Table S9. Model-fit / classification metrics for the K=3 phosphate trajectory model in the eICU external-validation cohort</w:t>
      </w:r>
    </w:p>
    <w:tbl>
      <w:tblPr>
        <w:tblStyle w:val="4"/>
        <w:tblW w:w="375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</w:tblPr>
      <w:tblGrid>
        <w:gridCol w:w="1155"/>
        <w:gridCol w:w="1155"/>
        <w:gridCol w:w="1155"/>
        <w:gridCol w:w="1155"/>
        <w:gridCol w:w="1156"/>
        <w:gridCol w:w="1156"/>
      </w:tblGrid>
      <w:tr w14:paraId="2F60B64D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55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33F6FF2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Number of classes</w:t>
            </w:r>
          </w:p>
        </w:tc>
        <w:tc>
          <w:tcPr>
            <w:tcW w:w="1155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74EFDC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1155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34C17D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Entropy</w:t>
            </w:r>
          </w:p>
        </w:tc>
        <w:tc>
          <w:tcPr>
            <w:tcW w:w="1155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CC7D17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class1,%</w:t>
            </w:r>
          </w:p>
        </w:tc>
        <w:tc>
          <w:tcPr>
            <w:tcW w:w="1156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AEBDA5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class2,%</w:t>
            </w:r>
          </w:p>
        </w:tc>
        <w:tc>
          <w:tcPr>
            <w:tcW w:w="1156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49205B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class3,%</w:t>
            </w:r>
          </w:p>
        </w:tc>
      </w:tr>
      <w:tr w14:paraId="06880CA3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9D59EB5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5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0FCD78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3462</w:t>
            </w:r>
          </w:p>
        </w:tc>
        <w:tc>
          <w:tcPr>
            <w:tcW w:w="115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E00ADC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0.910</w:t>
            </w:r>
          </w:p>
        </w:tc>
        <w:tc>
          <w:tcPr>
            <w:tcW w:w="115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03303D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81.6</w:t>
            </w:r>
          </w:p>
        </w:tc>
        <w:tc>
          <w:tcPr>
            <w:tcW w:w="1156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EF0106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  <w:tc>
          <w:tcPr>
            <w:tcW w:w="1156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A8F449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2.8</w:t>
            </w:r>
          </w:p>
        </w:tc>
      </w:tr>
    </w:tbl>
    <w:p w14:paraId="2ADEAC3C">
      <w:pPr>
        <w:spacing w:before="40" w:after="200" w:line="240" w:lineRule="auto"/>
      </w:pPr>
      <w:r>
        <w:rPr>
          <w:rFonts w:ascii="Times New Roman" w:hAnsi="Times New Roman" w:eastAsia="Times New Roman" w:cs="Times New Roman"/>
          <w:b w:val="0"/>
          <w:i/>
          <w:color w:val="000000"/>
          <w:sz w:val="18"/>
        </w:rPr>
        <w:t>Abbreviations: eICU, eICU Collaborative Research Database.</w:t>
      </w:r>
    </w:p>
    <w:p w14:paraId="684B07D7"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45327641">
      <w:pPr>
        <w:spacing w:before="240" w:after="80" w:line="240" w:lineRule="auto"/>
        <w:jc w:val="left"/>
        <w:rPr>
          <w:rFonts w:ascii="Times New Roman" w:hAnsi="Times New Roman" w:eastAsia="Times New Roman"/>
          <w:b/>
          <w:i w:val="0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p w14:paraId="28FD25CD">
      <w:pPr>
        <w:spacing w:before="240" w:after="80" w:line="240" w:lineRule="auto"/>
        <w:jc w:val="left"/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b/>
          <w:i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Table S10. eICU class-specific AvePP and OCC for the K=3 model.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</w:tblPr>
      <w:tblGrid>
        <w:gridCol w:w="1848"/>
        <w:gridCol w:w="1848"/>
        <w:gridCol w:w="1848"/>
        <w:gridCol w:w="1849"/>
        <w:gridCol w:w="1849"/>
      </w:tblGrid>
      <w:tr w14:paraId="73489EAF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90C0B8B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trajectory 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820291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7FEE30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 (%)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97E243F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AvePP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C5061B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OCC</w:t>
            </w:r>
          </w:p>
        </w:tc>
      </w:tr>
      <w:tr w14:paraId="06D41C52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E2B87DB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590FB27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1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7D817B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2826 (81.6)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6CD46B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0.973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97D1FC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8.01</w:t>
            </w:r>
          </w:p>
        </w:tc>
      </w:tr>
      <w:tr w14:paraId="10245360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F9A0D32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233311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2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D4F902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540 (15.6)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E2BEE7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0.880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890102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39.74</w:t>
            </w:r>
          </w:p>
        </w:tc>
      </w:tr>
      <w:tr w14:paraId="502698DD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A82A244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1BD508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Class 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BD1898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96 (2.8)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5D2E4AB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0.963</w:t>
            </w:r>
          </w:p>
        </w:tc>
        <w:tc>
          <w:tcPr>
            <w:tcW w:w="16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F6D22F5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916.09</w:t>
            </w:r>
          </w:p>
        </w:tc>
      </w:tr>
    </w:tbl>
    <w:p w14:paraId="6C4E1D81">
      <w:pPr>
        <w:spacing w:before="40" w:after="200" w:line="24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 w:val="0"/>
          <w:i/>
          <w:color w:val="000000"/>
          <w:sz w:val="18"/>
        </w:rPr>
        <w:t>Abbreviations: eICU, eICU Collaborative Research Database; AvePP, average posterior probability; OCC, odds of correct classification. Class labels correspond to Trajectory 1 (Low-decreasing), Trajectory 2 (Moderate-decreasing), and Trajectory 3 (Persistently high). Posterior probabilities were computed from the frozen MIMIC class-membership priors and class-specific mean trajectories with shared residual SD.</w:t>
      </w:r>
    </w:p>
    <w:p w14:paraId="3A92777F"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3BFFF76A"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206B7097">
      <w:pPr>
        <w:spacing w:before="240" w:after="80" w:line="240" w:lineRule="auto"/>
        <w:jc w:val="left"/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b/>
          <w:i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Table S11. eICU landmark Cox models for 28-day mortality.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</w:tblPr>
      <w:tblGrid>
        <w:gridCol w:w="1208"/>
        <w:gridCol w:w="1038"/>
        <w:gridCol w:w="1331"/>
        <w:gridCol w:w="1754"/>
        <w:gridCol w:w="1078"/>
        <w:gridCol w:w="1754"/>
        <w:gridCol w:w="1079"/>
      </w:tblGrid>
      <w:tr w14:paraId="046E52D8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05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75F7604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Group</w:t>
            </w:r>
          </w:p>
        </w:tc>
        <w:tc>
          <w:tcPr>
            <w:tcW w:w="625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EE2728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744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D52056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Events, n (%)</w:t>
            </w:r>
          </w:p>
        </w:tc>
        <w:tc>
          <w:tcPr>
            <w:tcW w:w="963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132C2E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Model 1 HR (95% CI)</w:t>
            </w:r>
          </w:p>
        </w:tc>
        <w:tc>
          <w:tcPr>
            <w:tcW w:w="649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CCB904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963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60935B6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Model 2 HR (95% CI)</w:t>
            </w:r>
          </w:p>
        </w:tc>
        <w:tc>
          <w:tcPr>
            <w:tcW w:w="649" w:type="dxa"/>
            <w:vAlign w:val="center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DD65148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6502233B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0658216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T1</w:t>
            </w:r>
          </w:p>
        </w:tc>
        <w:tc>
          <w:tcPr>
            <w:tcW w:w="62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9E7CC1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2826</w:t>
            </w:r>
          </w:p>
        </w:tc>
        <w:tc>
          <w:tcPr>
            <w:tcW w:w="74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1B5AC0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288 (10.2%)</w:t>
            </w:r>
          </w:p>
        </w:tc>
        <w:tc>
          <w:tcPr>
            <w:tcW w:w="96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358B759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 (Ref)</w:t>
            </w:r>
          </w:p>
        </w:tc>
        <w:tc>
          <w:tcPr>
            <w:tcW w:w="64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EACA47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F6C207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 (Ref)</w:t>
            </w:r>
          </w:p>
        </w:tc>
        <w:tc>
          <w:tcPr>
            <w:tcW w:w="64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7A81728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B73E3F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03C71B4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T2</w:t>
            </w:r>
          </w:p>
        </w:tc>
        <w:tc>
          <w:tcPr>
            <w:tcW w:w="62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A130BE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540</w:t>
            </w:r>
          </w:p>
        </w:tc>
        <w:tc>
          <w:tcPr>
            <w:tcW w:w="74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30EA3D1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85 (15.7%)</w:t>
            </w:r>
          </w:p>
        </w:tc>
        <w:tc>
          <w:tcPr>
            <w:tcW w:w="96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7499E24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1.45 (1.14–1.85)</w:t>
            </w:r>
          </w:p>
        </w:tc>
        <w:tc>
          <w:tcPr>
            <w:tcW w:w="64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A71D58D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  <w:tc>
          <w:tcPr>
            <w:tcW w:w="96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486FF95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1.44 (1.13–1.83)</w:t>
            </w:r>
          </w:p>
        </w:tc>
        <w:tc>
          <w:tcPr>
            <w:tcW w:w="64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16F5CE0A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0.004</w:t>
            </w:r>
          </w:p>
        </w:tc>
      </w:tr>
      <w:tr w14:paraId="15EB6C7B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0F0576F3">
            <w:pPr>
              <w:spacing w:before="20" w:after="2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T3</w:t>
            </w:r>
          </w:p>
        </w:tc>
        <w:tc>
          <w:tcPr>
            <w:tcW w:w="62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649A00E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74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B9DD453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 (11.5%)</w:t>
            </w:r>
          </w:p>
        </w:tc>
        <w:tc>
          <w:tcPr>
            <w:tcW w:w="96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5495A212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1.16 (0.64–2.12)</w:t>
            </w:r>
          </w:p>
        </w:tc>
        <w:tc>
          <w:tcPr>
            <w:tcW w:w="64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37F02EF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0.628</w:t>
            </w:r>
          </w:p>
        </w:tc>
        <w:tc>
          <w:tcPr>
            <w:tcW w:w="96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2C4BAFF0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1.20 (0.66–2.19)</w:t>
            </w:r>
          </w:p>
        </w:tc>
        <w:tc>
          <w:tcPr>
            <w:tcW w:w="64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 w14:paraId="6F79706C">
            <w:pPr>
              <w:spacing w:before="20" w:after="2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0.556</w:t>
            </w:r>
          </w:p>
        </w:tc>
      </w:tr>
    </w:tbl>
    <w:p w14:paraId="7B5CCD97">
      <w:pPr>
        <w:spacing w:before="40" w:after="200" w:line="240" w:lineRule="auto"/>
      </w:pPr>
      <w:r>
        <w:rPr>
          <w:rFonts w:ascii="Times New Roman" w:hAnsi="Times New Roman" w:eastAsia="Times New Roman" w:cs="Times New Roman"/>
          <w:b w:val="0"/>
          <w:i/>
          <w:color w:val="000000"/>
          <w:sz w:val="18"/>
        </w:rPr>
        <w:t>Abbreviations: eICU, eICU Collaborative Research Database; HR, hazard ratio; CI, confidence interval; Ref, reference; T1, Trajectory 1; T2, Trajectory 2; T3, Trajectory 3.</w:t>
      </w:r>
    </w:p>
    <w:p w14:paraId="5E3DFDD2"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440" w:bottom="1440" w:left="1440" w:header="720" w:footer="72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F4401"/>
    <w:rsid w:val="07CB7263"/>
    <w:rsid w:val="08AC25CB"/>
    <w:rsid w:val="0D661B04"/>
    <w:rsid w:val="0FF40E0A"/>
    <w:rsid w:val="140D60DF"/>
    <w:rsid w:val="14555288"/>
    <w:rsid w:val="1A9659C0"/>
    <w:rsid w:val="1C4E5828"/>
    <w:rsid w:val="240C3075"/>
    <w:rsid w:val="251A293E"/>
    <w:rsid w:val="25F56F08"/>
    <w:rsid w:val="275259AA"/>
    <w:rsid w:val="2ACF3F24"/>
    <w:rsid w:val="393F42CA"/>
    <w:rsid w:val="3A216EBB"/>
    <w:rsid w:val="3B737E91"/>
    <w:rsid w:val="3DF20E82"/>
    <w:rsid w:val="3DF768EF"/>
    <w:rsid w:val="42446DF5"/>
    <w:rsid w:val="438751EB"/>
    <w:rsid w:val="4B666E6E"/>
    <w:rsid w:val="4BAE42AD"/>
    <w:rsid w:val="4E824F2D"/>
    <w:rsid w:val="4EC05A55"/>
    <w:rsid w:val="4EED6B41"/>
    <w:rsid w:val="4F553868"/>
    <w:rsid w:val="52690C33"/>
    <w:rsid w:val="57046531"/>
    <w:rsid w:val="587A4EC7"/>
    <w:rsid w:val="5C384E7D"/>
    <w:rsid w:val="6199721D"/>
    <w:rsid w:val="640108F9"/>
    <w:rsid w:val="663D4EED"/>
    <w:rsid w:val="66543EA9"/>
    <w:rsid w:val="6E573888"/>
    <w:rsid w:val="703A3E9C"/>
    <w:rsid w:val="71E40D25"/>
    <w:rsid w:val="72ED44D0"/>
    <w:rsid w:val="730B2E93"/>
    <w:rsid w:val="749B1FB7"/>
    <w:rsid w:val="74D40D4E"/>
    <w:rsid w:val="761E2EDE"/>
    <w:rsid w:val="76B87113"/>
    <w:rsid w:val="773F310C"/>
    <w:rsid w:val="77F05563"/>
    <w:rsid w:val="78237DF4"/>
    <w:rsid w:val="78FD6DDA"/>
    <w:rsid w:val="7A467573"/>
    <w:rsid w:val="7A58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TML Code"/>
    <w:basedOn w:val="6"/>
    <w:qFormat/>
    <w:uiPriority w:val="0"/>
    <w:rPr>
      <w:rFonts w:ascii="Courier New" w:hAnsi="Courier New"/>
      <w:sz w:val="20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1602</Words>
  <Characters>8719</Characters>
  <Lines>0</Lines>
  <Paragraphs>0</Paragraphs>
  <TotalTime>112</TotalTime>
  <ScaleCrop>false</ScaleCrop>
  <LinksUpToDate>false</LinksUpToDate>
  <CharactersWithSpaces>9645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2026-09-01T11:59:00Z</dcterms:created>
  <dc:creator>15021</dc:creator>
  <cp:lastModifiedBy>于越</cp:lastModifiedBy>
  <dcterms:modified xsi:type="dcterms:W3CDTF">2026-09-28T10:49:08Z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eyJoZGlkIjoiNWVjYWMyN2I0YWRhYjI4NDVhNjIyYTFkMDkyZWZjNTQiLCJ1c2VySWQiOiIzNDIwOTA4OTkifQ==</vt:lpwstr>
  </property>
  <property fmtid="{D5CDD505-2E9C-101B-9397-08002B2CF9AE}" pid="4" name="ICV">
    <vt:lpwstr>B5F0E50EEC3447148153A610600E1747_12</vt:lpwstr>
  </property>
</Properties>
</file>