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7540F">
      <w:pPr>
        <w:pStyle w:val="31"/>
      </w:pPr>
      <w:r>
        <w:t>Additional file</w:t>
      </w:r>
      <w:r>
        <w:rPr>
          <w:rFonts w:hint="eastAsia" w:eastAsia="宋体"/>
          <w:lang w:val="en-US" w:eastAsia="zh-CN"/>
        </w:rPr>
        <w:t>-</w:t>
      </w:r>
      <w:r>
        <w:t>STROBE checklist for the cohort study</w:t>
      </w:r>
    </w:p>
    <w:tbl>
      <w:tblPr>
        <w:tblStyle w:val="3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562"/>
        <w:gridCol w:w="1771"/>
        <w:gridCol w:w="6739"/>
      </w:tblGrid>
      <w:tr w14:paraId="16FD62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109" w:type="dxa"/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A8C0A">
            <w:pPr>
              <w:keepNext w:val="0"/>
              <w:spacing w:before="0" w:after="40"/>
            </w:pPr>
            <w:r>
              <w:rPr>
                <w:rFonts w:ascii="Arial" w:hAnsi="Arial"/>
                <w:b/>
                <w:color w:val="000000"/>
                <w:sz w:val="18"/>
              </w:rPr>
              <w:t>Section</w:t>
            </w:r>
          </w:p>
        </w:tc>
        <w:tc>
          <w:tcPr>
            <w:tcW w:w="562" w:type="dxa"/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9B5DD">
            <w:pPr>
              <w:keepNext w:val="0"/>
              <w:spacing w:before="0" w:after="40"/>
            </w:pPr>
            <w:r>
              <w:rPr>
                <w:rFonts w:ascii="Arial" w:hAnsi="Arial"/>
                <w:b/>
                <w:color w:val="000000"/>
                <w:sz w:val="18"/>
              </w:rPr>
              <w:t>Item</w:t>
            </w:r>
          </w:p>
        </w:tc>
        <w:tc>
          <w:tcPr>
            <w:tcW w:w="1771" w:type="dxa"/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FC1F2">
            <w:pPr>
              <w:keepNext w:val="0"/>
              <w:spacing w:before="0" w:after="40"/>
            </w:pPr>
            <w:r>
              <w:rPr>
                <w:rFonts w:ascii="Arial" w:hAnsi="Arial"/>
                <w:b/>
                <w:color w:val="000000"/>
                <w:sz w:val="18"/>
              </w:rPr>
              <w:t>Reporting topic</w:t>
            </w:r>
          </w:p>
        </w:tc>
        <w:tc>
          <w:tcPr>
            <w:tcW w:w="6739" w:type="dxa"/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BD32B">
            <w:pPr>
              <w:keepNext w:val="0"/>
              <w:spacing w:before="0" w:after="40"/>
            </w:pPr>
            <w:r>
              <w:rPr>
                <w:rFonts w:ascii="Arial" w:hAnsi="Arial"/>
                <w:b/>
                <w:color w:val="000000"/>
                <w:sz w:val="18"/>
              </w:rPr>
              <w:t>Manuscript location and reporting assessment</w:t>
            </w:r>
          </w:p>
        </w:tc>
      </w:tr>
      <w:tr w14:paraId="485F962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808D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Title and abstract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990D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1a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0FE92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Design identification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21946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Abstract, Methods (p. 2); Methods, Study design and data sources (p. 6). The study is identified as retrospective, with trajectory derivation and external evaluation in MIMIC-IV and eICU-CRD.</w:t>
            </w:r>
          </w:p>
        </w:tc>
      </w:tr>
      <w:tr w14:paraId="6999D88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548BA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Title and abstract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DD7C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1b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0F4F0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Balanced abstract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E730A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Abstract (pp. 2–3). Structured Background, Methods, Results and Conclusions summarize the objectives, cohorts, 72-hour landmark approach, principal estimates and need for prospective evaluation.</w:t>
            </w:r>
          </w:p>
        </w:tc>
      </w:tr>
      <w:tr w14:paraId="0D227F4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C879D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Introduction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C04F5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2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7C4E2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Scientific rationale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ED1A1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Background (pp. 3–5). Explains the clinical relevance of AKI and phosphate, limitations of single measurements, rationale for trajectory modeling and the risk of immortal-time bias.</w:t>
            </w:r>
          </w:p>
        </w:tc>
      </w:tr>
      <w:tr w14:paraId="08AEEBA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177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Introduction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66D9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3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92F1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Objectives and hypotheses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FED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Background, final paragraph (p. 5); Abstract, Background (p. 2). Objectives are to identify early phosphate trajectories, assess associations with subsequent mortality and evaluate transportability in an external cohort.</w:t>
            </w:r>
          </w:p>
        </w:tc>
      </w:tr>
      <w:tr w14:paraId="7AD75CB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AC49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2126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4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5A13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Key design features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6999D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Methods, Study design and data sources (p. 6), Study population (p. 7), and Outcomes and 72-hour landmark design (p. 10); Figure 1 (p. 33). Retrospective derivation/external-evaluation design and separation of exposure ascertainment from follow-up are described.</w:t>
            </w:r>
          </w:p>
        </w:tc>
      </w:tr>
      <w:tr w14:paraId="437DEC4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D6C7D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7800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5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E729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Setting and relevant periods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D4E5B">
            <w:pPr>
              <w:keepNext w:val="0"/>
              <w:spacing w:before="0" w:after="40"/>
              <w:rPr>
                <w:rFonts w:hint="eastAsia" w:eastAsia="宋体"/>
                <w:lang w:val="en-US" w:eastAsia="zh-CN"/>
              </w:rPr>
            </w:pPr>
            <w:r>
              <w:rPr>
                <w:rFonts w:ascii="Arial" w:hAnsi="Arial"/>
                <w:sz w:val="18"/>
              </w:rPr>
              <w:t>Partially reported. Methods, Study design and data sources (p. 6), Serum phosphate exposure (p. 9), and Outcomes and 72-hour landmark design (p. 10). Database settings and relative observation windows are described</w:t>
            </w:r>
            <w:r>
              <w:rPr>
                <w:rFonts w:hint="eastAsia" w:eastAsia="宋体"/>
                <w:sz w:val="18"/>
                <w:lang w:val="en-US" w:eastAsia="zh-CN"/>
              </w:rPr>
              <w:t>.</w:t>
            </w:r>
          </w:p>
        </w:tc>
      </w:tr>
      <w:tr w14:paraId="5065512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C9D79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A30F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6a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65C2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Eligibility, selection and follow-up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9E376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Methods, Study population and Diagnosis of AKI (p. 7), Outcomes and 72-hour landmark design (p. 10), and external-evaluation methods (pp. 11–12); Figure 2 (p. 34). Adult index ICU stays, early AKI, complete day 1–3 phosphate, exclusions and follow-up windows are described. Cohort-specific eligibility should be clarified: the chronic renal-disease exclusion is shown only for MIMIC-IV in Figure 2.</w:t>
            </w:r>
          </w:p>
        </w:tc>
      </w:tr>
      <w:tr w14:paraId="0EAC6F1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B57CE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0BD45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6b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11FD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Matching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E65F9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Not applicable. This is an unmatched cohort study; no matching of exposed and unexposed participants was performed.</w:t>
            </w:r>
          </w:p>
        </w:tc>
      </w:tr>
      <w:tr w14:paraId="27C44BC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A843D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EA52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7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21A0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Variable definitions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BDD3B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Methods, Diagnosis of AKI (p. 7), Data extraction and covariates (pp. 7–9), Serum phosphate exposure (p. 9), Outcomes and 72-hour landmark design (p. 10), and Statistical analysis (pp. 10–12). AKI criteria, exposure, outcomes, covariates and effect modifiers are defined. The all-cause versus ICU mortality terminology should be harmonized across cohorts.</w:t>
            </w:r>
          </w:p>
        </w:tc>
      </w:tr>
      <w:tr w14:paraId="3D764DE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37C4E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02AFE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8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1D9F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Data sources and measurement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E3308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Methods, Study design and data sources (p. 6), Data extraction and covariates (pp. 7–9), Serum phosphate exposure (p. 9), and external-evaluation methods (pp. 11–12). Reports database sources, extraction, measurement windows, phosphate units/daily means and frozen-model application. </w:t>
            </w:r>
          </w:p>
        </w:tc>
      </w:tr>
      <w:tr w14:paraId="7D8401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80214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777BD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9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2FF9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Bias reduction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37E3A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Background (p. 5); Methods (pp. 7–11). Restriction to early AKI, one index ICU stay, daily phosphate averaging, the 72-hour landmark, confounder adjustment and imputation address potential bias. Discussion (p. 20) acknowledges residual confounding and unavailable treatment details.</w:t>
            </w:r>
          </w:p>
        </w:tc>
      </w:tr>
      <w:tr w14:paraId="61C8BFB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C741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1932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10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AF7D0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Study-size rationale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11E6D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Methods, Study population (p. 7); Results, Study population (p. 12) and External evaluation in eICU-CRD (p. 16); Figure 2 (p. 34). The available eligible database records yielded 7,894 MIMIC-IV and 3,462 eICU patients. </w:t>
            </w:r>
          </w:p>
        </w:tc>
      </w:tr>
      <w:tr w14:paraId="6E0AAC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A985E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0E86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11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D7F4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Quantitative-variable handling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B4833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Methods, Serum phosphate exposure and Group-based trajectory modeling (pp. 9–10), and Statistical analysis (pp. 10–11). Phosphate is modeled continuously using daily means; latent classes are model-derived, not threshold-defined. Summaries/tests and subgroup cutoffs (age ≤65/&gt;65; SOFA ≤5/&gt;5) are stated.</w:t>
            </w:r>
          </w:p>
        </w:tc>
      </w:tr>
      <w:tr w14:paraId="24887B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BD5B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307F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12a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1A3B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Statistics and confounding control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72921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Methods, Statistical analysis (pp. 10–12). Describes group comparisons, Kaplan–Meier/log-rank tests, Cox models, 95% CIs, staged adjustment and GVIF checks. The rationale for confounder groups is given. Model 3 covariate reporting is inconsistent: Methods implies race is retained, whereas Results (p. 15) and Table S4 omit race. </w:t>
            </w:r>
          </w:p>
        </w:tc>
      </w:tr>
      <w:tr w14:paraId="6112926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33C54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0A89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12b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4F0D5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Subgroups and interactions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11D27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Methods, Statistical analysis (p. 11). Lists prespecified exploratory subgroups and describes trajectory-by-subgroup interaction terms and likelihood-ratio tests.</w:t>
            </w:r>
          </w:p>
        </w:tc>
      </w:tr>
      <w:tr w14:paraId="5766B31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A68C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8AA9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12c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A86F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Missing-data methods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5B78B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Methods, Data extraction and covariates (p. 8); Results, Missing data (p. 12); Table S1 and Figures S1–S2. Variables with &gt;20% missingness were excluded from modeling; those with ≤20% missingness underwent MICE with random-forest imputation. The number of imputations and pooling procedure are not stated.</w:t>
            </w:r>
          </w:p>
        </w:tc>
      </w:tr>
      <w:tr w14:paraId="0937200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48E2E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4342C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12d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9B1B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Loss-to-follow-up handling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97973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Partially reported. Methods, Study population (p. 7) and Outcomes and 72-hour landmark design (p. 10); Figure 2 (p. 34). Unavailable survival information is an exclusion criterion, and follow-up ends at death or the specified endpoint. </w:t>
            </w:r>
          </w:p>
        </w:tc>
      </w:tr>
      <w:tr w14:paraId="642B23C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47CF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Methods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20C44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12e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6C24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Sensitivity-analysis methods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5CF5E">
            <w:pPr>
              <w:keepNext w:val="0"/>
              <w:spacing w:before="0" w:after="40"/>
              <w:rPr>
                <w:rFonts w:hint="eastAsia" w:eastAsia="宋体"/>
                <w:lang w:val="en-US" w:eastAsia="zh-CN"/>
              </w:rPr>
            </w:pPr>
            <w:r>
              <w:rPr>
                <w:rFonts w:ascii="Arial" w:hAnsi="Arial"/>
                <w:sz w:val="18"/>
              </w:rPr>
              <w:t>Methods, Statistical analysis (pp. 10–12). Sequential adjustment, an extended model adding mechanical ventilation/vasopressors, and external frozen-model evaluation assess robustness. No separate sensitivity-analysis protocol is described; the 72-hour landmark is the primary design.</w:t>
            </w:r>
          </w:p>
        </w:tc>
      </w:tr>
      <w:tr w14:paraId="39BAADC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0664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9D61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13a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40C0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Participant numbers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C7405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Results, Study population (p. 12) and External evaluation in eICU-CRD (p. 16); Figure 2 (p. 34). Reports numbers at successive selection stages and final cohorts of 7,894 and 3,462, with trajectory-specific numbers in Results (pp. 13, 16).</w:t>
            </w:r>
          </w:p>
        </w:tc>
      </w:tr>
      <w:tr w14:paraId="21A1E4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9234A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CFACF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13b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FB6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Exclusion reasons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A335C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Methods, Study population (p. 7); Results (pp. 12, 16); Figure 2 (p. 34). Reasons and counts for exclusions are shown, including absent/late AKI, incomplete phosphate measurements, short ICU stay and pre-existing renal disease in MIMIC-IV.</w:t>
            </w:r>
          </w:p>
        </w:tc>
      </w:tr>
      <w:tr w14:paraId="17F97B5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5589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42D7C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13c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5543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Participant-flow diagram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F4FE6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Figure 2, Flow diagram of cohort selection (p. 34; legend p. 30), presents the MIMIC-IV and eICU-CRD selection pathways.</w:t>
            </w:r>
          </w:p>
        </w:tc>
      </w:tr>
      <w:tr w14:paraId="59AC21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5AB95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04FB3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14a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6000A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Participant characteristics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7B8E4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Results, Characteristics of the three serum phosphate trajectories (pp. 13–14); Table 2 (pp. 39–41). Reports MIMIC-IV demographic characteristics, severity, comorbidities, laboratory results and treatments by trajectory. </w:t>
            </w:r>
          </w:p>
        </w:tc>
      </w:tr>
      <w:tr w14:paraId="6F9707C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0496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04BD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14b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51B83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Missingness by variable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6268A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Partially reported. Results, Missing data (p. 12); Table S1 and Figure S1 report variable-level missing percentages, and Figure S2 compares distributions before/after imputation.</w:t>
            </w:r>
          </w:p>
        </w:tc>
      </w:tr>
      <w:tr w14:paraId="19A46B9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894DA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3EFAA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14c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1752C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Follow-up duration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72400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Partially reported. Methods, Outcomes and 72-hour landmark design (p. 10), specifies maximum post-landmark follow-up of approximately 4, 25 and 87 days for the day-7, day-28 and day-90 endpoints. </w:t>
            </w:r>
          </w:p>
        </w:tc>
      </w:tr>
      <w:tr w14:paraId="14AEA7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23915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9B930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15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09DC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Outcome counts over time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A0DAD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Results, Mortality risk associated with early serum phosphate trajectories (p. 14), and External evaluation in eICU-CRD (p. 16); Figure 4 (p. 36). Reports MIMIC-IV mortality percentages at 7, 28 and 90 days and eICU day-28 death counts by group (288, 85 and 11; total 384). </w:t>
            </w:r>
          </w:p>
        </w:tc>
      </w:tr>
      <w:tr w14:paraId="5B38A08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D6E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BED6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16a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2F71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Crude and adjusted estimates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5AB60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Results, Cox regression analysis (pp. 14–15) and External evaluation in eICU-CRD (p. 16); Figure 5 (p. 37); Tables S3–S5 and S11. Reports crude/adjusted HRs and 95% CIs. Adjustment rationale appears in Methods (pp. 10–11). The Model 3 race-covariate discrepancy noted under item 12a needs reconciliation.</w:t>
            </w:r>
          </w:p>
        </w:tc>
      </w:tr>
      <w:tr w14:paraId="3C0D8D1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59FE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FF514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16b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5BC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Category boundaries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ABFFE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Methods (pp. 9–11); Results, Characteristics of the three serum phosphate trajectories (p. 13); Figures 3 (p. 35) and 6 (p. 38). Trajectories are latent classes without fixed phosphate boundaries; 2.5–4.5 mg/dL is interpretive only. Age and SOFA category boundaries are explicitly stated.</w:t>
            </w:r>
          </w:p>
        </w:tc>
      </w:tr>
      <w:tr w14:paraId="220FB75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1A8FD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BCFEA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16c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743E6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Absolute-risk translation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8BDEC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Results (pp. 14, 16); Figure 4 (p. 36). Observed group-specific absolute mortality percentages are reported for defined time horizons. Adjusted HRs are not translated into adjusted absolute risks or risk differences.</w:t>
            </w:r>
          </w:p>
        </w:tc>
      </w:tr>
      <w:tr w14:paraId="64AACD0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CFC10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Results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E5433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17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227BD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Additional analyses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D69A5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Results, Subgroup analyses (pp. 15–16) and External evaluation in eICU-CRD (p. 16); Figure 6 (p. 38); Tables S5–S11 and Figure S3. Reports interaction analyses, extended adjustment, collinearity checks and external classification/mortality results.</w:t>
            </w:r>
          </w:p>
        </w:tc>
      </w:tr>
      <w:tr w14:paraId="2E86ED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74C6E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Discussion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D1FF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18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EB492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Key results and objectives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34AC7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Discussion, opening paragraph (p. 17); Conclusions (pp. 20–21). Summarizes the three phosphate patterns, adjusted mortality associations, landmark design and external evaluation in relation to the objectives.</w:t>
            </w:r>
          </w:p>
        </w:tc>
      </w:tr>
      <w:tr w14:paraId="430B3A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E196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Discussion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7AAD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19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AA087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Limitations and bias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643F4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 xml:space="preserve">Discussion, limitations paragraph (p. 20). Addresses retrospective design, residual confounding, few deaths in the rare external class, and unavailable supplementation/nutrition/dialysis details. </w:t>
            </w:r>
          </w:p>
        </w:tc>
      </w:tr>
      <w:tr w14:paraId="5E6FA3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00625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Discussion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FD67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20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43DD8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Cautious overall interpretation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B6910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Discussion (pp. 17–20); Conclusions (pp. 20–21). Interprets associations alongside prior research and biological mechanisms, notes attenuation after adjustment, limits causal inference, and calls for prospective evaluation. Conclusions acknowledge the unconfirmed rare-class association in eICU.</w:t>
            </w:r>
          </w:p>
        </w:tc>
      </w:tr>
      <w:tr w14:paraId="51ABCB6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1F10B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Discussion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182F3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21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BDC1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Generalizability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16A9C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Discussion (pp. 17, 20); Conclusions (pp. 20–21). Discusses external multicenter evaluation and model transportability, while noting limited precision for the rare high-phosphate group and the need for further validation. Applicability to patients excluded by the early-AKI/three-day measurement criteria is not explicitly discussed.</w:t>
            </w:r>
            <w:bookmarkStart w:id="0" w:name="_GoBack"/>
            <w:bookmarkEnd w:id="0"/>
          </w:p>
        </w:tc>
      </w:tr>
      <w:tr w14:paraId="19C3E11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C21F9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Other information</w:t>
            </w:r>
          </w:p>
        </w:tc>
        <w:tc>
          <w:tcPr>
            <w:tcW w:w="56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9B1F9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22</w:t>
            </w:r>
          </w:p>
        </w:tc>
        <w:tc>
          <w:tcPr>
            <w:tcW w:w="17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BF1EE">
            <w:pPr>
              <w:keepNext w:val="0"/>
              <w:spacing w:before="0" w:after="40"/>
            </w:pPr>
            <w:r>
              <w:rPr>
                <w:rFonts w:ascii="Arial" w:hAnsi="Arial"/>
                <w:b w:val="0"/>
                <w:color w:val="000000"/>
                <w:sz w:val="18"/>
              </w:rPr>
              <w:t>Funding and funder roles</w:t>
            </w:r>
          </w:p>
        </w:tc>
        <w:tc>
          <w:tcPr>
            <w:tcW w:w="67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9D1C4">
            <w:pPr>
              <w:keepNext w:val="0"/>
              <w:spacing w:before="0" w:after="40"/>
            </w:pPr>
            <w:r>
              <w:rPr>
                <w:rFonts w:ascii="Arial" w:hAnsi="Arial"/>
                <w:sz w:val="18"/>
              </w:rPr>
              <w:t>Declarations, Funding (p. 24). States that the research received no specific grant from public, commercial or not-for-profit funding agencies. No study-specific funder is identified; a funder role is therefore not applicable.</w:t>
            </w:r>
          </w:p>
        </w:tc>
      </w:tr>
    </w:tbl>
    <w:p w14:paraId="5FA51AD1">
      <w:pPr>
        <w:spacing w:before="120"/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9" w:h="16834"/>
      <w:pgMar w:top="936" w:right="864" w:bottom="936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43CE2">
    <w:pPr>
      <w:pStyle w:val="2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95E47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842EE">
    <w:pPr>
      <w:pStyle w:val="2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F6E72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AD457D"/>
    <w:rsid w:val="38B04F45"/>
    <w:rsid w:val="6B12373B"/>
    <w:rsid w:val="74E20B33"/>
    <w:rsid w:val="7D153AF6"/>
    <w:rsid w:val="7E63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2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1411</Words>
  <Characters>9111</Characters>
  <Lines>0</Lines>
  <Paragraphs>0</Paragraphs>
  <TotalTime>3</TotalTime>
  <ScaleCrop>false</ScaleCrop>
  <LinksUpToDate>false</LinksUpToDate>
  <CharactersWithSpaces>10381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于越</cp:lastModifiedBy>
  <dcterms:modified xsi:type="dcterms:W3CDTF">2026-09-28T11:37:13Z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eyJoZGlkIjoiNWVjYWMyN2I0YWRhYjI4NDVhNjIyYTFkMDkyZWZjNTQiLCJ1c2VySWQiOiIzNDIwOTA4OTkifQ==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FA63742B813D449BB8655221E90B733A_13</vt:lpwstr>
  </property>
</Properties>
</file>