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</w:pPr>
      <w:r>
        <w:t>Supplementary figures and tables</w:t>
      </w:r>
    </w:p>
    <w:p/>
    <w:p>
      <w:pPr>
        <w:spacing w:after="480"/>
        <w:jc w:val="left"/>
        <w:rPr>
          <w:rFonts w:hint="eastAsia" w:ascii="Arial" w:hAnsi="Arial" w:eastAsia="宋体"/>
          <w:b/>
          <w:color w:val="000000"/>
          <w:sz w:val="25"/>
          <w:lang w:eastAsia="zh-CN"/>
        </w:rPr>
      </w:pPr>
      <w:r>
        <w:rPr>
          <w:rFonts w:ascii="Arial" w:hAnsi="Arial"/>
          <w:b/>
          <w:color w:val="000000"/>
          <w:sz w:val="25"/>
          <w:lang w:val="en-US" w:eastAsia="zh-CN"/>
        </w:rPr>
        <w:t>Supplementary Figure S1. Flow diagram of the independent external validation</w:t>
      </w:r>
      <w:r>
        <w:rPr>
          <w:rFonts w:hint="eastAsia"/>
          <w:b/>
          <w:color w:val="000000"/>
          <w:sz w:val="25"/>
          <w:lang w:val="en-US" w:eastAsia="zh-CN"/>
        </w:rPr>
        <w:t xml:space="preserve"> </w:t>
      </w:r>
      <w:r>
        <w:rPr>
          <w:rFonts w:ascii="Arial" w:hAnsi="Arial"/>
          <w:b/>
          <w:color w:val="000000"/>
          <w:sz w:val="25"/>
          <w:lang w:val="en-US" w:eastAsia="zh-CN"/>
        </w:rPr>
        <w:t>cohort</w:t>
      </w:r>
      <w:r>
        <w:rPr>
          <w:rFonts w:hint="eastAsia" w:ascii="Arial" w:hAnsi="Arial" w:eastAsia="宋体"/>
          <w:b/>
          <w:color w:val="000000"/>
          <w:sz w:val="25"/>
          <w:lang w:eastAsia="zh-CN"/>
        </w:rPr>
        <w:drawing>
          <wp:inline distT="0" distB="0" distL="114300" distR="114300">
            <wp:extent cx="9144000" cy="6216650"/>
            <wp:effectExtent l="0" t="0" r="0" b="6350"/>
            <wp:docPr id="8" name="图片 8" descr="Supplementary_Figure_S1_external_validation_flow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upplementary_Figure_S1_external_validation_flow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0" cy="621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Arial" w:hAnsi="Arial"/>
          <w:b w:val="0"/>
          <w:bCs/>
          <w:color w:val="000000"/>
          <w:sz w:val="18"/>
          <w:lang w:val="en-US" w:eastAsia="zh-CN"/>
        </w:rPr>
      </w:pPr>
      <w:r>
        <w:rPr>
          <w:rFonts w:ascii="Arial" w:hAnsi="Arial"/>
          <w:b/>
          <w:color w:val="000000"/>
          <w:sz w:val="25"/>
          <w:lang w:val="en-US" w:eastAsia="zh-CN"/>
        </w:rPr>
        <w:t>Figure S2. Development-cohort construction, predictor completeness, and outcome availability.</w:t>
      </w:r>
      <w:r>
        <w:rPr>
          <w:rFonts w:ascii="Arial" w:hAnsi="Arial"/>
          <w:b/>
          <w:color w:val="000000"/>
          <w:sz w:val="25"/>
          <w:lang w:val="en-US" w:eastAsia="zh-CN"/>
        </w:rPr>
        <w:br w:type="textWrapping"/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t>A, Detailed construction of the 4,773-patient development cohort and the three parallel analytical modules with outcome-specific time scales.</w:t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br w:type="textWrapping"/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t>B, Missingness of the frozen-model predictors before multiple imputation. BMI had the highest proportion of missing values (15.8%), followed by albumin (3.2%), haemoglobin (1.9%), and creatinine (1.2%).</w:t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br w:type="textWrapping"/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t>C, Availability of major outcomes across the development and external validation analyses, including long-term mortality, common-cutoff mortality, first refracture, post-refracture death, and 1-year mortality. Bars show observed events relative to the corresponding eligible denominator.</w:t>
      </w:r>
    </w:p>
    <w:p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4869815" cy="5768340"/>
            <wp:effectExtent l="0" t="0" r="6985" b="228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9815" cy="576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Arial" w:hAnsi="Arial"/>
          <w:b/>
          <w:color w:val="000000"/>
          <w:sz w:val="25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ascii="Arial" w:hAnsi="Arial"/>
          <w:b w:val="0"/>
          <w:bCs/>
          <w:color w:val="000000"/>
          <w:sz w:val="18"/>
          <w:lang w:val="en-US" w:eastAsia="zh-CN"/>
        </w:rPr>
      </w:pPr>
      <w:r>
        <w:rPr>
          <w:rFonts w:ascii="Arial" w:hAnsi="Arial"/>
          <w:b/>
          <w:color w:val="000000"/>
          <w:sz w:val="25"/>
          <w:lang w:val="en-US" w:eastAsia="zh-CN"/>
        </w:rPr>
        <w:t>Figure S3. Mortality according to category.</w:t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br w:type="textWrapping"/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t>A, Kaplan–Meier cumulative all-cause mortality from index admission across the five fracture categories.</w:t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br w:type="textWrapping"/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t>B, Five-year cumulative mortality by fracture category. Points represent risk estimates and horizontal bars 95% confidence intervals. These estimates are unadjusted and describe the absolute mortality burden within each fracture category.</w:t>
      </w:r>
    </w:p>
    <w:p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6094730" cy="5660390"/>
            <wp:effectExtent l="0" t="0" r="127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473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ascii="Arial" w:hAnsi="Arial"/>
          <w:b/>
          <w:color w:val="000000"/>
          <w:sz w:val="25"/>
        </w:rPr>
      </w:pPr>
      <w:r>
        <w:rPr>
          <w:rFonts w:ascii="Arial" w:hAnsi="Arial"/>
          <w:b/>
          <w:color w:val="000000"/>
          <w:sz w:val="25"/>
          <w:lang w:val="en-US" w:eastAsia="zh-CN"/>
        </w:rPr>
        <w:t>Figure S4. First-refracture cumulative incidence according to index fracture category.</w:t>
      </w:r>
    </w:p>
    <w:p>
      <w:pPr>
        <w:keepNext w:val="0"/>
        <w:keepLines w:val="0"/>
        <w:widowControl/>
        <w:suppressLineNumbers w:val="0"/>
        <w:jc w:val="left"/>
        <w:rPr>
          <w:rFonts w:ascii="Arial" w:hAnsi="Arial"/>
          <w:b w:val="0"/>
          <w:bCs/>
          <w:color w:val="000000"/>
          <w:sz w:val="18"/>
          <w:lang w:val="en-US" w:eastAsia="zh-CN"/>
        </w:rPr>
      </w:pPr>
      <w:r>
        <w:rPr>
          <w:rFonts w:ascii="Arial" w:hAnsi="Arial"/>
          <w:b w:val="0"/>
          <w:bCs/>
          <w:color w:val="000000"/>
          <w:sz w:val="18"/>
          <w:lang w:val="en-US" w:eastAsia="zh-CN"/>
        </w:rPr>
        <w:t>A, Cumulative incidence of first refracture across the five fracture categories, with death treated as a competing event.</w:t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br w:type="textWrapping"/>
      </w:r>
      <w:r>
        <w:rPr>
          <w:rFonts w:ascii="Arial" w:hAnsi="Arial"/>
          <w:b w:val="0"/>
          <w:bCs/>
          <w:color w:val="000000"/>
          <w:sz w:val="18"/>
          <w:lang w:val="en-US" w:eastAsia="zh-CN"/>
        </w:rPr>
        <w:t>B, Five-year competing-risk estimates of first refracture by fracture category. Points represent cumulative incidence estimates and horizontal bars 95% confidence intervals.</w:t>
      </w:r>
    </w:p>
    <w:p>
      <w:pPr>
        <w:keepNext w:val="0"/>
        <w:keepLines w:val="0"/>
        <w:widowControl/>
        <w:suppressLineNumbers w:val="0"/>
        <w:jc w:val="center"/>
      </w:pPr>
      <w:r>
        <w:drawing>
          <wp:inline distT="0" distB="0" distL="114300" distR="114300">
            <wp:extent cx="6305550" cy="5857240"/>
            <wp:effectExtent l="0" t="0" r="19050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58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0"/>
        <w:keepNext w:val="0"/>
        <w:keepLines w:val="0"/>
        <w:widowControl/>
        <w:suppressLineNumbers w:val="0"/>
        <w:spacing w:before="0" w:beforeAutospacing="1" w:after="0" w:afterAutospacing="1"/>
        <w:ind w:left="0" w:right="0"/>
      </w:pPr>
      <w:r>
        <w:rPr>
          <w:rFonts w:ascii="Arial" w:hAnsi="Arial" w:eastAsiaTheme="minorEastAsia" w:cstheme="minorBidi"/>
          <w:b/>
          <w:color w:val="000000"/>
          <w:sz w:val="25"/>
          <w:szCs w:val="22"/>
          <w:lang w:val="en-US" w:eastAsia="zh-CN" w:bidi="ar-SA"/>
        </w:rPr>
        <w:t>Figure S5. Model diagnostics for the long-term mortality analysis.</w:t>
      </w:r>
      <w: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A, Nonlinear association between age and adjusted all-cause mortality estimated using restricted cubic splines, with 68 years as the reference; shading represents the 95% confidence interval.</w:t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B, Proportional-hazards diagnostics based on median Schoenfeld-residual test P values across 30 imputed datasets; the dashed vertical line marks P = 0.05.</w:t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C, Adjusted mortality hazard ratios for continuous predictor contrasts. Points represent hazard-ratio estimates and ho</w:t>
      </w:r>
      <w:bookmarkStart w:id="0" w:name="_GoBack"/>
      <w:bookmarkEnd w:id="0"/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rizontal bars 95% confidence intervals. Inclusion of these variables in the prediction model does not by itself imply an independent prognostic association.</w:t>
      </w:r>
    </w:p>
    <w:p>
      <w:pPr>
        <w:spacing w:after="100"/>
        <w:jc w:val="center"/>
      </w:pPr>
      <w:r>
        <w:drawing>
          <wp:inline distT="0" distB="0" distL="114300" distR="114300">
            <wp:extent cx="6446520" cy="5477510"/>
            <wp:effectExtent l="0" t="0" r="508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5477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Arial" w:hAnsi="Arial"/>
          <w:b/>
          <w:color w:val="000000"/>
          <w:sz w:val="25"/>
          <w:lang w:val="en-US" w:eastAsia="zh-CN"/>
        </w:rPr>
        <w:t>Figure S6. Internal validation and external calibration of the 365-day mortality model.</w:t>
      </w:r>
      <w:r>
        <w:rPr>
          <w:rFonts w:ascii="Arial" w:hAnsi="Arial"/>
          <w:b/>
          <w:color w:val="000000"/>
          <w:sz w:val="25"/>
          <w:lang w:val="en-US" w:eastAsia="zh-CN"/>
        </w:rP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A, Distribution of optimism-corrected 365-day AUC values across 500 bootstrap repetitions. The solid vertical line indicates the final optimism-corrected AUC of 0.860.</w:t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B, Distribution of optimism-corrected calibration slopes across 500 bootstrap repetitions. The solid vertical line indicates the final corrected slope of 0.958, and the dashed line denotes the ideal slope of 1.</w:t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C, Grouped external calibration in the independent validation cohort, comparing observed with mean predicted 365-day mortality across predicted-risk groups. Error bars represent 95% confidence intervals; the dashed diagonal indicates perfect calibration.</w:t>
      </w:r>
    </w:p>
    <w:p>
      <w:pPr>
        <w:spacing w:after="100"/>
        <w:jc w:val="center"/>
      </w:pPr>
      <w:r>
        <w:drawing>
          <wp:inline distT="0" distB="0" distL="114300" distR="114300">
            <wp:extent cx="6446520" cy="5782945"/>
            <wp:effectExtent l="0" t="0" r="508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578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Arial" w:hAnsi="Arial"/>
          <w:b/>
          <w:color w:val="000000"/>
          <w:sz w:val="25"/>
          <w:lang w:val="en-US" w:eastAsia="zh-CN"/>
        </w:rPr>
        <w:t>Figure S7. Exploratory decision-curve analysis of the frozen 365-day mortality model.</w:t>
      </w:r>
      <w:r>
        <w:rPr>
          <w:rFonts w:ascii="Arial" w:hAnsi="Arial"/>
          <w:b/>
          <w:color w:val="000000"/>
          <w:sz w:val="25"/>
          <w:lang w:val="en-US" w:eastAsia="zh-CN"/>
        </w:rP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A, Net benefit of the frozen model across risk thresholds compared with treat-all and treat-none strategies. Shading represents 95% bootstrap intervals from 2,000 patient-level resamples.</w:t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br w:type="textWrapping"/>
      </w:r>
      <w:r>
        <w:rPr>
          <w:rFonts w:ascii="Arial" w:hAnsi="Arial" w:eastAsiaTheme="minorEastAsia" w:cstheme="minorBidi"/>
          <w:b w:val="0"/>
          <w:bCs/>
          <w:color w:val="000000"/>
          <w:sz w:val="18"/>
          <w:szCs w:val="22"/>
          <w:lang w:val="en-US" w:eastAsia="zh-CN" w:bidi="ar-SA"/>
        </w:rPr>
        <w:t>B, Difference in net benefit between the frozen model and the better default strategy at each threshold. Positive values favour the model; highlighted points indicate thresholds at which the 95% bootstrap interval excluded zero. Given the limited number of external deaths and the absence of a prespecified clinical intervention threshold, these analyses were considered exploratory.</w:t>
      </w:r>
    </w:p>
    <w:p>
      <w:pPr>
        <w:spacing w:after="100"/>
        <w:jc w:val="center"/>
        <w:rPr>
          <w:rFonts w:ascii="Arial" w:hAnsi="Arial"/>
          <w:b/>
          <w:color w:val="000000"/>
          <w:sz w:val="25"/>
        </w:rPr>
      </w:pPr>
      <w:r>
        <w:drawing>
          <wp:inline distT="0" distB="0" distL="114300" distR="114300">
            <wp:extent cx="6446520" cy="5634990"/>
            <wp:effectExtent l="0" t="0" r="508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5635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S1  Definitions of predictors and outcomes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3614"/>
        <w:gridCol w:w="3614"/>
        <w:gridCol w:w="3614"/>
      </w:tblGrid>
      <w:tr>
        <w:trPr>
          <w:tblHeader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Variable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Definition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Unit/coding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Analysis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Age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Age at index admission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Years; restricted cubic spline knots 54, 68, 85 in mortality models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Prognostic and prediction models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Sex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Recorded sex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Female = 1; male = 0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Prognostic and prediction models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Fracture category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rFonts w:ascii="Arial" w:hAnsi="Arial"/>
                <w:b w:val="0"/>
                <w:color w:val="000000"/>
                <w:sz w:val="16"/>
              </w:rPr>
            </w:pPr>
            <w:r>
              <w:rPr>
                <w:rFonts w:ascii="Arial" w:hAnsi="Arial"/>
                <w:b w:val="0"/>
                <w:color w:val="000000"/>
                <w:sz w:val="16"/>
                <w:lang w:val="en-US" w:eastAsia="zh-CN"/>
              </w:rPr>
              <w:t>Index fracture category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Hip/femur; lumbar spine/pelvis; thoracic spine/rib; forearm/wrist; shoulder/proximal humerus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All modules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BMI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Body mass index at baseline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kg/m²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Adjustment and prediction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ASA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American Society of Anesthesiologists physical-status class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I–IV; prediction uses III–IV vs I–II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Adjustment and prediction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CCI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rFonts w:ascii="Arial" w:hAnsi="Arial"/>
                <w:b w:val="0"/>
                <w:color w:val="000000"/>
                <w:sz w:val="16"/>
              </w:rPr>
            </w:pPr>
            <w:r>
              <w:rPr>
                <w:rFonts w:ascii="Arial" w:hAnsi="Arial"/>
                <w:b w:val="0"/>
                <w:color w:val="000000"/>
                <w:sz w:val="16"/>
                <w:lang w:val="en-US" w:eastAsia="zh-CN"/>
              </w:rPr>
              <w:t>Source-provided Charlson Comorbidity Index without age points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Integer score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Adjustment and prediction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Haemoglobin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Baseline haemoglobin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g/L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Adjustment and prediction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Albumin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Baseline serum albumin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g/L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Adjustment and prediction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Creatinine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Baseline serum creatinine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µmol/L; log2 transformation in models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Adjustment and prediction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Long-term mortality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All-cause mortality after the index admission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Time from index admission; follow-up through April 24, 2024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Kaplan–Meier and Cox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First refracture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First recorded refracture after the index fracture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Time from index admission; death is a competing event; common censoring March 24, 2024</w:t>
            </w: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CIF, cause-specific Cox, Fine–Gray</w:t>
            </w:r>
          </w:p>
        </w:tc>
      </w:tr>
      <w:tr>
        <w:trPr>
          <w:cantSplit/>
          <w:jc w:val="center"/>
        </w:trPr>
        <w:tc>
          <w:tcPr>
            <w:tcW w:w="211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Prediction outcome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All-cause mortality within 365 days after discharge</w:t>
            </w:r>
          </w:p>
        </w:tc>
        <w:tc>
          <w:tcPr>
            <w:tcW w:w="422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rFonts w:ascii="Arial" w:hAnsi="Arial"/>
                <w:b w:val="0"/>
                <w:color w:val="000000"/>
                <w:sz w:val="16"/>
              </w:rPr>
            </w:pPr>
            <w:r>
              <w:rPr>
                <w:rFonts w:ascii="Arial" w:hAnsi="Arial"/>
                <w:b w:val="0"/>
                <w:color w:val="000000"/>
                <w:sz w:val="16"/>
                <w:lang w:val="en-US" w:eastAsia="zh-CN"/>
              </w:rPr>
              <w:t>Time-to-event endpoint from hospital discharge to all-cause death, evaluated at 365 days; patients with shorter available follow-up were censored at last observation</w:t>
            </w:r>
          </w:p>
          <w:p>
            <w:pPr>
              <w:spacing w:before="0" w:after="0"/>
              <w:jc w:val="left"/>
              <w:rPr>
                <w:rFonts w:ascii="Arial" w:hAnsi="Arial"/>
                <w:b w:val="0"/>
                <w:color w:val="000000"/>
                <w:sz w:val="16"/>
              </w:rPr>
            </w:pPr>
          </w:p>
        </w:tc>
        <w:tc>
          <w:tcPr>
            <w:tcW w:w="377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Frozen 1-year mortality model</w:t>
            </w:r>
          </w:p>
        </w:tc>
      </w:tr>
    </w:tbl>
    <w:p>
      <w:pPr>
        <w:spacing w:after="40"/>
      </w:pPr>
    </w:p>
    <w:p>
      <w:pPr>
        <w:pageBreakBefore/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S2  Full adjusted mortality model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  <w:gridCol w:w="4819"/>
      </w:tblGrid>
      <w:tr>
        <w:trPr>
          <w:tblHeader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Term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Adjusted HR (95% CI)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P value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Age, restricted cubic spline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Interpret jointly in Figure S</w:t>
            </w:r>
            <w:r>
              <w:rPr>
                <w:rFonts w:hint="eastAsia" w:eastAsia="宋体"/>
                <w:b w:val="0"/>
                <w:color w:val="000000"/>
                <w:sz w:val="16"/>
                <w:lang w:val="en-US" w:eastAsia="zh-CN"/>
              </w:rPr>
              <w:t>5</w:t>
            </w:r>
            <w:r>
              <w:rPr>
                <w:rFonts w:ascii="Arial" w:hAnsi="Arial"/>
                <w:b w:val="0"/>
                <w:color w:val="000000"/>
                <w:sz w:val="16"/>
              </w:rPr>
              <w:t>A; reference age 68 years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Overall &lt;0.001; nonlinearity &lt;0.001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Female vs male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0.64 (0.54–0.76)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&lt;0.001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Lumbar spine/pelvis vs hip/femur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0.78 (0.62–0.98)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0.037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Thoracic spine/rib vs hip/femur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0.65 (0.48–0.88)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0.005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Forearm/wrist vs hip/femur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0.47 (0.28–0.80)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0.006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Shoulder/proximal humerus vs hip/femur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0.36 (0.19–0.71)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0.003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BMI, per 5 kg/m2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0.91 (0.78–1.06)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0.217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ASA III-IV vs I-II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1.57 (1.31–1.90)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&lt;0.001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CCI, per point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1.31 (1.19–1.44)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&lt;0.001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Haemoglobin, per 10 g/L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1.00 (0.94–1.05)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0.878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Albumin, per 5 g/L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0.93 (0.83–1.04)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0.218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Creatinine, per doubling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1.17 (0.98–1.39)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0.084</w:t>
            </w:r>
          </w:p>
        </w:tc>
      </w:tr>
      <w:tr>
        <w:trPr>
          <w:cantSplit/>
          <w:jc w:val="center"/>
        </w:trPr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Admission year, per year</w:t>
            </w:r>
          </w:p>
        </w:tc>
        <w:tc>
          <w:tcPr>
            <w:tcW w:w="490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0.99 (0.94–1.05)</w:t>
            </w:r>
          </w:p>
        </w:tc>
        <w:tc>
          <w:tcPr>
            <w:tcW w:w="45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0.791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Arial" w:hAnsi="Arial"/>
          <w:b/>
          <w:color w:val="000000"/>
          <w:sz w:val="16"/>
        </w:rPr>
        <w:t xml:space="preserve">Note. </w:t>
      </w:r>
      <w:r>
        <w:rPr>
          <w:rFonts w:ascii="Arial" w:hAnsi="Arial"/>
          <w:b w:val="0"/>
          <w:color w:val="000000"/>
          <w:sz w:val="16"/>
        </w:rPr>
        <w:t>Age was modeled as a restricted cubic spline. The two basis coefficients are not presented as separate clinical effects; the overall and nonlinearity P values are joint model-based tests from the frozen pooled coefficient vector and covariance matrix.</w:t>
      </w:r>
    </w:p>
    <w:p>
      <w:pPr>
        <w:pageBreakBefore/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S3  Full competing-risk refracture models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  <w:gridCol w:w="4819"/>
      </w:tblGrid>
      <w:tr>
        <w:trPr>
          <w:tblHeader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Term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Cause-specific HR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Fine–Gray sHR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Age, per 10 years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1.45 (1.26–1.67)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1.36 (1.18–1.57)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Female vs male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1.47 (1.09–1.98)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1.54 (1.14–2.08)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Lumbar spine/pelvis vs hip/femur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1.61 (1.15–2.24)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1.69 (1.17–2.44)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Thoracic spine/rib vs hip/femur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1.61 (1.11–2.34)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1.73 (1.17–2.55)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Forearm/wrist vs hip/femur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1.26 (0.79–2.02)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1.32 (0.81–2.15)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Shoulder/proximal humerus vs hip/femur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0.99 (0.50–1.93)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1.07 (0.54–2.14)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BMI, per 5 kg/m2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0.93 (0.75–1.16)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0.94 (0.75–1.17)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ASA III-IV vs I-II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1.08 (0.79–1.49)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1.01 (0.72–1.41)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CCI, per point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1.25 (1.05–1.50)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1.20 (0.99–1.44)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Haemoglobin, per 10 g/L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0.93 (0.86–1.01)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0.94 (0.86–1.02)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Albumin, per 5 g/L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1.00 (0.84–1.19)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1.01 (0.85–1.19)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Creatinine, per doubling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0.84 (0.64–1.11)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0.82 (0.64–1.06)</w:t>
            </w:r>
          </w:p>
        </w:tc>
      </w:tr>
      <w:tr>
        <w:trPr>
          <w:cantSplit/>
          <w:jc w:val="center"/>
        </w:trPr>
        <w:tc>
          <w:tcPr>
            <w:tcW w:w="76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Admission year, per year</w:t>
            </w:r>
          </w:p>
        </w:tc>
        <w:tc>
          <w:tcPr>
            <w:tcW w:w="343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0.90 (0.83–0.97)</w:t>
            </w:r>
          </w:p>
        </w:tc>
        <w:tc>
          <w:tcPr>
            <w:tcW w:w="322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0.87 (0.81–0.94)</w:t>
            </w:r>
          </w:p>
        </w:tc>
      </w:tr>
    </w:tbl>
    <w:p>
      <w:pPr>
        <w:spacing w:after="40"/>
      </w:pPr>
    </w:p>
    <w:p>
      <w:pPr>
        <w:pageBreakBefore/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S4  State-transition counts and person-time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3614"/>
        <w:gridCol w:w="3614"/>
        <w:gridCol w:w="3614"/>
      </w:tblGrid>
      <w:tr>
        <w:trPr>
          <w:tblHeader/>
          <w:jc w:val="center"/>
        </w:trPr>
        <w:tc>
          <w:tcPr>
            <w:tcW w:w="544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Transition</w:t>
            </w:r>
          </w:p>
        </w:tc>
        <w:tc>
          <w:tcPr>
            <w:tcW w:w="114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Events</w:t>
            </w:r>
          </w:p>
        </w:tc>
        <w:tc>
          <w:tcPr>
            <w:tcW w:w="25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Person-time, years</w:t>
            </w:r>
          </w:p>
        </w:tc>
        <w:tc>
          <w:tcPr>
            <w:tcW w:w="515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Rate per 1,000 person-years (95% CI)</w:t>
            </w:r>
          </w:p>
        </w:tc>
      </w:tr>
      <w:tr>
        <w:trPr>
          <w:cantSplit/>
          <w:jc w:val="center"/>
        </w:trPr>
        <w:tc>
          <w:tcPr>
            <w:tcW w:w="544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Alive without refracture → first refracture</w:t>
            </w:r>
          </w:p>
        </w:tc>
        <w:tc>
          <w:tcPr>
            <w:tcW w:w="114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252</w:t>
            </w:r>
          </w:p>
        </w:tc>
        <w:tc>
          <w:tcPr>
            <w:tcW w:w="25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14016.3</w:t>
            </w:r>
          </w:p>
        </w:tc>
        <w:tc>
          <w:tcPr>
            <w:tcW w:w="515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18.0 (15.8–20.3)</w:t>
            </w:r>
          </w:p>
        </w:tc>
      </w:tr>
      <w:tr>
        <w:trPr>
          <w:cantSplit/>
          <w:jc w:val="center"/>
        </w:trPr>
        <w:tc>
          <w:tcPr>
            <w:tcW w:w="544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Alive without refracture → direct death</w:t>
            </w:r>
          </w:p>
        </w:tc>
        <w:tc>
          <w:tcPr>
            <w:tcW w:w="114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516</w:t>
            </w:r>
          </w:p>
        </w:tc>
        <w:tc>
          <w:tcPr>
            <w:tcW w:w="25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14016.3</w:t>
            </w:r>
          </w:p>
        </w:tc>
        <w:tc>
          <w:tcPr>
            <w:tcW w:w="515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36.8 (33.7–40.1)</w:t>
            </w:r>
          </w:p>
        </w:tc>
      </w:tr>
      <w:tr>
        <w:trPr>
          <w:cantSplit/>
          <w:jc w:val="center"/>
        </w:trPr>
        <w:tc>
          <w:tcPr>
            <w:tcW w:w="544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Refracture → death</w:t>
            </w:r>
          </w:p>
        </w:tc>
        <w:tc>
          <w:tcPr>
            <w:tcW w:w="114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51</w:t>
            </w:r>
          </w:p>
        </w:tc>
        <w:tc>
          <w:tcPr>
            <w:tcW w:w="25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542.9</w:t>
            </w:r>
          </w:p>
        </w:tc>
        <w:tc>
          <w:tcPr>
            <w:tcW w:w="515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93.9 (69.9–123.5)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Arial" w:hAnsi="Arial"/>
          <w:b/>
          <w:color w:val="000000"/>
          <w:sz w:val="16"/>
        </w:rPr>
        <w:t xml:space="preserve">Note. </w:t>
      </w:r>
      <w:r>
        <w:rPr>
          <w:rFonts w:ascii="Arial" w:hAnsi="Arial"/>
          <w:b w:val="0"/>
          <w:color w:val="000000"/>
          <w:sz w:val="16"/>
        </w:rPr>
        <w:t>Transition rates are crude descriptive rates and should not be interpreted as causal contrasts.</w:t>
      </w:r>
    </w:p>
    <w:p>
      <w:pPr>
        <w:pageBreakBefore/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S5  Frozen prediction model specification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14"/>
        <w:gridCol w:w="3614"/>
        <w:gridCol w:w="3614"/>
        <w:gridCol w:w="3614"/>
      </w:tblGrid>
      <w:tr>
        <w:trPr>
          <w:tblHeader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Term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Coefficient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Center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Transformation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Age, RCS basis 1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0.18140691873656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68.7540331028703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Hmisc::rcspline.eval(age, knots=c(54,68,85), inclx=TRUE, norm=2), basis 1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Age, RCS basis 2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-0.0854664164180374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7.01454131674929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Hmisc::rcspline.eval(age, knots=c(54,68,85), inclx=TRUE, norm=2), basis 2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Female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-0.547602392705363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0.67672323486277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Female = 1; male reference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Lumbar spine/pelvis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-0.526383166201681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0.270060758432851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Indicator; hip/femur reference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Thoracic spine/rib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-0.692159642284934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0.151267546616384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Indicator; hip/femur reference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Forearm/wrist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-0.821412533551208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0.139744395558349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Indicator; hip/femur reference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Shoulder/proximal humerus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-1.69588681771102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0.085690341504295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Indicator; hip/femur reference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BMI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-0.00761166041093751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23.2743175466916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Identity; per 1 kg/m²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ASA III–IV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0.56506649166179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0.223549130525875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ASA III–IV = 1; ASA I–II reference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CCI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0.288521468196176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0.160276555625393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Identity; per point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Haemoglobin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-0.00284607293979383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125.094665828618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Identity; per 1 g/L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Albumin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-0.0228068475062984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39.9311886304925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Identity; per 1 g/L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log₂(creatinine)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0.284444261892893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5.95975607169204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log₂; per doubling</w:t>
            </w:r>
          </w:p>
        </w:tc>
      </w:tr>
      <w:tr>
        <w:trPr>
          <w:cantSplit/>
          <w:jc w:val="center"/>
        </w:trPr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Centered baseline survival at 365 days</w:t>
            </w:r>
          </w:p>
        </w:tc>
        <w:tc>
          <w:tcPr>
            <w:tcW w:w="253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0.987891407990899</w:t>
            </w:r>
          </w:p>
        </w:tc>
        <w:tc>
          <w:tcPr>
            <w:tcW w:w="215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—</w:t>
            </w:r>
          </w:p>
        </w:tc>
        <w:tc>
          <w:tcPr>
            <w:tcW w:w="481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Risk = 1 - S0(365)^exp(sum(beta_j * (x_j - center_j)))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Arial" w:hAnsi="Arial"/>
          <w:b/>
          <w:color w:val="000000"/>
          <w:sz w:val="16"/>
        </w:rPr>
        <w:t xml:space="preserve">Note. </w:t>
      </w:r>
      <w:r>
        <w:rPr>
          <w:rFonts w:ascii="Arial" w:hAnsi="Arial"/>
          <w:b w:val="0"/>
          <w:color w:val="000000"/>
          <w:sz w:val="16"/>
        </w:rPr>
        <w:t>The age basis was generated with Hmisc::rcspline.eval(age, knots = c(54, 68, 85), inclx = TRUE, norm = 2). Centers and coefficients are shown at full exported precision for independent reconstruction.</w:t>
      </w:r>
    </w:p>
    <w:p>
      <w:pPr>
        <w:pageBreakBefore/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S6  Strict internal validation procedure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9"/>
        <w:gridCol w:w="7229"/>
      </w:tblGrid>
      <w:tr>
        <w:trPr>
          <w:tblHeader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4"/>
              </w:rPr>
              <w:t>Item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4"/>
              </w:rPr>
              <w:t>Specification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Candidate model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Single frozen clinical Cox model; no repeated variable or algorithm selection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resampling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500 patient-level bootstrap samples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Within each bootstrap sample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Re-estimate the multiple-imputation model for missing predictors and generate 5 imputations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Evaluation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Fit in the bootstrap sample and test in the original sample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Optimism correction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Apparent performance minus mean bootstrap optimism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Completed repetitions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500/500 primary runs without recorded errors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Original imputation-model inputs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17 baseline variables: 9 model inputs plus admission year, hypertension, diabetes, heart disease, cerebrovascular disease, chronic kidney disease, surgery, and anti-osteoporosis treatment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Original imputation methods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Predictive mean matching for BMI, haemoglobin, albumin, and creatinine; all other baseline variables observed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Outcome-informed MI sensitivity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Same 17 baseline variables plus the 365-day death indicator and standardized Nelson-Aalen cumulative hazard as auxiliary predictors; 30 imputations; frozen model terms and spline knots unchanged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Outcome-informed sensitivity result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 xml:space="preserve">Frozen </w:t>
            </w:r>
            <w:r>
              <w:rPr>
                <w:rFonts w:hint="eastAsia" w:eastAsia="宋体"/>
                <w:b w:val="0"/>
                <w:color w:val="000000"/>
                <w:sz w:val="15"/>
                <w:lang w:val="en-US" w:eastAsia="zh-CN"/>
              </w:rPr>
              <w:t>model</w:t>
            </w:r>
            <w:r>
              <w:rPr>
                <w:rFonts w:ascii="Arial" w:hAnsi="Arial"/>
                <w:b w:val="0"/>
                <w:color w:val="000000"/>
                <w:sz w:val="15"/>
              </w:rPr>
              <w:t xml:space="preserve"> retained: external AUC 0.802 versus 0.801; slope 0.849 versus 0.849; O/E 1.006 versus 1.011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365-day AUC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0.86022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365-day Brier score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0.03695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Calibration intercept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-0.01779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Calibration slope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0.95778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Harrell C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0.85719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Integrated Brier score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0.02287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Mean predicted risk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0.04244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Observed risk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0.04258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Primary corrected O/E ratio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1.00801</w:t>
            </w:r>
          </w:p>
        </w:tc>
      </w:tr>
      <w:tr>
        <w:trPr>
          <w:cantSplit/>
          <w:jc w:val="center"/>
        </w:trPr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Sensitivity validation</w:t>
            </w:r>
          </w:p>
        </w:tc>
        <w:tc>
          <w:tcPr>
            <w:tcW w:w="716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100 bootstrap repetitions × 10 imputations; corrected AUC 0.86258; slope 0.96825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Arial" w:hAnsi="Arial"/>
          <w:b/>
          <w:color w:val="000000"/>
          <w:sz w:val="16"/>
        </w:rPr>
        <w:t xml:space="preserve">Note. </w:t>
      </w:r>
      <w:r>
        <w:rPr>
          <w:rFonts w:ascii="Arial" w:hAnsi="Arial"/>
          <w:b w:val="0"/>
          <w:color w:val="000000"/>
          <w:sz w:val="16"/>
        </w:rPr>
        <w:t>The original imputation structure used 17 baseline variables. BMI, haemoglobin, albumin, and creatinine were imputed with predictive mean matching. A sensitivity analysis added the 365-day death indicator and standardized Nelson-Aalen cumulative hazard; the frozen predictor terms and spline knots were unchanged.</w:t>
      </w:r>
    </w:p>
    <w:p>
      <w:pPr>
        <w:pageBreakBefore/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S7  External cohort transportability and risk distribution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2"/>
        <w:gridCol w:w="2892"/>
        <w:gridCol w:w="2892"/>
        <w:gridCol w:w="2892"/>
        <w:gridCol w:w="2892"/>
      </w:tblGrid>
      <w:tr>
        <w:trPr>
          <w:tblHeader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4"/>
              </w:rPr>
              <w:t>Section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4"/>
              </w:rPr>
              <w:t>Item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4"/>
              </w:rPr>
              <w:t>Development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4"/>
              </w:rPr>
              <w:t>External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5" w:type="dxa"/>
              <w:left w:w="100" w:type="dxa"/>
              <w:bottom w:w="45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4"/>
              </w:rPr>
              <w:t>Comparison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A. Linear-predictor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LP SD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1.794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1.671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External/development SD ratio 0.931 (95% CI 0.883–0.978); LP SMD 0.097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Age, years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68.8 (11.2)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69.3 (10.6)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0.054; SD ratio 0.943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BMI, kg/m²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23.3 (3.3)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23.2 (3.3)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-0.017; SD ratio 1.015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  <w:rPr>
                <w:rFonts w:ascii="Arial" w:hAnsi="Arial"/>
                <w:b w:val="0"/>
                <w:color w:val="000000"/>
                <w:sz w:val="15"/>
              </w:rPr>
            </w:pPr>
            <w:r>
              <w:rPr>
                <w:rFonts w:hint="eastAsia"/>
                <w:b w:val="0"/>
                <w:color w:val="000000"/>
                <w:sz w:val="15"/>
                <w:lang w:val="en-US" w:eastAsia="zh-CN"/>
              </w:rPr>
              <w:t>S</w:t>
            </w:r>
            <w:r>
              <w:rPr>
                <w:rFonts w:ascii="Arial" w:hAnsi="Arial"/>
                <w:b w:val="0"/>
                <w:color w:val="000000"/>
                <w:sz w:val="15"/>
                <w:lang w:val="en-US" w:eastAsia="zh-CN"/>
              </w:rPr>
              <w:t>ource-provided CCI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0.0 [0.0, 0.0]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0.0 [0.0, 0.0]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0.170; SD ratio 0.964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Haemoglobin, g/L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125.1 (18.3)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124.1 (17.9)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-0.054; SD ratio 0.982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Albumin, g/L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39.9 (4.4)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40.0 (4.1)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0.001; SD ratio 0.935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Creatinine, µmol/L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61.0 [51.0, 74.0]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63.4 [45.9, 86.7]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0.114; SD ratio 0.889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Sex (female)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3230 (67.7%)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470 (67.6%)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-0.001; SD ratio 1.000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Fracture type (global)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Five-category distribution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Five-category distribution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0.064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B. Predictor transportability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ASA III-IV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1067 (22.4%)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156 (22.4%)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Signed SMD 0.002; SD ratio 1.001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C. External risk quintiles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Q1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—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1/139 deaths (0.72%)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Mean predicted risk 0.15%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C. External risk quintiles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Q2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—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2/139 deaths (1.44%)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Mean predicted risk 0.67%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C. External risk quintiles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Q3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—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2/139 deaths (1.44%)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Mean predicted risk 1.76%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C. External risk quintiles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Q4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—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3/139 deaths (2.16%)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Mean predicted risk 3.94%</w:t>
            </w:r>
          </w:p>
        </w:tc>
      </w:tr>
      <w:tr>
        <w:trPr>
          <w:cantSplit/>
          <w:jc w:val="center"/>
        </w:trPr>
        <w:tc>
          <w:tcPr>
            <w:tcW w:w="348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C. External risk quintiles</w:t>
            </w:r>
          </w:p>
        </w:tc>
        <w:tc>
          <w:tcPr>
            <w:tcW w:w="213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5"/>
              </w:rPr>
              <w:t>Q5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—</w:t>
            </w:r>
          </w:p>
        </w:tc>
        <w:tc>
          <w:tcPr>
            <w:tcW w:w="251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20/139 deaths (14.39%)</w:t>
            </w:r>
          </w:p>
        </w:tc>
        <w:tc>
          <w:tcPr>
            <w:tcW w:w="36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5"/>
              </w:rPr>
              <w:t>Mean predicted risk 13.49%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Arial" w:hAnsi="Arial"/>
          <w:b/>
          <w:color w:val="000000"/>
          <w:sz w:val="16"/>
        </w:rPr>
        <w:t xml:space="preserve">Note. </w:t>
      </w:r>
      <w:r>
        <w:rPr>
          <w:rFonts w:ascii="Arial" w:hAnsi="Arial"/>
          <w:b w:val="0"/>
          <w:color w:val="000000"/>
          <w:sz w:val="16"/>
        </w:rPr>
        <w:t>Continuous signed SMDs were recalculated once from unrounded, available-case observations before development-cohort imputation; the absolute values are those reported in main Table 1. Continuous summaries are mean (SD), except CCI and creatinine, which are median [Q1, Q3]. Category-level SMDs are binary contrasts; fracture type uses the global multinomial SMD.</w:t>
      </w:r>
    </w:p>
    <w:p>
      <w:pPr>
        <w:pageBreakBefore/>
        <w:spacing w:after="120"/>
        <w:ind w:left="360" w:right="0" w:firstLine="0"/>
        <w:jc w:val="left"/>
      </w:pPr>
      <w:r>
        <w:rPr>
          <w:rFonts w:ascii="Arial" w:hAnsi="Arial"/>
          <w:b/>
          <w:color w:val="000000"/>
          <w:sz w:val="25"/>
        </w:rPr>
        <w:t>Supplementary Table S</w:t>
      </w:r>
      <w:r>
        <w:rPr>
          <w:rFonts w:hint="eastAsia" w:eastAsia="宋体"/>
          <w:b/>
          <w:color w:val="000000"/>
          <w:sz w:val="25"/>
          <w:lang w:val="en-US" w:eastAsia="zh-CN"/>
        </w:rPr>
        <w:t xml:space="preserve">8 </w:t>
      </w:r>
      <w:r>
        <w:rPr>
          <w:rFonts w:ascii="Arial" w:hAnsi="Arial"/>
          <w:b/>
          <w:color w:val="000000"/>
          <w:sz w:val="25"/>
        </w:rPr>
        <w:t>Model updating analyses</w:t>
      </w:r>
    </w:p>
    <w:tbl>
      <w:tblPr>
        <w:tblStyle w:val="3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1606"/>
        <w:gridCol w:w="1606"/>
        <w:gridCol w:w="1606"/>
        <w:gridCol w:w="1606"/>
        <w:gridCol w:w="1606"/>
        <w:gridCol w:w="1606"/>
        <w:gridCol w:w="1606"/>
      </w:tblGrid>
      <w:tr>
        <w:trPr>
          <w:tblHeader/>
          <w:jc w:val="center"/>
        </w:trPr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Model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Role</w:t>
            </w:r>
          </w:p>
        </w:tc>
        <w:tc>
          <w:tcPr>
            <w:tcW w:w="19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Update intercept (95% CI)</w:t>
            </w:r>
          </w:p>
        </w:tc>
        <w:tc>
          <w:tcPr>
            <w:tcW w:w="16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Update slope (95% CI)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AUC</w:t>
            </w:r>
          </w:p>
        </w:tc>
        <w:tc>
          <w:tcPr>
            <w:tcW w:w="109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Apparent Brier</w:t>
            </w:r>
          </w:p>
        </w:tc>
        <w:tc>
          <w:tcPr>
            <w:tcW w:w="18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Optimism-corrected Brier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O/E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  <w:rPr>
                <w:color w:val="auto"/>
              </w:rPr>
            </w:pPr>
            <w:r>
              <w:rPr>
                <w:rFonts w:ascii="Arial" w:hAnsi="Arial"/>
                <w:b/>
                <w:color w:val="auto"/>
                <w:sz w:val="15"/>
              </w:rPr>
              <w:t>Decision</w:t>
            </w:r>
          </w:p>
        </w:tc>
      </w:tr>
      <w:tr>
        <w:trPr>
          <w:cantSplit/>
          <w:jc w:val="center"/>
        </w:trPr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M0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Primary frozen model</w:t>
            </w:r>
          </w:p>
        </w:tc>
        <w:tc>
          <w:tcPr>
            <w:tcW w:w="19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Fixed at 0</w:t>
            </w:r>
          </w:p>
        </w:tc>
        <w:tc>
          <w:tcPr>
            <w:tcW w:w="16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Fixed at 1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0.802</w:t>
            </w:r>
          </w:p>
        </w:tc>
        <w:tc>
          <w:tcPr>
            <w:tcW w:w="109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0.03552</w:t>
            </w:r>
          </w:p>
        </w:tc>
        <w:tc>
          <w:tcPr>
            <w:tcW w:w="18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0.03552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1.006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Retain as the primary external validation result</w:t>
            </w:r>
          </w:p>
        </w:tc>
      </w:tr>
      <w:tr>
        <w:trPr>
          <w:cantSplit/>
          <w:jc w:val="center"/>
        </w:trPr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M1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Secondary baseline-only update</w:t>
            </w:r>
          </w:p>
        </w:tc>
        <w:tc>
          <w:tcPr>
            <w:tcW w:w="19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-0.001 (-0.436–0.343)</w:t>
            </w:r>
          </w:p>
        </w:tc>
        <w:tc>
          <w:tcPr>
            <w:tcW w:w="16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Fixed at 1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0.802</w:t>
            </w:r>
          </w:p>
        </w:tc>
        <w:tc>
          <w:tcPr>
            <w:tcW w:w="109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0.03552</w:t>
            </w:r>
          </w:p>
        </w:tc>
        <w:tc>
          <w:tcPr>
            <w:tcW w:w="18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0.03579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1.008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Negligible apparent improvement; not retained</w:t>
            </w:r>
          </w:p>
        </w:tc>
      </w:tr>
      <w:tr>
        <w:trPr>
          <w:cantSplit/>
          <w:jc w:val="center"/>
        </w:trPr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M2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/>
                <w:b w:val="0"/>
                <w:color w:val="000000"/>
                <w:sz w:val="16"/>
              </w:rPr>
              <w:t>Exploratory baseline-plus-slope update</w:t>
            </w:r>
          </w:p>
        </w:tc>
        <w:tc>
          <w:tcPr>
            <w:tcW w:w="19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-0.371 (-1.407–0.508)</w:t>
            </w:r>
          </w:p>
        </w:tc>
        <w:tc>
          <w:tcPr>
            <w:tcW w:w="16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0.849 (0.540–1.237)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0.802</w:t>
            </w:r>
          </w:p>
        </w:tc>
        <w:tc>
          <w:tcPr>
            <w:tcW w:w="109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0.03548</w:t>
            </w:r>
          </w:p>
        </w:tc>
        <w:tc>
          <w:tcPr>
            <w:tcW w:w="186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0.03600</w:t>
            </w:r>
          </w:p>
        </w:tc>
        <w:tc>
          <w:tcPr>
            <w:tcW w:w="623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0.998</w:t>
            </w:r>
          </w:p>
        </w:tc>
        <w:tc>
          <w:tcPr>
            <w:tcW w:w="295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  <w:insideH w:val="single" w:sz="4" w:space="0"/>
              <w:insideV w:val="single" w:sz="4" w:space="0"/>
            </w:tcBorders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b w:val="0"/>
                <w:color w:val="000000"/>
                <w:sz w:val="16"/>
              </w:rPr>
              <w:t>Exploratory and unstable with 28 events; not retained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Arial" w:hAnsi="Arial"/>
          <w:b/>
          <w:color w:val="000000"/>
          <w:sz w:val="16"/>
        </w:rPr>
        <w:t xml:space="preserve">Note. </w:t>
      </w:r>
      <w:r>
        <w:rPr>
          <w:rFonts w:ascii="Arial" w:hAnsi="Arial"/>
          <w:b w:val="0"/>
          <w:color w:val="000000"/>
          <w:sz w:val="16"/>
        </w:rPr>
        <w:t>Fixed values are prespecified model-update parameters rather than estimates with confidence intervals. M0 is the unchanged frozen model; M1 fixes the slope at 1 and estimates only the intercept.</w:t>
      </w:r>
    </w:p>
    <w:sectPr>
      <w:pgSz w:w="15840" w:h="12240" w:orient="landscape"/>
      <w:pgMar w:top="691" w:right="691" w:bottom="691" w:left="691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F7B3EF4"/>
    <w:rsid w:val="307F7F09"/>
    <w:rsid w:val="397FFE8E"/>
    <w:rsid w:val="3B7BDE85"/>
    <w:rsid w:val="3DF5420C"/>
    <w:rsid w:val="537D51D0"/>
    <w:rsid w:val="70FB7919"/>
    <w:rsid w:val="717EEFFB"/>
    <w:rsid w:val="775F56AC"/>
    <w:rsid w:val="786F7F23"/>
    <w:rsid w:val="7BED120D"/>
    <w:rsid w:val="7FFDF959"/>
    <w:rsid w:val="9FFF94EA"/>
    <w:rsid w:val="ADFFFB90"/>
    <w:rsid w:val="B97F70F4"/>
    <w:rsid w:val="BE7F74E5"/>
    <w:rsid w:val="BF5FF8AA"/>
    <w:rsid w:val="D3E5AF43"/>
    <w:rsid w:val="DDF72128"/>
    <w:rsid w:val="DDFB5039"/>
    <w:rsid w:val="E77EF317"/>
    <w:rsid w:val="EFFBAC05"/>
    <w:rsid w:val="FAFF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30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4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uiPriority w:val="99"/>
    <w:rPr>
      <w:sz w:val="24"/>
    </w:r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44"/>
      <w:szCs w:val="52"/>
    </w:rPr>
  </w:style>
  <w:style w:type="table" w:styleId="34">
    <w:name w:val="Table Grid"/>
    <w:basedOn w:val="3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uiPriority w:val="99"/>
  </w:style>
  <w:style w:type="character" w:customStyle="1" w:styleId="137">
    <w:name w:val="Footer Char"/>
    <w:basedOn w:val="133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uiPriority w:val="99"/>
  </w:style>
  <w:style w:type="character" w:customStyle="1" w:styleId="146">
    <w:name w:val="Body Text 2 Char"/>
    <w:basedOn w:val="133"/>
    <w:link w:val="28"/>
    <w:uiPriority w:val="99"/>
  </w:style>
  <w:style w:type="character" w:customStyle="1" w:styleId="147">
    <w:name w:val="Body Text 3 Char"/>
    <w:basedOn w:val="133"/>
    <w:link w:val="17"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Office_6.1.0.8274_F1E327BC-269C-435d-A152-05C5408002CA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2013-12-24T05:15:00Z</dcterms:created>
  <dc:creator>python-docx</dc:creator>
  <dc:description>generated by python-docx</dc:description>
  <cp:lastModifiedBy>涛</cp:lastModifiedBy>
  <dcterms:modified xsi:type="dcterms:W3CDTF">2026-09-28T13:34:11Z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2052-6.1.0.8274</vt:lpwstr>
  </property>
  <property fmtid="{D5CDD505-2E9C-101B-9397-08002B2CF9AE}" pid="3" name="ICV">
    <vt:lpwstr>944980D14C10EDDD6D66AA6A014C32BC_42</vt:lpwstr>
  </property>
</Properties>
</file>