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0A30" w14:textId="77777777" w:rsidR="003042FA" w:rsidRDefault="00000000">
      <w:pPr>
        <w:spacing w:after="120" w:line="480" w:lineRule="auto"/>
        <w:jc w:val="center"/>
      </w:pPr>
      <w:r>
        <w:rPr>
          <w:rFonts w:ascii="Times New Roman" w:eastAsia="Times New Roman" w:hAnsi="Times New Roman"/>
          <w:b/>
          <w:sz w:val="28"/>
        </w:rPr>
        <w:t>Online Resources (Supplementary Information)</w:t>
      </w:r>
    </w:p>
    <w:p w14:paraId="2216BF90" w14:textId="77777777" w:rsidR="003042FA" w:rsidRDefault="00000000">
      <w:pPr>
        <w:spacing w:after="80" w:line="480" w:lineRule="auto"/>
        <w:jc w:val="center"/>
      </w:pPr>
      <w:r>
        <w:rPr>
          <w:rFonts w:ascii="Times New Roman" w:eastAsia="Times New Roman" w:hAnsi="Times New Roman"/>
        </w:rPr>
        <w:t>Journal: Dysphagia (Springer Nature)</w:t>
      </w:r>
    </w:p>
    <w:p w14:paraId="5DBFAEE8" w14:textId="77777777" w:rsidR="003042FA" w:rsidRDefault="00000000">
      <w:pPr>
        <w:spacing w:after="240" w:line="480" w:lineRule="auto"/>
        <w:jc w:val="center"/>
      </w:pPr>
      <w:r>
        <w:rPr>
          <w:rFonts w:ascii="Times New Roman" w:eastAsia="Times New Roman" w:hAnsi="Times New Roman"/>
          <w:i/>
        </w:rPr>
        <w:t>Does the Multidimensional Burden of Post-Stroke Dysphagia Differ Between the Acute and Subacute Phases? A Cross-Sectional, ICF-Based Comparison of 187 Adults</w:t>
      </w:r>
    </w:p>
    <w:p w14:paraId="1DA5F1F2" w14:textId="77777777" w:rsidR="003042FA" w:rsidRDefault="00000000">
      <w:pPr>
        <w:spacing w:after="240" w:line="480" w:lineRule="auto"/>
        <w:jc w:val="center"/>
      </w:pPr>
      <w:r>
        <w:rPr>
          <w:rFonts w:ascii="Times New Roman" w:eastAsia="Times New Roman" w:hAnsi="Times New Roman"/>
          <w:i/>
          <w:sz w:val="20"/>
        </w:rPr>
        <w:t>[Author names and corresponding-author details appear on the Title Page; this file is anonymised for double-anonymous review.]</w:t>
      </w:r>
    </w:p>
    <w:p w14:paraId="023F8777" w14:textId="77777777" w:rsidR="003042FA" w:rsidRDefault="00000000">
      <w:pPr>
        <w:spacing w:after="120" w:line="480" w:lineRule="auto"/>
      </w:pPr>
      <w:r>
        <w:rPr>
          <w:rFonts w:ascii="Times New Roman" w:eastAsia="Times New Roman" w:hAnsi="Times New Roman"/>
          <w:b/>
        </w:rPr>
        <w:t>Online Resource 1. STROBE checklist locations (cross-sectional studies)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042FA" w14:paraId="362896C4" w14:textId="77777777">
        <w:tc>
          <w:tcPr>
            <w:tcW w:w="3120" w:type="dxa"/>
          </w:tcPr>
          <w:p w14:paraId="5A3C9CB2" w14:textId="77777777" w:rsidR="003042FA" w:rsidRDefault="00000000">
            <w:r>
              <w:rPr>
                <w:rFonts w:ascii="Times New Roman" w:eastAsia="Times New Roman" w:hAnsi="Times New Roman"/>
                <w:b/>
                <w:sz w:val="20"/>
              </w:rPr>
              <w:t>Item</w:t>
            </w:r>
          </w:p>
        </w:tc>
        <w:tc>
          <w:tcPr>
            <w:tcW w:w="3120" w:type="dxa"/>
          </w:tcPr>
          <w:p w14:paraId="625448E8" w14:textId="77777777" w:rsidR="003042FA" w:rsidRDefault="00000000">
            <w:r>
              <w:rPr>
                <w:rFonts w:ascii="Times New Roman" w:eastAsia="Times New Roman" w:hAnsi="Times New Roman"/>
                <w:b/>
                <w:sz w:val="20"/>
              </w:rPr>
              <w:t>STROBE recommendation</w:t>
            </w:r>
          </w:p>
        </w:tc>
        <w:tc>
          <w:tcPr>
            <w:tcW w:w="3120" w:type="dxa"/>
          </w:tcPr>
          <w:p w14:paraId="567DE0DE" w14:textId="77777777" w:rsidR="003042FA" w:rsidRDefault="00000000">
            <w:r>
              <w:rPr>
                <w:rFonts w:ascii="Times New Roman" w:eastAsia="Times New Roman" w:hAnsi="Times New Roman"/>
                <w:b/>
                <w:sz w:val="20"/>
              </w:rPr>
              <w:t>Where addressed</w:t>
            </w:r>
          </w:p>
        </w:tc>
      </w:tr>
      <w:tr w:rsidR="003042FA" w14:paraId="4BF8714E" w14:textId="77777777">
        <w:tc>
          <w:tcPr>
            <w:tcW w:w="3120" w:type="dxa"/>
          </w:tcPr>
          <w:p w14:paraId="4E2CA92E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3120" w:type="dxa"/>
          </w:tcPr>
          <w:p w14:paraId="22632A98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Study design and setting</w:t>
            </w:r>
          </w:p>
        </w:tc>
        <w:tc>
          <w:tcPr>
            <w:tcW w:w="3120" w:type="dxa"/>
          </w:tcPr>
          <w:p w14:paraId="5165DDBD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Title; Method (Design and Setting)</w:t>
            </w:r>
          </w:p>
        </w:tc>
      </w:tr>
      <w:tr w:rsidR="003042FA" w14:paraId="1A439F89" w14:textId="77777777">
        <w:tc>
          <w:tcPr>
            <w:tcW w:w="3120" w:type="dxa"/>
          </w:tcPr>
          <w:p w14:paraId="151F886B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6</w:t>
            </w:r>
          </w:p>
        </w:tc>
        <w:tc>
          <w:tcPr>
            <w:tcW w:w="3120" w:type="dxa"/>
          </w:tcPr>
          <w:p w14:paraId="75C1247E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Participants, eligibility, sources</w:t>
            </w:r>
          </w:p>
        </w:tc>
        <w:tc>
          <w:tcPr>
            <w:tcW w:w="3120" w:type="dxa"/>
          </w:tcPr>
          <w:p w14:paraId="0DA1FBC0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Method (Participants)</w:t>
            </w:r>
          </w:p>
        </w:tc>
      </w:tr>
      <w:tr w:rsidR="003042FA" w14:paraId="5D9E653F" w14:textId="77777777">
        <w:tc>
          <w:tcPr>
            <w:tcW w:w="3120" w:type="dxa"/>
          </w:tcPr>
          <w:p w14:paraId="2F4C19BF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3120" w:type="dxa"/>
          </w:tcPr>
          <w:p w14:paraId="15847919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Variables defined</w:t>
            </w:r>
          </w:p>
        </w:tc>
        <w:tc>
          <w:tcPr>
            <w:tcW w:w="3120" w:type="dxa"/>
          </w:tcPr>
          <w:p w14:paraId="16267D37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Method (Phase Classification; Outcome Measures)</w:t>
            </w:r>
          </w:p>
        </w:tc>
      </w:tr>
      <w:tr w:rsidR="003042FA" w14:paraId="009A605B" w14:textId="77777777">
        <w:tc>
          <w:tcPr>
            <w:tcW w:w="3120" w:type="dxa"/>
          </w:tcPr>
          <w:p w14:paraId="209EF98E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3120" w:type="dxa"/>
          </w:tcPr>
          <w:p w14:paraId="0DD883FF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Measurement (ICF-DAT)</w:t>
            </w:r>
          </w:p>
        </w:tc>
        <w:tc>
          <w:tcPr>
            <w:tcW w:w="3120" w:type="dxa"/>
          </w:tcPr>
          <w:p w14:paraId="464C8515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Method (Instrument)</w:t>
            </w:r>
          </w:p>
        </w:tc>
      </w:tr>
      <w:tr w:rsidR="003042FA" w14:paraId="3E9A6F2F" w14:textId="77777777">
        <w:tc>
          <w:tcPr>
            <w:tcW w:w="3120" w:type="dxa"/>
          </w:tcPr>
          <w:p w14:paraId="3D6F41D9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12</w:t>
            </w:r>
          </w:p>
        </w:tc>
        <w:tc>
          <w:tcPr>
            <w:tcW w:w="3120" w:type="dxa"/>
          </w:tcPr>
          <w:p w14:paraId="703E03E9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Statistical methods</w:t>
            </w:r>
          </w:p>
        </w:tc>
        <w:tc>
          <w:tcPr>
            <w:tcW w:w="3120" w:type="dxa"/>
          </w:tcPr>
          <w:p w14:paraId="16290466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Method (Statistical Analysis)</w:t>
            </w:r>
          </w:p>
        </w:tc>
      </w:tr>
      <w:tr w:rsidR="003042FA" w14:paraId="7D61C115" w14:textId="77777777">
        <w:tc>
          <w:tcPr>
            <w:tcW w:w="3120" w:type="dxa"/>
          </w:tcPr>
          <w:p w14:paraId="45A82568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13</w:t>
            </w:r>
          </w:p>
        </w:tc>
        <w:tc>
          <w:tcPr>
            <w:tcW w:w="3120" w:type="dxa"/>
          </w:tcPr>
          <w:p w14:paraId="5EAFDD9F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Participant flow</w:t>
            </w:r>
          </w:p>
        </w:tc>
        <w:tc>
          <w:tcPr>
            <w:tcW w:w="3120" w:type="dxa"/>
          </w:tcPr>
          <w:p w14:paraId="1BD60A9C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Results; Fig. 1</w:t>
            </w:r>
          </w:p>
        </w:tc>
      </w:tr>
      <w:tr w:rsidR="003042FA" w14:paraId="7CDE21BE" w14:textId="77777777">
        <w:tc>
          <w:tcPr>
            <w:tcW w:w="3120" w:type="dxa"/>
          </w:tcPr>
          <w:p w14:paraId="2A394E99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14</w:t>
            </w:r>
          </w:p>
        </w:tc>
        <w:tc>
          <w:tcPr>
            <w:tcW w:w="3120" w:type="dxa"/>
          </w:tcPr>
          <w:p w14:paraId="738902BE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Descriptive data</w:t>
            </w:r>
          </w:p>
        </w:tc>
        <w:tc>
          <w:tcPr>
            <w:tcW w:w="3120" w:type="dxa"/>
          </w:tcPr>
          <w:p w14:paraId="6A3B37F2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Results (Sample Characteristics); Table 1</w:t>
            </w:r>
          </w:p>
        </w:tc>
      </w:tr>
      <w:tr w:rsidR="003042FA" w14:paraId="7630D331" w14:textId="77777777">
        <w:tc>
          <w:tcPr>
            <w:tcW w:w="3120" w:type="dxa"/>
          </w:tcPr>
          <w:p w14:paraId="70C16643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16</w:t>
            </w:r>
          </w:p>
        </w:tc>
        <w:tc>
          <w:tcPr>
            <w:tcW w:w="3120" w:type="dxa"/>
          </w:tcPr>
          <w:p w14:paraId="467D1C70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Main results with effect sizes</w:t>
            </w:r>
          </w:p>
        </w:tc>
        <w:tc>
          <w:tcPr>
            <w:tcW w:w="3120" w:type="dxa"/>
          </w:tcPr>
          <w:p w14:paraId="48B8D785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Results; Tables 2–3; Fig. 2</w:t>
            </w:r>
          </w:p>
        </w:tc>
      </w:tr>
      <w:tr w:rsidR="003042FA" w14:paraId="6D1612A5" w14:textId="77777777">
        <w:tc>
          <w:tcPr>
            <w:tcW w:w="3120" w:type="dxa"/>
          </w:tcPr>
          <w:p w14:paraId="4A2302C0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19</w:t>
            </w:r>
          </w:p>
        </w:tc>
        <w:tc>
          <w:tcPr>
            <w:tcW w:w="3120" w:type="dxa"/>
          </w:tcPr>
          <w:p w14:paraId="3C2D54A5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Limitations</w:t>
            </w:r>
          </w:p>
        </w:tc>
        <w:tc>
          <w:tcPr>
            <w:tcW w:w="3120" w:type="dxa"/>
          </w:tcPr>
          <w:p w14:paraId="32151010" w14:textId="77777777" w:rsidR="003042FA" w:rsidRDefault="00000000">
            <w:r>
              <w:rPr>
                <w:rFonts w:ascii="Times New Roman" w:eastAsia="Times New Roman" w:hAnsi="Times New Roman"/>
                <w:sz w:val="20"/>
              </w:rPr>
              <w:t>Discussion (Strengths and Limitations)</w:t>
            </w:r>
          </w:p>
        </w:tc>
      </w:tr>
    </w:tbl>
    <w:p w14:paraId="02D6462C" w14:textId="2470DC9E" w:rsidR="003042FA" w:rsidRDefault="00000000">
      <w:pPr>
        <w:spacing w:before="80" w:after="240" w:line="480" w:lineRule="auto"/>
      </w:pPr>
      <w:r>
        <w:rPr>
          <w:rFonts w:ascii="Times New Roman" w:eastAsia="Times New Roman" w:hAnsi="Times New Roman"/>
          <w:i/>
          <w:sz w:val="18"/>
        </w:rPr>
        <w:t xml:space="preserve">A full 22-item STROBE checklist </w:t>
      </w:r>
      <w:r w:rsidR="00444272">
        <w:rPr>
          <w:rFonts w:ascii="Times New Roman" w:eastAsia="Times New Roman" w:hAnsi="Times New Roman"/>
          <w:i/>
          <w:sz w:val="18"/>
        </w:rPr>
        <w:t xml:space="preserve">will </w:t>
      </w:r>
      <w:r>
        <w:rPr>
          <w:rFonts w:ascii="Times New Roman" w:eastAsia="Times New Roman" w:hAnsi="Times New Roman"/>
          <w:i/>
          <w:sz w:val="18"/>
        </w:rPr>
        <w:t>be uploaded as a separate PDF at Editorial Manager if requested.</w:t>
      </w:r>
    </w:p>
    <w:p w14:paraId="714EADC5" w14:textId="77777777" w:rsidR="003042FA" w:rsidRDefault="00000000">
      <w:pPr>
        <w:spacing w:after="120" w:line="480" w:lineRule="auto"/>
      </w:pPr>
      <w:r>
        <w:rPr>
          <w:rFonts w:ascii="Times New Roman" w:eastAsia="Times New Roman" w:hAnsi="Times New Roman"/>
          <w:b/>
        </w:rPr>
        <w:t>Online Resource 2. Mean ICF-DAT qualifier scores across selected codes available in the authoritative master chart, whole cohort (N = 187)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042FA" w14:paraId="6AAF3AAA" w14:textId="77777777">
        <w:tc>
          <w:tcPr>
            <w:tcW w:w="3120" w:type="dxa"/>
          </w:tcPr>
          <w:p w14:paraId="726D49B7" w14:textId="77777777" w:rsidR="003042FA" w:rsidRDefault="00000000">
            <w:r>
              <w:t>ICF code</w:t>
            </w:r>
          </w:p>
        </w:tc>
        <w:tc>
          <w:tcPr>
            <w:tcW w:w="3120" w:type="dxa"/>
          </w:tcPr>
          <w:p w14:paraId="65B1D8A8" w14:textId="77777777" w:rsidR="003042FA" w:rsidRDefault="00000000">
            <w:r>
              <w:t>Domain</w:t>
            </w:r>
          </w:p>
        </w:tc>
        <w:tc>
          <w:tcPr>
            <w:tcW w:w="3120" w:type="dxa"/>
          </w:tcPr>
          <w:p w14:paraId="72D18383" w14:textId="77777777" w:rsidR="003042FA" w:rsidRDefault="00000000">
            <w:r>
              <w:t>Mean (SD)</w:t>
            </w:r>
          </w:p>
        </w:tc>
      </w:tr>
      <w:tr w:rsidR="003042FA" w14:paraId="65D061A7" w14:textId="77777777">
        <w:tc>
          <w:tcPr>
            <w:tcW w:w="3120" w:type="dxa"/>
          </w:tcPr>
          <w:p w14:paraId="5F6A722F" w14:textId="77777777" w:rsidR="003042FA" w:rsidRDefault="00000000">
            <w:r>
              <w:t>b510</w:t>
            </w:r>
          </w:p>
        </w:tc>
        <w:tc>
          <w:tcPr>
            <w:tcW w:w="3120" w:type="dxa"/>
          </w:tcPr>
          <w:p w14:paraId="11AB5A88" w14:textId="77777777" w:rsidR="003042FA" w:rsidRDefault="00000000">
            <w:r>
              <w:t>Ingestion functions</w:t>
            </w:r>
          </w:p>
        </w:tc>
        <w:tc>
          <w:tcPr>
            <w:tcW w:w="3120" w:type="dxa"/>
          </w:tcPr>
          <w:p w14:paraId="75BCC4A2" w14:textId="77777777" w:rsidR="003042FA" w:rsidRDefault="00000000">
            <w:r>
              <w:t>1.3 (0.4)</w:t>
            </w:r>
          </w:p>
        </w:tc>
      </w:tr>
      <w:tr w:rsidR="003042FA" w14:paraId="12CE350B" w14:textId="77777777">
        <w:tc>
          <w:tcPr>
            <w:tcW w:w="3120" w:type="dxa"/>
          </w:tcPr>
          <w:p w14:paraId="063F259A" w14:textId="77777777" w:rsidR="003042FA" w:rsidRDefault="00000000">
            <w:r>
              <w:t>b310</w:t>
            </w:r>
          </w:p>
        </w:tc>
        <w:tc>
          <w:tcPr>
            <w:tcW w:w="3120" w:type="dxa"/>
          </w:tcPr>
          <w:p w14:paraId="3F9247EE" w14:textId="77777777" w:rsidR="003042FA" w:rsidRDefault="00000000">
            <w:r>
              <w:t>Voice functions</w:t>
            </w:r>
          </w:p>
        </w:tc>
        <w:tc>
          <w:tcPr>
            <w:tcW w:w="3120" w:type="dxa"/>
          </w:tcPr>
          <w:p w14:paraId="69DE5E22" w14:textId="77777777" w:rsidR="003042FA" w:rsidRDefault="00000000">
            <w:r>
              <w:t>2.3 (0.4)</w:t>
            </w:r>
          </w:p>
        </w:tc>
      </w:tr>
      <w:tr w:rsidR="003042FA" w14:paraId="14D5AAC5" w14:textId="77777777">
        <w:tc>
          <w:tcPr>
            <w:tcW w:w="3120" w:type="dxa"/>
          </w:tcPr>
          <w:p w14:paraId="0BD58FB0" w14:textId="77777777" w:rsidR="003042FA" w:rsidRDefault="00000000">
            <w:r>
              <w:t>b735</w:t>
            </w:r>
          </w:p>
        </w:tc>
        <w:tc>
          <w:tcPr>
            <w:tcW w:w="3120" w:type="dxa"/>
          </w:tcPr>
          <w:p w14:paraId="1AF5F841" w14:textId="77777777" w:rsidR="003042FA" w:rsidRDefault="00000000">
            <w:r>
              <w:t>Muscle-tone functions</w:t>
            </w:r>
          </w:p>
        </w:tc>
        <w:tc>
          <w:tcPr>
            <w:tcW w:w="3120" w:type="dxa"/>
          </w:tcPr>
          <w:p w14:paraId="69419A9F" w14:textId="77777777" w:rsidR="003042FA" w:rsidRDefault="00000000">
            <w:r>
              <w:t>2.7 (0.5)</w:t>
            </w:r>
          </w:p>
        </w:tc>
      </w:tr>
      <w:tr w:rsidR="003042FA" w14:paraId="21CFEB68" w14:textId="77777777">
        <w:tc>
          <w:tcPr>
            <w:tcW w:w="3120" w:type="dxa"/>
          </w:tcPr>
          <w:p w14:paraId="6404F559" w14:textId="77777777" w:rsidR="003042FA" w:rsidRDefault="00000000">
            <w:r>
              <w:t>b320</w:t>
            </w:r>
          </w:p>
        </w:tc>
        <w:tc>
          <w:tcPr>
            <w:tcW w:w="3120" w:type="dxa"/>
          </w:tcPr>
          <w:p w14:paraId="2D453080" w14:textId="77777777" w:rsidR="003042FA" w:rsidRDefault="00000000">
            <w:r>
              <w:t>Articulation functions</w:t>
            </w:r>
          </w:p>
        </w:tc>
        <w:tc>
          <w:tcPr>
            <w:tcW w:w="3120" w:type="dxa"/>
          </w:tcPr>
          <w:p w14:paraId="526257D2" w14:textId="77777777" w:rsidR="003042FA" w:rsidRDefault="00000000">
            <w:r>
              <w:t>Not recorded</w:t>
            </w:r>
          </w:p>
        </w:tc>
      </w:tr>
      <w:tr w:rsidR="003042FA" w14:paraId="17A9D428" w14:textId="77777777">
        <w:tc>
          <w:tcPr>
            <w:tcW w:w="3120" w:type="dxa"/>
          </w:tcPr>
          <w:p w14:paraId="4086BFA3" w14:textId="77777777" w:rsidR="003042FA" w:rsidRDefault="00000000">
            <w:r>
              <w:t>d330</w:t>
            </w:r>
          </w:p>
        </w:tc>
        <w:tc>
          <w:tcPr>
            <w:tcW w:w="3120" w:type="dxa"/>
          </w:tcPr>
          <w:p w14:paraId="0C72954D" w14:textId="77777777" w:rsidR="003042FA" w:rsidRDefault="00000000">
            <w:r>
              <w:t>Speaking</w:t>
            </w:r>
          </w:p>
        </w:tc>
        <w:tc>
          <w:tcPr>
            <w:tcW w:w="3120" w:type="dxa"/>
          </w:tcPr>
          <w:p w14:paraId="22D67095" w14:textId="77777777" w:rsidR="003042FA" w:rsidRDefault="00000000">
            <w:r>
              <w:t>2.7 (0.5)</w:t>
            </w:r>
          </w:p>
        </w:tc>
      </w:tr>
      <w:tr w:rsidR="003042FA" w14:paraId="610318D4" w14:textId="77777777">
        <w:tc>
          <w:tcPr>
            <w:tcW w:w="3120" w:type="dxa"/>
          </w:tcPr>
          <w:p w14:paraId="693CB5B5" w14:textId="77777777" w:rsidR="003042FA" w:rsidRDefault="00000000">
            <w:r>
              <w:t>d550</w:t>
            </w:r>
          </w:p>
        </w:tc>
        <w:tc>
          <w:tcPr>
            <w:tcW w:w="3120" w:type="dxa"/>
          </w:tcPr>
          <w:p w14:paraId="5913BCEA" w14:textId="77777777" w:rsidR="003042FA" w:rsidRDefault="00000000">
            <w:r>
              <w:t>Eating</w:t>
            </w:r>
          </w:p>
        </w:tc>
        <w:tc>
          <w:tcPr>
            <w:tcW w:w="3120" w:type="dxa"/>
          </w:tcPr>
          <w:p w14:paraId="654346E1" w14:textId="77777777" w:rsidR="003042FA" w:rsidRDefault="00000000">
            <w:r>
              <w:t>2.3 (1.0)</w:t>
            </w:r>
          </w:p>
        </w:tc>
      </w:tr>
      <w:tr w:rsidR="003042FA" w14:paraId="5ED705F3" w14:textId="77777777">
        <w:tc>
          <w:tcPr>
            <w:tcW w:w="3120" w:type="dxa"/>
          </w:tcPr>
          <w:p w14:paraId="4EDC56DB" w14:textId="77777777" w:rsidR="003042FA" w:rsidRDefault="00000000">
            <w:r>
              <w:t>d560</w:t>
            </w:r>
          </w:p>
        </w:tc>
        <w:tc>
          <w:tcPr>
            <w:tcW w:w="3120" w:type="dxa"/>
          </w:tcPr>
          <w:p w14:paraId="75FCE13A" w14:textId="77777777" w:rsidR="003042FA" w:rsidRDefault="00000000">
            <w:r>
              <w:t>Drinking</w:t>
            </w:r>
          </w:p>
        </w:tc>
        <w:tc>
          <w:tcPr>
            <w:tcW w:w="3120" w:type="dxa"/>
          </w:tcPr>
          <w:p w14:paraId="01596DD4" w14:textId="77777777" w:rsidR="003042FA" w:rsidRDefault="00000000">
            <w:r>
              <w:t>2.3 (1.0)</w:t>
            </w:r>
          </w:p>
        </w:tc>
      </w:tr>
      <w:tr w:rsidR="003042FA" w14:paraId="40070303" w14:textId="77777777">
        <w:tc>
          <w:tcPr>
            <w:tcW w:w="3120" w:type="dxa"/>
          </w:tcPr>
          <w:p w14:paraId="7A0C345C" w14:textId="77777777" w:rsidR="003042FA" w:rsidRDefault="00000000">
            <w:r>
              <w:t>e355</w:t>
            </w:r>
          </w:p>
        </w:tc>
        <w:tc>
          <w:tcPr>
            <w:tcW w:w="3120" w:type="dxa"/>
          </w:tcPr>
          <w:p w14:paraId="4141A71B" w14:textId="77777777" w:rsidR="003042FA" w:rsidRDefault="00000000">
            <w:r>
              <w:t>Health professionals (barrier)</w:t>
            </w:r>
          </w:p>
        </w:tc>
        <w:tc>
          <w:tcPr>
            <w:tcW w:w="3120" w:type="dxa"/>
          </w:tcPr>
          <w:p w14:paraId="0EB4900D" w14:textId="77777777" w:rsidR="003042FA" w:rsidRDefault="00000000">
            <w:r>
              <w:t>−3.0</w:t>
            </w:r>
          </w:p>
        </w:tc>
      </w:tr>
      <w:tr w:rsidR="003042FA" w14:paraId="4861AF6F" w14:textId="77777777">
        <w:tc>
          <w:tcPr>
            <w:tcW w:w="3120" w:type="dxa"/>
          </w:tcPr>
          <w:p w14:paraId="680B5E15" w14:textId="77777777" w:rsidR="003042FA" w:rsidRDefault="00000000">
            <w:r>
              <w:t>e580</w:t>
            </w:r>
          </w:p>
        </w:tc>
        <w:tc>
          <w:tcPr>
            <w:tcW w:w="3120" w:type="dxa"/>
          </w:tcPr>
          <w:p w14:paraId="17253D39" w14:textId="77777777" w:rsidR="003042FA" w:rsidRDefault="00000000">
            <w:r>
              <w:t>Health services, systems, policies (barrier)</w:t>
            </w:r>
          </w:p>
        </w:tc>
        <w:tc>
          <w:tcPr>
            <w:tcW w:w="3120" w:type="dxa"/>
          </w:tcPr>
          <w:p w14:paraId="0AAA7546" w14:textId="77777777" w:rsidR="003042FA" w:rsidRDefault="00000000">
            <w:r>
              <w:t>−4.0</w:t>
            </w:r>
          </w:p>
        </w:tc>
      </w:tr>
      <w:tr w:rsidR="003042FA" w14:paraId="1CEF21EE" w14:textId="77777777">
        <w:tc>
          <w:tcPr>
            <w:tcW w:w="3120" w:type="dxa"/>
          </w:tcPr>
          <w:p w14:paraId="66940738" w14:textId="77777777" w:rsidR="003042FA" w:rsidRDefault="00000000">
            <w:r>
              <w:t>e310</w:t>
            </w:r>
          </w:p>
        </w:tc>
        <w:tc>
          <w:tcPr>
            <w:tcW w:w="3120" w:type="dxa"/>
          </w:tcPr>
          <w:p w14:paraId="57E5DDA3" w14:textId="77777777" w:rsidR="003042FA" w:rsidRDefault="00000000">
            <w:r>
              <w:t>Immediate family (barrier)</w:t>
            </w:r>
          </w:p>
        </w:tc>
        <w:tc>
          <w:tcPr>
            <w:tcW w:w="3120" w:type="dxa"/>
          </w:tcPr>
          <w:p w14:paraId="28749E71" w14:textId="77777777" w:rsidR="003042FA" w:rsidRDefault="00000000">
            <w:r>
              <w:t>−2.0</w:t>
            </w:r>
          </w:p>
        </w:tc>
      </w:tr>
      <w:tr w:rsidR="003042FA" w14:paraId="2F45C801" w14:textId="77777777">
        <w:tc>
          <w:tcPr>
            <w:tcW w:w="3120" w:type="dxa"/>
          </w:tcPr>
          <w:p w14:paraId="1CF568E0" w14:textId="77777777" w:rsidR="003042FA" w:rsidRDefault="00000000">
            <w:r>
              <w:t>e450</w:t>
            </w:r>
          </w:p>
        </w:tc>
        <w:tc>
          <w:tcPr>
            <w:tcW w:w="3120" w:type="dxa"/>
          </w:tcPr>
          <w:p w14:paraId="0DC522CF" w14:textId="77777777" w:rsidR="003042FA" w:rsidRDefault="00000000">
            <w:r>
              <w:t xml:space="preserve">Individual attitudes of health </w:t>
            </w:r>
            <w:r>
              <w:lastRenderedPageBreak/>
              <w:t>professionals (barrier)</w:t>
            </w:r>
          </w:p>
        </w:tc>
        <w:tc>
          <w:tcPr>
            <w:tcW w:w="3120" w:type="dxa"/>
          </w:tcPr>
          <w:p w14:paraId="5ED512F9" w14:textId="77777777" w:rsidR="003042FA" w:rsidRDefault="00000000">
            <w:r>
              <w:lastRenderedPageBreak/>
              <w:t>−2.0</w:t>
            </w:r>
          </w:p>
        </w:tc>
      </w:tr>
    </w:tbl>
    <w:p w14:paraId="736E3F5C" w14:textId="77777777" w:rsidR="00444272" w:rsidRDefault="00444272">
      <w:pPr>
        <w:spacing w:after="120" w:line="480" w:lineRule="auto"/>
        <w:rPr>
          <w:rFonts w:ascii="Times New Roman" w:eastAsia="Times New Roman" w:hAnsi="Times New Roman"/>
          <w:b/>
        </w:rPr>
      </w:pPr>
    </w:p>
    <w:p w14:paraId="34B601CB" w14:textId="72E27DCD" w:rsidR="003042FA" w:rsidRDefault="00000000">
      <w:pPr>
        <w:spacing w:after="120" w:line="480" w:lineRule="auto"/>
      </w:pPr>
      <w:r>
        <w:rPr>
          <w:rFonts w:ascii="Times New Roman" w:eastAsia="Times New Roman" w:hAnsi="Times New Roman"/>
          <w:b/>
        </w:rPr>
        <w:t xml:space="preserve">Online Resource 3. Dysphagia severity distribution </w:t>
      </w:r>
    </w:p>
    <w:p w14:paraId="456F8669" w14:textId="67819FF6" w:rsidR="003042FA" w:rsidRDefault="00000000">
      <w:pPr>
        <w:spacing w:after="120" w:line="480" w:lineRule="auto"/>
      </w:pPr>
      <w:r>
        <w:rPr>
          <w:rFonts w:ascii="Times New Roman" w:eastAsia="Times New Roman" w:hAnsi="Times New Roman"/>
        </w:rPr>
        <w:t xml:space="preserve">Recorded SeverityofDysphagia across the whole cohort (N = 187): Mild 1 (0.5%), Moderate 136 (72.7%), Severe 50 (26.7%). By Phase_Analytic: Acute (n = 74) — Moderate 55, Severe 19 (severe 25.7%; no Mild); Subacute (n = 113) — Mild 1, Moderate 81, Severe 31 (severe 27.4%). Provided as Online_Resource/ESM_FigS1.tif (also PNG): panel A whole-cohort Mild/Moderate/Severe distribution; panel B Acute versus Subacute (Phase_Analytic). </w:t>
      </w:r>
    </w:p>
    <w:sectPr w:rsidR="003042F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9202437">
    <w:abstractNumId w:val="8"/>
  </w:num>
  <w:num w:numId="2" w16cid:durableId="30695686">
    <w:abstractNumId w:val="6"/>
  </w:num>
  <w:num w:numId="3" w16cid:durableId="2057074852">
    <w:abstractNumId w:val="5"/>
  </w:num>
  <w:num w:numId="4" w16cid:durableId="411660932">
    <w:abstractNumId w:val="4"/>
  </w:num>
  <w:num w:numId="5" w16cid:durableId="1586571161">
    <w:abstractNumId w:val="7"/>
  </w:num>
  <w:num w:numId="6" w16cid:durableId="512691182">
    <w:abstractNumId w:val="3"/>
  </w:num>
  <w:num w:numId="7" w16cid:durableId="468864858">
    <w:abstractNumId w:val="2"/>
  </w:num>
  <w:num w:numId="8" w16cid:durableId="1149128589">
    <w:abstractNumId w:val="1"/>
  </w:num>
  <w:num w:numId="9" w16cid:durableId="531847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42FA"/>
    <w:rsid w:val="00326F90"/>
    <w:rsid w:val="00444272"/>
    <w:rsid w:val="007D143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478ED1"/>
  <w14:defaultImageDpi w14:val="300"/>
  <w15:docId w15:val="{4D45DF07-B95C-4475-BF76-2FD65F67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appu spoorthi</cp:lastModifiedBy>
  <cp:revision>2</cp:revision>
  <dcterms:created xsi:type="dcterms:W3CDTF">2013-12-23T23:15:00Z</dcterms:created>
  <dcterms:modified xsi:type="dcterms:W3CDTF">2026-09-26T04:00:00Z</dcterms:modified>
  <cp:category/>
</cp:coreProperties>
</file>