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DC0C0" w14:textId="50095D8A" w:rsidR="007F0C34" w:rsidRPr="00FF1E05" w:rsidRDefault="00ED14B9" w:rsidP="008C7667">
      <w:pPr>
        <w:jc w:val="center"/>
        <w:rPr>
          <w:rFonts w:cs="Arial"/>
          <w:b/>
          <w:bCs/>
          <w:color w:val="000000" w:themeColor="text1"/>
          <w:sz w:val="22"/>
        </w:rPr>
      </w:pPr>
      <w:r w:rsidRPr="00FF1E05">
        <w:rPr>
          <w:rFonts w:cs="Arial"/>
          <w:b/>
          <w:bCs/>
          <w:color w:val="000000" w:themeColor="text1"/>
          <w:sz w:val="22"/>
        </w:rPr>
        <w:t>Supplementary Information</w:t>
      </w:r>
      <w:r w:rsidR="008C7667" w:rsidRPr="00FF1E05">
        <w:rPr>
          <w:rFonts w:cs="Arial"/>
          <w:b/>
          <w:bCs/>
          <w:color w:val="000000" w:themeColor="text1"/>
          <w:sz w:val="22"/>
        </w:rPr>
        <w:t xml:space="preserve"> for</w:t>
      </w:r>
    </w:p>
    <w:p w14:paraId="24EFFB2B" w14:textId="77777777" w:rsidR="003732B5" w:rsidRPr="00FF1E05" w:rsidRDefault="003732B5" w:rsidP="008C7667">
      <w:pPr>
        <w:jc w:val="center"/>
        <w:rPr>
          <w:rFonts w:cs="Arial"/>
          <w:b/>
          <w:bCs/>
          <w:color w:val="000000" w:themeColor="text1"/>
          <w:sz w:val="22"/>
        </w:rPr>
      </w:pPr>
    </w:p>
    <w:p w14:paraId="3C99B999" w14:textId="5C4C2D2C" w:rsidR="003732B5" w:rsidRDefault="005A3C20" w:rsidP="008C7667">
      <w:pPr>
        <w:jc w:val="center"/>
        <w:rPr>
          <w:rFonts w:cs="Arial"/>
          <w:b/>
          <w:bCs/>
          <w:color w:val="000000" w:themeColor="text1"/>
          <w:sz w:val="28"/>
          <w:szCs w:val="28"/>
        </w:rPr>
      </w:pPr>
      <w:r w:rsidRPr="005A3C20">
        <w:rPr>
          <w:rFonts w:cs="Arial"/>
          <w:b/>
          <w:bCs/>
          <w:color w:val="000000" w:themeColor="text1"/>
          <w:sz w:val="28"/>
          <w:szCs w:val="28"/>
        </w:rPr>
        <w:t>Biochar reduces PFAS mobility in contaminated soils: a global meta-analysis</w:t>
      </w:r>
    </w:p>
    <w:p w14:paraId="69E23EA3" w14:textId="77777777" w:rsidR="005A3C20" w:rsidRPr="00FF1E05" w:rsidRDefault="005A3C20" w:rsidP="008C7667">
      <w:pPr>
        <w:jc w:val="center"/>
        <w:rPr>
          <w:rFonts w:cs="Arial"/>
          <w:b/>
          <w:bCs/>
          <w:color w:val="000000" w:themeColor="text1"/>
          <w:sz w:val="28"/>
          <w:szCs w:val="28"/>
        </w:rPr>
      </w:pPr>
    </w:p>
    <w:p w14:paraId="0571CC20" w14:textId="6C96F3D5" w:rsidR="0072319D" w:rsidRPr="00FF1E05" w:rsidRDefault="0072319D" w:rsidP="008C7667">
      <w:pPr>
        <w:jc w:val="center"/>
        <w:rPr>
          <w:rFonts w:cs="Arial"/>
          <w:i/>
          <w:iCs/>
          <w:color w:val="000000" w:themeColor="text1"/>
          <w:sz w:val="22"/>
        </w:rPr>
      </w:pPr>
      <w:r w:rsidRPr="00FF1E05">
        <w:rPr>
          <w:rFonts w:cs="Arial"/>
          <w:i/>
          <w:iCs/>
          <w:color w:val="000000" w:themeColor="text1"/>
          <w:sz w:val="22"/>
        </w:rPr>
        <w:t>Behrouz Gholamahmadi,</w:t>
      </w:r>
      <w:r w:rsidR="001B2360" w:rsidRPr="00FF1E05">
        <w:rPr>
          <w:rFonts w:cs="Arial"/>
          <w:i/>
          <w:iCs/>
          <w:color w:val="000000" w:themeColor="text1"/>
          <w:sz w:val="22"/>
        </w:rPr>
        <w:t xml:space="preserve"> </w:t>
      </w:r>
      <w:r w:rsidR="000C1430" w:rsidRPr="00FF1E05">
        <w:rPr>
          <w:rFonts w:cs="Arial"/>
          <w:i/>
          <w:iCs/>
          <w:color w:val="000000" w:themeColor="text1"/>
          <w:sz w:val="22"/>
        </w:rPr>
        <w:t xml:space="preserve">Erlend Sørmo, </w:t>
      </w:r>
      <w:r w:rsidR="00131348" w:rsidRPr="00FF1E05">
        <w:rPr>
          <w:rFonts w:cs="Arial"/>
          <w:i/>
          <w:iCs/>
          <w:color w:val="000000" w:themeColor="text1"/>
          <w:sz w:val="22"/>
        </w:rPr>
        <w:t>Gerard Cornelissen</w:t>
      </w:r>
    </w:p>
    <w:p w14:paraId="2F308B14" w14:textId="77777777" w:rsidR="0072319D" w:rsidRDefault="0072319D" w:rsidP="0072319D">
      <w:pPr>
        <w:jc w:val="both"/>
        <w:rPr>
          <w:rFonts w:cs="Arial"/>
          <w:color w:val="000000" w:themeColor="text1"/>
          <w:sz w:val="22"/>
        </w:rPr>
      </w:pPr>
    </w:p>
    <w:p w14:paraId="63F192BC" w14:textId="46C43D68" w:rsidR="00391283" w:rsidRDefault="00AE54F1" w:rsidP="00391283">
      <w:pPr>
        <w:jc w:val="center"/>
        <w:rPr>
          <w:rFonts w:cs="Arial"/>
          <w:color w:val="000000" w:themeColor="text1"/>
          <w:sz w:val="22"/>
        </w:rPr>
      </w:pPr>
      <w:r>
        <w:rPr>
          <w:rFonts w:cs="Arial"/>
          <w:color w:val="000000" w:themeColor="text1"/>
          <w:sz w:val="22"/>
        </w:rPr>
        <w:t>Corresponding</w:t>
      </w:r>
      <w:r w:rsidR="00391283">
        <w:rPr>
          <w:rFonts w:cs="Arial"/>
          <w:color w:val="000000" w:themeColor="text1"/>
          <w:sz w:val="22"/>
        </w:rPr>
        <w:t xml:space="preserve"> author: Behrouz Gholamahmadi (</w:t>
      </w:r>
      <w:hyperlink r:id="rId11" w:history="1">
        <w:r w:rsidR="00391283" w:rsidRPr="00765324">
          <w:rPr>
            <w:rStyle w:val="Hyperlink"/>
            <w:rFonts w:cs="Arial"/>
            <w:sz w:val="22"/>
          </w:rPr>
          <w:t>behrouzg@ua.pt</w:t>
        </w:r>
      </w:hyperlink>
      <w:r w:rsidR="00391283">
        <w:rPr>
          <w:rFonts w:cs="Arial"/>
          <w:color w:val="000000" w:themeColor="text1"/>
          <w:sz w:val="22"/>
        </w:rPr>
        <w:t>)</w:t>
      </w:r>
    </w:p>
    <w:p w14:paraId="0EBC656B" w14:textId="77777777" w:rsidR="00391283" w:rsidRPr="00FF1E05" w:rsidRDefault="00391283" w:rsidP="00391283">
      <w:pPr>
        <w:jc w:val="center"/>
        <w:rPr>
          <w:rFonts w:cs="Arial"/>
          <w:color w:val="000000" w:themeColor="text1"/>
          <w:sz w:val="22"/>
        </w:rPr>
      </w:pPr>
    </w:p>
    <w:p w14:paraId="495F50B3" w14:textId="58BA7D9D" w:rsidR="007F0C34" w:rsidRPr="00FF1E05" w:rsidRDefault="00ED14B9" w:rsidP="0072319D">
      <w:pPr>
        <w:jc w:val="both"/>
        <w:rPr>
          <w:rFonts w:cs="Arial"/>
          <w:b/>
          <w:bCs/>
          <w:color w:val="000000" w:themeColor="text1"/>
          <w:sz w:val="22"/>
        </w:rPr>
      </w:pPr>
      <w:r w:rsidRPr="00FF1E05">
        <w:rPr>
          <w:rFonts w:cs="Arial"/>
          <w:b/>
          <w:bCs/>
          <w:color w:val="000000" w:themeColor="text1"/>
          <w:sz w:val="22"/>
        </w:rPr>
        <w:t>Contents</w:t>
      </w:r>
    </w:p>
    <w:p w14:paraId="68A7D032" w14:textId="77777777" w:rsidR="007F0C34" w:rsidRPr="00FF1E05" w:rsidRDefault="00ED14B9" w:rsidP="0072319D">
      <w:pPr>
        <w:keepNext/>
        <w:jc w:val="both"/>
        <w:rPr>
          <w:rFonts w:cs="Arial"/>
          <w:color w:val="000000" w:themeColor="text1"/>
          <w:sz w:val="22"/>
        </w:rPr>
      </w:pPr>
      <w:r w:rsidRPr="00FF1E05">
        <w:rPr>
          <w:rFonts w:cs="Arial"/>
          <w:color w:val="000000" w:themeColor="text1"/>
          <w:sz w:val="22"/>
        </w:rPr>
        <w:t>Supplementary Methods</w:t>
      </w:r>
    </w:p>
    <w:p w14:paraId="08EB00F5" w14:textId="77777777" w:rsidR="007F0C34" w:rsidRPr="00FF1E05" w:rsidRDefault="00ED14B9" w:rsidP="0072319D">
      <w:pPr>
        <w:keepNext/>
        <w:jc w:val="both"/>
        <w:rPr>
          <w:rFonts w:cs="Arial"/>
          <w:color w:val="000000" w:themeColor="text1"/>
          <w:sz w:val="22"/>
        </w:rPr>
      </w:pPr>
      <w:r w:rsidRPr="00FF1E05">
        <w:rPr>
          <w:rFonts w:cs="Arial"/>
          <w:color w:val="000000" w:themeColor="text1"/>
          <w:sz w:val="22"/>
        </w:rPr>
        <w:t>Supplementary Results</w:t>
      </w:r>
    </w:p>
    <w:p w14:paraId="70D7FB9A" w14:textId="774F39D9" w:rsidR="007B79BB" w:rsidRPr="00FF1E05" w:rsidRDefault="007B79BB" w:rsidP="007B79BB">
      <w:pPr>
        <w:keepNext/>
        <w:jc w:val="both"/>
        <w:rPr>
          <w:rFonts w:cs="Arial"/>
          <w:color w:val="000000" w:themeColor="text1"/>
          <w:sz w:val="22"/>
        </w:rPr>
      </w:pPr>
      <w:r w:rsidRPr="00FF1E05">
        <w:rPr>
          <w:rFonts w:cs="Arial"/>
          <w:color w:val="000000" w:themeColor="text1"/>
          <w:sz w:val="22"/>
        </w:rPr>
        <w:t xml:space="preserve">Supplementary </w:t>
      </w:r>
      <w:r w:rsidR="00ED14B9" w:rsidRPr="00FF1E05">
        <w:rPr>
          <w:rFonts w:cs="Arial"/>
          <w:color w:val="000000" w:themeColor="text1"/>
          <w:sz w:val="22"/>
        </w:rPr>
        <w:t>Table S1</w:t>
      </w:r>
      <w:r w:rsidRPr="00FF1E05">
        <w:rPr>
          <w:rFonts w:cs="Arial"/>
          <w:color w:val="000000" w:themeColor="text1"/>
          <w:sz w:val="22"/>
        </w:rPr>
        <w:t>-S1</w:t>
      </w:r>
      <w:r w:rsidR="00CA3F92" w:rsidRPr="00FF1E05">
        <w:rPr>
          <w:rFonts w:cs="Arial"/>
          <w:color w:val="000000" w:themeColor="text1"/>
          <w:sz w:val="22"/>
        </w:rPr>
        <w:t>4</w:t>
      </w:r>
    </w:p>
    <w:p w14:paraId="55E94851" w14:textId="15C6F5DE" w:rsidR="007F0C34" w:rsidRPr="00FF1E05" w:rsidRDefault="00AE54F1" w:rsidP="007B79BB">
      <w:pPr>
        <w:keepNext/>
        <w:jc w:val="both"/>
        <w:rPr>
          <w:rFonts w:cs="Arial"/>
          <w:color w:val="000000" w:themeColor="text1"/>
          <w:sz w:val="22"/>
        </w:rPr>
      </w:pPr>
      <w:r w:rsidRPr="00AE54F1">
        <w:rPr>
          <w:rFonts w:cs="Arial"/>
          <w:color w:val="000000" w:themeColor="text1"/>
          <w:sz w:val="22"/>
        </w:rPr>
        <w:t xml:space="preserve">Supplementary </w:t>
      </w:r>
      <w:r w:rsidR="00ED14B9" w:rsidRPr="00FF1E05">
        <w:rPr>
          <w:rFonts w:cs="Arial"/>
          <w:color w:val="000000" w:themeColor="text1"/>
          <w:sz w:val="22"/>
        </w:rPr>
        <w:t>Figures S1-S</w:t>
      </w:r>
      <w:r w:rsidR="006D516D">
        <w:rPr>
          <w:rFonts w:cs="Arial"/>
          <w:color w:val="000000" w:themeColor="text1"/>
          <w:sz w:val="22"/>
        </w:rPr>
        <w:t>6</w:t>
      </w:r>
    </w:p>
    <w:p w14:paraId="718826FC" w14:textId="77777777" w:rsidR="007F0C34" w:rsidRPr="00FF1E05" w:rsidRDefault="00ED14B9" w:rsidP="0072319D">
      <w:pPr>
        <w:keepNext/>
        <w:jc w:val="both"/>
        <w:rPr>
          <w:rFonts w:cs="Arial"/>
          <w:color w:val="000000" w:themeColor="text1"/>
          <w:sz w:val="22"/>
        </w:rPr>
      </w:pPr>
      <w:r w:rsidRPr="00FF1E05">
        <w:rPr>
          <w:rFonts w:cs="Arial"/>
          <w:color w:val="000000" w:themeColor="text1"/>
          <w:sz w:val="22"/>
        </w:rPr>
        <w:t>References to included studies</w:t>
      </w:r>
    </w:p>
    <w:p w14:paraId="0F4C9067" w14:textId="77777777" w:rsidR="007F0C34" w:rsidRPr="00FF1E05" w:rsidRDefault="007F0C34" w:rsidP="0072319D">
      <w:pPr>
        <w:jc w:val="both"/>
        <w:rPr>
          <w:rFonts w:cs="Arial"/>
          <w:color w:val="000000" w:themeColor="text1"/>
          <w:sz w:val="22"/>
        </w:rPr>
        <w:sectPr w:rsidR="007F0C34" w:rsidRPr="00FF1E05" w:rsidSect="0072319D">
          <w:footerReference w:type="default" r:id="rId12"/>
          <w:pgSz w:w="11906" w:h="16838"/>
          <w:pgMar w:top="1560" w:right="1700" w:bottom="1134" w:left="1560" w:header="720" w:footer="720" w:gutter="0"/>
          <w:cols w:space="720"/>
          <w:docGrid w:linePitch="360"/>
        </w:sectPr>
      </w:pPr>
    </w:p>
    <w:p w14:paraId="074C86D4" w14:textId="77777777" w:rsidR="007F0C34" w:rsidRPr="00FF1E05" w:rsidRDefault="00ED14B9" w:rsidP="0072319D">
      <w:pPr>
        <w:keepNext/>
        <w:jc w:val="both"/>
        <w:rPr>
          <w:rFonts w:cs="Arial"/>
          <w:b/>
          <w:bCs/>
          <w:color w:val="000000" w:themeColor="text1"/>
          <w:sz w:val="22"/>
        </w:rPr>
      </w:pPr>
      <w:r w:rsidRPr="00FF1E05">
        <w:rPr>
          <w:rFonts w:cs="Arial"/>
          <w:b/>
          <w:bCs/>
          <w:color w:val="000000" w:themeColor="text1"/>
          <w:sz w:val="22"/>
        </w:rPr>
        <w:lastRenderedPageBreak/>
        <w:t>Supplementary Methods</w:t>
      </w:r>
    </w:p>
    <w:p w14:paraId="1DDD2A77" w14:textId="77777777" w:rsidR="007F0C34" w:rsidRPr="00FF1E05" w:rsidRDefault="00ED14B9" w:rsidP="0072319D">
      <w:pPr>
        <w:jc w:val="both"/>
        <w:rPr>
          <w:rFonts w:cs="Arial"/>
          <w:b/>
          <w:bCs/>
          <w:color w:val="000000" w:themeColor="text1"/>
          <w:sz w:val="22"/>
        </w:rPr>
      </w:pPr>
      <w:r w:rsidRPr="00FF1E05">
        <w:rPr>
          <w:rFonts w:cs="Arial"/>
          <w:b/>
          <w:bCs/>
          <w:color w:val="000000" w:themeColor="text1"/>
          <w:sz w:val="22"/>
        </w:rPr>
        <w:t>S1. Literature search and study selection</w:t>
      </w:r>
    </w:p>
    <w:p w14:paraId="343A1310" w14:textId="0C9E73D5" w:rsidR="00E5416E" w:rsidRPr="00FF1E05" w:rsidRDefault="00E5416E" w:rsidP="00E5416E">
      <w:pPr>
        <w:jc w:val="both"/>
        <w:rPr>
          <w:rFonts w:cs="Arial"/>
          <w:color w:val="000000" w:themeColor="text1"/>
          <w:sz w:val="22"/>
        </w:rPr>
      </w:pPr>
      <w:r w:rsidRPr="00FF1E05">
        <w:rPr>
          <w:rFonts w:cs="Arial"/>
          <w:color w:val="000000" w:themeColor="text1"/>
          <w:sz w:val="22"/>
        </w:rPr>
        <w:t xml:space="preserve">Scopus, Web of Science Core Collection and Google Scholar were searched for experimental studies evaluating biochar application to PFAS-contaminated soils or </w:t>
      </w:r>
      <w:proofErr w:type="gramStart"/>
      <w:r w:rsidRPr="00FF1E05">
        <w:rPr>
          <w:rFonts w:cs="Arial"/>
          <w:color w:val="000000" w:themeColor="text1"/>
          <w:sz w:val="22"/>
        </w:rPr>
        <w:t>soil</w:t>
      </w:r>
      <w:proofErr w:type="gramEnd"/>
      <w:r w:rsidRPr="00FF1E05">
        <w:rPr>
          <w:rFonts w:cs="Arial"/>
          <w:color w:val="000000" w:themeColor="text1"/>
          <w:sz w:val="22"/>
        </w:rPr>
        <w:t>–plant systems. Search terms combined concepts related to biochar, PFAS and soil, with syntax adapted to each platform (Table S1). The literature search was completed on 14 June 2026.</w:t>
      </w:r>
    </w:p>
    <w:p w14:paraId="3FC6BC11" w14:textId="303204DB" w:rsidR="00E5416E" w:rsidRPr="00FF1E05" w:rsidRDefault="00E5416E" w:rsidP="00E5416E">
      <w:pPr>
        <w:jc w:val="both"/>
        <w:rPr>
          <w:rFonts w:cs="Arial"/>
          <w:color w:val="000000" w:themeColor="text1"/>
          <w:sz w:val="22"/>
        </w:rPr>
      </w:pPr>
      <w:r w:rsidRPr="00FF1E05">
        <w:rPr>
          <w:rFonts w:cs="Arial"/>
          <w:color w:val="000000" w:themeColor="text1"/>
          <w:sz w:val="22"/>
        </w:rPr>
        <w:t>After consolidation of search results and complementary checks, 144 unique records entered title and abstract screening. Of these, 117 were excluded, 27 reports were sought for retrieval, one could not be retrieved</w:t>
      </w:r>
      <w:r w:rsidR="00AB6A01" w:rsidRPr="00FF1E05">
        <w:rPr>
          <w:rFonts w:cs="Arial"/>
          <w:color w:val="000000" w:themeColor="text1"/>
          <w:sz w:val="22"/>
        </w:rPr>
        <w:t>,</w:t>
      </w:r>
      <w:r w:rsidRPr="00FF1E05">
        <w:rPr>
          <w:rFonts w:cs="Arial"/>
          <w:color w:val="000000" w:themeColor="text1"/>
          <w:sz w:val="22"/>
        </w:rPr>
        <w:t xml:space="preserve"> and 26 were assessed at full text. Six full-text reports were excluded because they did not meet the soil–biochar scope, lacked an eligible comparator or PFAS fate endpoint, or were non-English full texts. Twenty primary studies were included in the systematic review (Fig. S1). Web of Science identified no additional unique eligible study, and screening of the first 200 Google Scholar results identified no additional eligible study.</w:t>
      </w:r>
    </w:p>
    <w:p w14:paraId="50199F7E" w14:textId="77777777" w:rsidR="00E5416E" w:rsidRPr="00FF1E05" w:rsidRDefault="00E5416E" w:rsidP="00E5416E">
      <w:pPr>
        <w:jc w:val="both"/>
        <w:rPr>
          <w:rFonts w:cs="Arial"/>
          <w:color w:val="000000" w:themeColor="text1"/>
          <w:sz w:val="22"/>
        </w:rPr>
      </w:pPr>
      <w:r w:rsidRPr="00FF1E05">
        <w:rPr>
          <w:rFonts w:cs="Arial"/>
          <w:color w:val="000000" w:themeColor="text1"/>
          <w:sz w:val="22"/>
        </w:rPr>
        <w:t>Water-only adsorption studies without a soil phase were excluded. Eligibility for the systematic review was broader than eligibility for individual quantitative analyses; studies remained eligible when they provided relevant experimental or mechanistic evidence but lacked sufficient information for reconstruction of a quantitative treatment–control effect.</w:t>
      </w:r>
    </w:p>
    <w:p w14:paraId="023806D0" w14:textId="4B6DD88E" w:rsidR="007F0C34" w:rsidRPr="00FF1E05" w:rsidRDefault="00ED14B9" w:rsidP="00E5416E">
      <w:pPr>
        <w:jc w:val="both"/>
        <w:rPr>
          <w:rFonts w:cs="Arial"/>
          <w:b/>
          <w:bCs/>
          <w:color w:val="000000" w:themeColor="text1"/>
          <w:sz w:val="22"/>
        </w:rPr>
      </w:pPr>
      <w:r w:rsidRPr="00FF1E05">
        <w:rPr>
          <w:rFonts w:cs="Arial"/>
          <w:b/>
          <w:bCs/>
          <w:color w:val="000000" w:themeColor="text1"/>
          <w:sz w:val="22"/>
        </w:rPr>
        <w:t>S2. Eligibility and experimental-unit rules</w:t>
      </w:r>
    </w:p>
    <w:p w14:paraId="3A6A041F" w14:textId="77777777" w:rsidR="007F0C34" w:rsidRPr="00FF1E05" w:rsidRDefault="00ED14B9" w:rsidP="0072319D">
      <w:pPr>
        <w:jc w:val="both"/>
        <w:rPr>
          <w:rFonts w:cs="Arial"/>
          <w:color w:val="000000" w:themeColor="text1"/>
          <w:sz w:val="22"/>
        </w:rPr>
      </w:pPr>
      <w:r w:rsidRPr="00FF1E05">
        <w:rPr>
          <w:rFonts w:cs="Arial"/>
          <w:color w:val="000000" w:themeColor="text1"/>
          <w:sz w:val="22"/>
        </w:rPr>
        <w:t xml:space="preserve">Eligible systems included soil batch incubations, soil columns, lysimeters, pots/greenhouse experiments, field enclosures and field trials. The intervention had to contain biochar applied to soil or biosolids-amended soil, with a matched no-biochar comparator under the same PFAS/soil context. Pristine, activated and modified </w:t>
      </w:r>
      <w:proofErr w:type="spellStart"/>
      <w:r w:rsidRPr="00FF1E05">
        <w:rPr>
          <w:rFonts w:cs="Arial"/>
          <w:color w:val="000000" w:themeColor="text1"/>
          <w:sz w:val="22"/>
        </w:rPr>
        <w:t>biochars</w:t>
      </w:r>
      <w:proofErr w:type="spellEnd"/>
      <w:r w:rsidRPr="00FF1E05">
        <w:rPr>
          <w:rFonts w:cs="Arial"/>
          <w:color w:val="000000" w:themeColor="text1"/>
          <w:sz w:val="22"/>
        </w:rPr>
        <w:t xml:space="preserve"> were eligible. The true experimental unit governed replication. Analytical duplicates, nested tissue samples, repeated time points within the same column or lysimeter, and method-imputed measurement uncertainty were not treated as independent treatment replication.</w:t>
      </w:r>
    </w:p>
    <w:p w14:paraId="102CF9B3" w14:textId="77777777" w:rsidR="007F0C34" w:rsidRPr="00FF1E05" w:rsidRDefault="00ED14B9" w:rsidP="0072319D">
      <w:pPr>
        <w:jc w:val="both"/>
        <w:rPr>
          <w:rFonts w:cs="Arial"/>
          <w:color w:val="000000" w:themeColor="text1"/>
          <w:sz w:val="22"/>
        </w:rPr>
      </w:pPr>
      <w:r w:rsidRPr="00FF1E05">
        <w:rPr>
          <w:rFonts w:cs="Arial"/>
          <w:color w:val="000000" w:themeColor="text1"/>
          <w:sz w:val="22"/>
        </w:rPr>
        <w:t>For repeated experiments, a terminal or cumulative endpoint was selected for the main analysis whenever possible. Repeated time points remained available for trajectory or sensitivity analyses, but they were not counted as independent studies. Single-column or single-lysimeter treatments remained eligible for the systematic review and the variance-agnostic study-level synthesis, but not for conventional inverse-variance weighting.</w:t>
      </w:r>
    </w:p>
    <w:p w14:paraId="287409BE" w14:textId="77777777" w:rsidR="007F0C34" w:rsidRPr="00FF1E05" w:rsidRDefault="00ED14B9" w:rsidP="0072319D">
      <w:pPr>
        <w:jc w:val="both"/>
        <w:rPr>
          <w:rFonts w:cs="Arial"/>
          <w:b/>
          <w:bCs/>
          <w:color w:val="000000" w:themeColor="text1"/>
          <w:sz w:val="22"/>
        </w:rPr>
      </w:pPr>
      <w:r w:rsidRPr="00FF1E05">
        <w:rPr>
          <w:rFonts w:cs="Arial"/>
          <w:b/>
          <w:bCs/>
          <w:color w:val="000000" w:themeColor="text1"/>
          <w:sz w:val="22"/>
        </w:rPr>
        <w:t>S3. Outcome hierarchy and direction of benefit</w:t>
      </w:r>
    </w:p>
    <w:p w14:paraId="06A67CF8" w14:textId="2E08E8A2" w:rsidR="007F0C34" w:rsidRPr="00FF1E05" w:rsidRDefault="00ED14B9" w:rsidP="0072319D">
      <w:pPr>
        <w:jc w:val="both"/>
        <w:rPr>
          <w:rFonts w:cs="Arial"/>
          <w:color w:val="000000" w:themeColor="text1"/>
          <w:sz w:val="22"/>
        </w:rPr>
      </w:pPr>
      <w:r w:rsidRPr="00FF1E05">
        <w:rPr>
          <w:rFonts w:cs="Arial"/>
          <w:color w:val="000000" w:themeColor="text1"/>
          <w:sz w:val="22"/>
        </w:rPr>
        <w:t xml:space="preserve">The primary outcome was PFAS mobility. The prespecified hierarchy </w:t>
      </w:r>
      <w:proofErr w:type="spellStart"/>
      <w:r w:rsidR="00AB6A01" w:rsidRPr="00FF1E05">
        <w:rPr>
          <w:rFonts w:cs="Arial"/>
          <w:color w:val="000000" w:themeColor="text1"/>
          <w:sz w:val="22"/>
        </w:rPr>
        <w:t>prioritised</w:t>
      </w:r>
      <w:proofErr w:type="spellEnd"/>
      <w:r w:rsidRPr="00FF1E05">
        <w:rPr>
          <w:rFonts w:cs="Arial"/>
          <w:color w:val="000000" w:themeColor="text1"/>
          <w:sz w:val="22"/>
        </w:rPr>
        <w:t xml:space="preserve"> cumulative PFAS mass or fraction leached, followed by flow-weighted or terminal leachate/porewater/DGT concentration, and then water-extractable or operationally leachable fraction. This hierarchy </w:t>
      </w:r>
      <w:proofErr w:type="spellStart"/>
      <w:r w:rsidR="00AB6A01" w:rsidRPr="00FF1E05">
        <w:rPr>
          <w:rFonts w:cs="Arial"/>
          <w:color w:val="000000" w:themeColor="text1"/>
          <w:sz w:val="22"/>
        </w:rPr>
        <w:t>favoured</w:t>
      </w:r>
      <w:proofErr w:type="spellEnd"/>
      <w:r w:rsidRPr="00FF1E05">
        <w:rPr>
          <w:rFonts w:cs="Arial"/>
          <w:color w:val="000000" w:themeColor="text1"/>
          <w:sz w:val="22"/>
        </w:rPr>
        <w:t xml:space="preserve"> cumulative mass/fraction where available because concentration can be affected by hydrological changes independently of PFAS mass export. Plant uptake/transfer and soil retention/accessibility were </w:t>
      </w:r>
      <w:proofErr w:type="spellStart"/>
      <w:r w:rsidR="00AB6A01" w:rsidRPr="00FF1E05">
        <w:rPr>
          <w:rFonts w:cs="Arial"/>
          <w:color w:val="000000" w:themeColor="text1"/>
          <w:sz w:val="22"/>
        </w:rPr>
        <w:t>analysed</w:t>
      </w:r>
      <w:proofErr w:type="spellEnd"/>
      <w:r w:rsidRPr="00FF1E05">
        <w:rPr>
          <w:rFonts w:cs="Arial"/>
          <w:color w:val="000000" w:themeColor="text1"/>
          <w:sz w:val="22"/>
        </w:rPr>
        <w:t xml:space="preserve"> as separate secondary domains.</w:t>
      </w:r>
    </w:p>
    <w:p w14:paraId="3C14D963" w14:textId="77777777" w:rsidR="007F0C34" w:rsidRPr="00FF1E05" w:rsidRDefault="00ED14B9" w:rsidP="0072319D">
      <w:pPr>
        <w:jc w:val="both"/>
        <w:rPr>
          <w:rFonts w:cs="Arial"/>
          <w:color w:val="000000" w:themeColor="text1"/>
          <w:sz w:val="22"/>
        </w:rPr>
      </w:pPr>
      <w:r w:rsidRPr="00FF1E05">
        <w:rPr>
          <w:rFonts w:cs="Arial"/>
          <w:color w:val="000000" w:themeColor="text1"/>
          <w:sz w:val="22"/>
        </w:rPr>
        <w:lastRenderedPageBreak/>
        <w:t xml:space="preserve">For matched treatment-control contrasts, the raw log response ratio was </w:t>
      </w:r>
      <w:proofErr w:type="spellStart"/>
      <w:r w:rsidRPr="00FF1E05">
        <w:rPr>
          <w:rFonts w:cs="Arial"/>
          <w:color w:val="000000" w:themeColor="text1"/>
          <w:sz w:val="22"/>
        </w:rPr>
        <w:t>lnRR</w:t>
      </w:r>
      <w:proofErr w:type="spellEnd"/>
      <w:r w:rsidRPr="00FF1E05">
        <w:rPr>
          <w:rFonts w:cs="Arial"/>
          <w:color w:val="000000" w:themeColor="text1"/>
          <w:sz w:val="22"/>
        </w:rPr>
        <w:t xml:space="preserve"> = </w:t>
      </w:r>
      <w:proofErr w:type="gramStart"/>
      <w:r w:rsidRPr="00FF1E05">
        <w:rPr>
          <w:rFonts w:cs="Arial"/>
          <w:color w:val="000000" w:themeColor="text1"/>
          <w:sz w:val="22"/>
        </w:rPr>
        <w:t>ln(</w:t>
      </w:r>
      <w:proofErr w:type="spellStart"/>
      <w:proofErr w:type="gramEnd"/>
      <w:r w:rsidRPr="00FF1E05">
        <w:rPr>
          <w:rFonts w:cs="Arial"/>
          <w:color w:val="000000" w:themeColor="text1"/>
          <w:sz w:val="22"/>
        </w:rPr>
        <w:t>mean_biochar</w:t>
      </w:r>
      <w:proofErr w:type="spellEnd"/>
      <w:r w:rsidRPr="00FF1E05">
        <w:rPr>
          <w:rFonts w:cs="Arial"/>
          <w:color w:val="000000" w:themeColor="text1"/>
          <w:sz w:val="22"/>
        </w:rPr>
        <w:t xml:space="preserve"> / </w:t>
      </w:r>
      <w:proofErr w:type="spellStart"/>
      <w:r w:rsidRPr="00FF1E05">
        <w:rPr>
          <w:rFonts w:cs="Arial"/>
          <w:color w:val="000000" w:themeColor="text1"/>
          <w:sz w:val="22"/>
        </w:rPr>
        <w:t>mean_control</w:t>
      </w:r>
      <w:proofErr w:type="spellEnd"/>
      <w:r w:rsidRPr="00FF1E05">
        <w:rPr>
          <w:rFonts w:cs="Arial"/>
          <w:color w:val="000000" w:themeColor="text1"/>
          <w:sz w:val="22"/>
        </w:rPr>
        <w:t xml:space="preserve">). For mobility and plant-uptake outcomes, lower values indicate benefit, so analyses and figures used benefit-aligned </w:t>
      </w:r>
      <w:proofErr w:type="spellStart"/>
      <w:r w:rsidRPr="00FF1E05">
        <w:rPr>
          <w:rFonts w:cs="Arial"/>
          <w:color w:val="000000" w:themeColor="text1"/>
          <w:sz w:val="22"/>
        </w:rPr>
        <w:t>lnRR</w:t>
      </w:r>
      <w:proofErr w:type="spellEnd"/>
      <w:r w:rsidRPr="00FF1E05">
        <w:rPr>
          <w:rFonts w:cs="Arial"/>
          <w:color w:val="000000" w:themeColor="text1"/>
          <w:sz w:val="22"/>
        </w:rPr>
        <w:t xml:space="preserve"> = -</w:t>
      </w:r>
      <w:proofErr w:type="spellStart"/>
      <w:r w:rsidRPr="00FF1E05">
        <w:rPr>
          <w:rFonts w:cs="Arial"/>
          <w:color w:val="000000" w:themeColor="text1"/>
          <w:sz w:val="22"/>
        </w:rPr>
        <w:t>lnRR</w:t>
      </w:r>
      <w:proofErr w:type="spellEnd"/>
      <w:r w:rsidRPr="00FF1E05">
        <w:rPr>
          <w:rFonts w:cs="Arial"/>
          <w:color w:val="000000" w:themeColor="text1"/>
          <w:sz w:val="22"/>
        </w:rPr>
        <w:t xml:space="preserve">. For retention endpoints in which higher retention represented benefit, the direction was aligned accordingly. Percentage reductions were calculated as 100 × [1 - exp(-benefit </w:t>
      </w:r>
      <w:proofErr w:type="spellStart"/>
      <w:r w:rsidRPr="00FF1E05">
        <w:rPr>
          <w:rFonts w:cs="Arial"/>
          <w:color w:val="000000" w:themeColor="text1"/>
          <w:sz w:val="22"/>
        </w:rPr>
        <w:t>lnRR</w:t>
      </w:r>
      <w:proofErr w:type="spellEnd"/>
      <w:r w:rsidRPr="00FF1E05">
        <w:rPr>
          <w:rFonts w:cs="Arial"/>
          <w:color w:val="000000" w:themeColor="text1"/>
          <w:sz w:val="22"/>
        </w:rPr>
        <w:t>)].</w:t>
      </w:r>
    </w:p>
    <w:p w14:paraId="06E473A6" w14:textId="77777777" w:rsidR="007F0C34" w:rsidRPr="00FF1E05" w:rsidRDefault="00ED14B9" w:rsidP="0072319D">
      <w:pPr>
        <w:jc w:val="both"/>
        <w:rPr>
          <w:rFonts w:cs="Arial"/>
          <w:b/>
          <w:bCs/>
          <w:color w:val="000000" w:themeColor="text1"/>
          <w:sz w:val="22"/>
        </w:rPr>
      </w:pPr>
      <w:r w:rsidRPr="00FF1E05">
        <w:rPr>
          <w:rFonts w:cs="Arial"/>
          <w:b/>
          <w:bCs/>
          <w:color w:val="000000" w:themeColor="text1"/>
          <w:sz w:val="22"/>
        </w:rPr>
        <w:t>S4. Sampling variance and shared controls</w:t>
      </w:r>
    </w:p>
    <w:p w14:paraId="05356221" w14:textId="2EB51BD3" w:rsidR="007F0C34" w:rsidRPr="00FF1E05" w:rsidRDefault="00ED14B9" w:rsidP="0072319D">
      <w:pPr>
        <w:jc w:val="both"/>
        <w:rPr>
          <w:rFonts w:cs="Arial"/>
          <w:color w:val="000000" w:themeColor="text1"/>
          <w:sz w:val="22"/>
        </w:rPr>
      </w:pPr>
      <w:r w:rsidRPr="00FF1E05">
        <w:rPr>
          <w:rFonts w:cs="Arial"/>
          <w:color w:val="000000" w:themeColor="text1"/>
          <w:sz w:val="22"/>
        </w:rPr>
        <w:t xml:space="preserve">Where true treatment and control means, standard deviations and independent replicate numbers were available, sampling variance was calculated from the usual delta-method variance of the log response ratio. For effect sizes sharing the same control, the control contribution to the variance was entered as an off-diagonal covariance rather than assuming independence. Variance provenance was audited study by study. Reported standard errors were converted to standard deviations only when the relevant independent n was explicit; analytical or nested sample counts were not substituted for </w:t>
      </w:r>
      <w:proofErr w:type="spellStart"/>
      <w:r w:rsidR="00AB6A01" w:rsidRPr="00FF1E05">
        <w:rPr>
          <w:rFonts w:cs="Arial"/>
          <w:color w:val="000000" w:themeColor="text1"/>
          <w:sz w:val="22"/>
        </w:rPr>
        <w:t>randomised</w:t>
      </w:r>
      <w:proofErr w:type="spellEnd"/>
      <w:r w:rsidRPr="00FF1E05">
        <w:rPr>
          <w:rFonts w:cs="Arial"/>
          <w:color w:val="000000" w:themeColor="text1"/>
          <w:sz w:val="22"/>
        </w:rPr>
        <w:t xml:space="preserve"> experimental-unit replication.</w:t>
      </w:r>
    </w:p>
    <w:p w14:paraId="6C022FA7" w14:textId="77777777" w:rsidR="007F0C34" w:rsidRPr="00FF1E05" w:rsidRDefault="00ED14B9" w:rsidP="0072319D">
      <w:pPr>
        <w:jc w:val="both"/>
        <w:rPr>
          <w:rFonts w:cs="Arial"/>
          <w:b/>
          <w:bCs/>
          <w:color w:val="000000" w:themeColor="text1"/>
          <w:sz w:val="22"/>
        </w:rPr>
      </w:pPr>
      <w:r w:rsidRPr="00FF1E05">
        <w:rPr>
          <w:rFonts w:cs="Arial"/>
          <w:b/>
          <w:bCs/>
          <w:color w:val="000000" w:themeColor="text1"/>
          <w:sz w:val="22"/>
        </w:rPr>
        <w:t>S5. Variance-supported mobility synthesis</w:t>
      </w:r>
    </w:p>
    <w:p w14:paraId="4FA924D4" w14:textId="7C0C8071" w:rsidR="008C0E64" w:rsidRPr="00FF1E05" w:rsidRDefault="008C0E64" w:rsidP="008B432A">
      <w:pPr>
        <w:jc w:val="both"/>
        <w:rPr>
          <w:rFonts w:cs="Arial"/>
          <w:color w:val="000000" w:themeColor="text1"/>
          <w:sz w:val="22"/>
        </w:rPr>
      </w:pPr>
      <w:r w:rsidRPr="00FF1E05">
        <w:rPr>
          <w:rFonts w:cs="Arial"/>
          <w:color w:val="000000" w:themeColor="text1"/>
          <w:sz w:val="22"/>
        </w:rPr>
        <w:t xml:space="preserve">Six independent studies provided </w:t>
      </w:r>
      <w:r w:rsidR="002E0E3F" w:rsidRPr="00FF1E05">
        <w:rPr>
          <w:rFonts w:cs="Arial"/>
          <w:color w:val="000000" w:themeColor="text1"/>
          <w:sz w:val="22"/>
        </w:rPr>
        <w:t>experimental unit</w:t>
      </w:r>
      <w:r w:rsidRPr="00FF1E05">
        <w:rPr>
          <w:rFonts w:cs="Arial"/>
          <w:color w:val="000000" w:themeColor="text1"/>
          <w:sz w:val="22"/>
        </w:rPr>
        <w:t xml:space="preserve"> variance that could be directly reported or defensibly reconstructed.</w:t>
      </w:r>
    </w:p>
    <w:p w14:paraId="6423AB9B" w14:textId="5F4D358E" w:rsidR="008C0E64" w:rsidRPr="00FF1E05" w:rsidRDefault="008C0E64" w:rsidP="008B432A">
      <w:pPr>
        <w:jc w:val="both"/>
        <w:rPr>
          <w:rFonts w:cs="Arial"/>
          <w:color w:val="000000" w:themeColor="text1"/>
          <w:sz w:val="22"/>
        </w:rPr>
      </w:pPr>
      <w:r w:rsidRPr="00FF1E05">
        <w:rPr>
          <w:rFonts w:cs="Arial"/>
          <w:color w:val="000000" w:themeColor="text1"/>
          <w:sz w:val="22"/>
        </w:rPr>
        <w:t>Two complementary random-effects analyses were conducted. First, eligible effects were balanced within experimental context and aggregated to one estimate per study. Dependence among PFAS effects within a shared context was represented using a working compound-symmetry correlation of (</w:t>
      </w:r>
      <w:r w:rsidR="008B432A" w:rsidRPr="00FF1E05">
        <w:rPr>
          <w:sz w:val="22"/>
          <w:szCs w:val="24"/>
        </w:rPr>
        <w:t>ρ</w:t>
      </w:r>
      <w:r w:rsidRPr="00FF1E05">
        <w:rPr>
          <w:rFonts w:cs="Arial"/>
          <w:color w:val="000000" w:themeColor="text1"/>
          <w:sz w:val="22"/>
        </w:rPr>
        <w:t xml:space="preserve">=0.50), and study-level estimates were </w:t>
      </w:r>
      <w:proofErr w:type="spellStart"/>
      <w:r w:rsidR="00AB6A01" w:rsidRPr="00FF1E05">
        <w:rPr>
          <w:rFonts w:cs="Arial"/>
          <w:color w:val="000000" w:themeColor="text1"/>
          <w:sz w:val="22"/>
        </w:rPr>
        <w:t>synthesised</w:t>
      </w:r>
      <w:proofErr w:type="spellEnd"/>
      <w:r w:rsidRPr="00FF1E05">
        <w:rPr>
          <w:rFonts w:cs="Arial"/>
          <w:color w:val="000000" w:themeColor="text1"/>
          <w:sz w:val="22"/>
        </w:rPr>
        <w:t xml:space="preserve"> using restricted maximum likelihood (REML) with Hartung–Knapp inference.</w:t>
      </w:r>
    </w:p>
    <w:p w14:paraId="5CBC4698" w14:textId="71C86825" w:rsidR="008C0E64" w:rsidRPr="00FF1E05" w:rsidRDefault="008C0E64" w:rsidP="008B432A">
      <w:pPr>
        <w:jc w:val="both"/>
        <w:rPr>
          <w:rFonts w:cs="Arial"/>
          <w:color w:val="000000" w:themeColor="text1"/>
          <w:sz w:val="22"/>
        </w:rPr>
      </w:pPr>
      <w:r w:rsidRPr="00FF1E05">
        <w:rPr>
          <w:rFonts w:cs="Arial"/>
          <w:color w:val="000000" w:themeColor="text1"/>
          <w:sz w:val="22"/>
        </w:rPr>
        <w:t xml:space="preserve">Second, the effect-level data were </w:t>
      </w:r>
      <w:proofErr w:type="spellStart"/>
      <w:r w:rsidRPr="00FF1E05">
        <w:rPr>
          <w:rFonts w:cs="Arial"/>
          <w:color w:val="000000" w:themeColor="text1"/>
          <w:sz w:val="22"/>
        </w:rPr>
        <w:t>analysed</w:t>
      </w:r>
      <w:proofErr w:type="spellEnd"/>
      <w:r w:rsidRPr="00FF1E05">
        <w:rPr>
          <w:rFonts w:cs="Arial"/>
          <w:color w:val="000000" w:themeColor="text1"/>
          <w:sz w:val="22"/>
        </w:rPr>
        <w:t xml:space="preserve"> using </w:t>
      </w:r>
      <w:r w:rsidR="00AB6A01" w:rsidRPr="00FF1E05">
        <w:rPr>
          <w:rFonts w:cs="Arial"/>
          <w:color w:val="000000" w:themeColor="text1"/>
          <w:sz w:val="22"/>
        </w:rPr>
        <w:t xml:space="preserve">a </w:t>
      </w:r>
      <w:r w:rsidR="002E0E3F" w:rsidRPr="00FF1E05">
        <w:rPr>
          <w:rFonts w:cs="Arial"/>
          <w:color w:val="000000" w:themeColor="text1"/>
          <w:sz w:val="22"/>
        </w:rPr>
        <w:t>multilevel</w:t>
      </w:r>
      <w:r w:rsidRPr="00FF1E05">
        <w:rPr>
          <w:rFonts w:cs="Arial"/>
          <w:color w:val="000000" w:themeColor="text1"/>
          <w:sz w:val="22"/>
        </w:rPr>
        <w:t xml:space="preserve"> REML model accounting for clustering within study and experimental context. Small-sample inference was obtained using CR2 cluster-robust variance estimation with study as the clustering unit.</w:t>
      </w:r>
    </w:p>
    <w:p w14:paraId="5FF9D7CE" w14:textId="3E7AB109" w:rsidR="008B432A" w:rsidRPr="00FF1E05" w:rsidRDefault="008C0E64" w:rsidP="008B432A">
      <w:pPr>
        <w:jc w:val="both"/>
        <w:rPr>
          <w:rFonts w:cs="Arial"/>
          <w:color w:val="000000" w:themeColor="text1"/>
          <w:sz w:val="22"/>
        </w:rPr>
      </w:pPr>
      <w:r w:rsidRPr="00FF1E05">
        <w:rPr>
          <w:rFonts w:cs="Arial"/>
          <w:color w:val="000000" w:themeColor="text1"/>
          <w:sz w:val="22"/>
        </w:rPr>
        <w:t>Sensitivity analyses evaluated alternative within-context correlations (</w:t>
      </w:r>
      <w:r w:rsidR="008B432A" w:rsidRPr="00FF1E05">
        <w:rPr>
          <w:sz w:val="22"/>
          <w:szCs w:val="24"/>
        </w:rPr>
        <w:t>ρ</w:t>
      </w:r>
      <w:r w:rsidRPr="00FF1E05">
        <w:rPr>
          <w:rFonts w:cs="Arial"/>
          <w:color w:val="000000" w:themeColor="text1"/>
          <w:sz w:val="22"/>
        </w:rPr>
        <w:t>=0,</w:t>
      </w:r>
      <w:r w:rsidR="008B432A" w:rsidRPr="00FF1E05">
        <w:rPr>
          <w:rFonts w:cs="Arial"/>
          <w:color w:val="000000" w:themeColor="text1"/>
          <w:sz w:val="22"/>
        </w:rPr>
        <w:t xml:space="preserve"> </w:t>
      </w:r>
      <w:r w:rsidRPr="00FF1E05">
        <w:rPr>
          <w:rFonts w:cs="Arial"/>
          <w:color w:val="000000" w:themeColor="text1"/>
          <w:sz w:val="22"/>
        </w:rPr>
        <w:t>0.30, 0.50, 0.80) and alternative dependence specifications. Because only six independent studies contributed suitable sampling variances, these models were treated as sensitivity analyses rather than the primary synthesis.</w:t>
      </w:r>
    </w:p>
    <w:p w14:paraId="1532F575" w14:textId="58C6DC2F" w:rsidR="007F0C34" w:rsidRPr="00FF1E05" w:rsidRDefault="00ED14B9" w:rsidP="008C0E64">
      <w:pPr>
        <w:jc w:val="both"/>
        <w:rPr>
          <w:rFonts w:cs="Arial"/>
          <w:b/>
          <w:bCs/>
          <w:color w:val="000000" w:themeColor="text1"/>
          <w:sz w:val="22"/>
        </w:rPr>
      </w:pPr>
      <w:r w:rsidRPr="00FF1E05">
        <w:rPr>
          <w:rFonts w:cs="Arial"/>
          <w:b/>
          <w:bCs/>
          <w:color w:val="000000" w:themeColor="text1"/>
          <w:sz w:val="22"/>
        </w:rPr>
        <w:t xml:space="preserve">S6. </w:t>
      </w:r>
      <w:r w:rsidR="008C0E64" w:rsidRPr="00FF1E05">
        <w:rPr>
          <w:rFonts w:cs="Arial"/>
          <w:b/>
          <w:bCs/>
          <w:color w:val="000000" w:themeColor="text1"/>
          <w:sz w:val="22"/>
        </w:rPr>
        <w:t>Missing-variance sensitivity</w:t>
      </w:r>
    </w:p>
    <w:p w14:paraId="2A874EE9" w14:textId="5240E00A" w:rsidR="00A663D3" w:rsidRPr="00FF1E05" w:rsidRDefault="00A663D3" w:rsidP="008C0E64">
      <w:pPr>
        <w:jc w:val="both"/>
        <w:rPr>
          <w:rFonts w:cs="Arial"/>
          <w:color w:val="000000" w:themeColor="text1"/>
          <w:sz w:val="22"/>
        </w:rPr>
      </w:pPr>
      <w:r w:rsidRPr="00FF1E05">
        <w:rPr>
          <w:rFonts w:cs="Arial"/>
          <w:color w:val="000000" w:themeColor="text1"/>
          <w:sz w:val="22"/>
        </w:rPr>
        <w:t>Two additional studies had genuine independent experimental replication and exact treatment–control mobility effects but lacked usable endpoint-specific sampling variances. These studies were incorporated in a separate eight-study sensitivity analysis in which missing uncertainty, but not the observed effect size, was imputed.</w:t>
      </w:r>
    </w:p>
    <w:p w14:paraId="2A00B276" w14:textId="0A57E8CE" w:rsidR="00A663D3" w:rsidRPr="00FF1E05" w:rsidRDefault="00A663D3" w:rsidP="008C0E64">
      <w:pPr>
        <w:jc w:val="both"/>
        <w:rPr>
          <w:rFonts w:cs="Arial"/>
          <w:color w:val="000000" w:themeColor="text1"/>
          <w:sz w:val="22"/>
        </w:rPr>
      </w:pPr>
      <w:r w:rsidRPr="00FF1E05">
        <w:rPr>
          <w:rFonts w:cs="Arial"/>
          <w:color w:val="000000" w:themeColor="text1"/>
          <w:sz w:val="22"/>
        </w:rPr>
        <w:t xml:space="preserve">Coefficients of variation were sampled from the empirical distribution of study-level median coefficients of variation among variance-resolved donor studies and propagated across 5,000 imputations. Observed treatment and control means and the resulting </w:t>
      </w:r>
      <w:r w:rsidRPr="00FF1E05">
        <w:rPr>
          <w:rFonts w:cs="Arial"/>
          <w:i/>
          <w:iCs/>
          <w:color w:val="000000" w:themeColor="text1"/>
          <w:sz w:val="22"/>
        </w:rPr>
        <w:t>ln RR</w:t>
      </w:r>
      <w:r w:rsidRPr="00FF1E05">
        <w:rPr>
          <w:rFonts w:cs="Arial"/>
          <w:color w:val="000000" w:themeColor="text1"/>
          <w:sz w:val="22"/>
        </w:rPr>
        <w:t xml:space="preserve"> values were unchanged. Results were combined across imputations, with additional checks based on donor-distribution quartiles and Monte Carlo split-half stability.</w:t>
      </w:r>
    </w:p>
    <w:p w14:paraId="7FC7E6E1" w14:textId="1DDFB3C8" w:rsidR="007F0C34" w:rsidRPr="00FF1E05" w:rsidRDefault="00ED14B9" w:rsidP="00A663D3">
      <w:pPr>
        <w:jc w:val="both"/>
        <w:rPr>
          <w:rFonts w:cs="Arial"/>
          <w:b/>
          <w:bCs/>
          <w:color w:val="000000" w:themeColor="text1"/>
          <w:sz w:val="22"/>
        </w:rPr>
      </w:pPr>
      <w:r w:rsidRPr="00FF1E05">
        <w:rPr>
          <w:rFonts w:cs="Arial"/>
          <w:b/>
          <w:bCs/>
          <w:color w:val="000000" w:themeColor="text1"/>
          <w:sz w:val="22"/>
        </w:rPr>
        <w:lastRenderedPageBreak/>
        <w:t xml:space="preserve">S7. </w:t>
      </w:r>
      <w:r w:rsidR="000F22DB" w:rsidRPr="00FF1E05">
        <w:rPr>
          <w:rFonts w:cs="Arial"/>
          <w:b/>
          <w:bCs/>
          <w:color w:val="000000" w:themeColor="text1"/>
          <w:sz w:val="22"/>
        </w:rPr>
        <w:t>Study-level all-evidence mobility synthesis</w:t>
      </w:r>
    </w:p>
    <w:p w14:paraId="585B82D0" w14:textId="0FDD92A0" w:rsidR="000F22DB" w:rsidRPr="00FF1E05" w:rsidRDefault="000F22DB" w:rsidP="000F22DB">
      <w:pPr>
        <w:jc w:val="both"/>
        <w:rPr>
          <w:rFonts w:cs="Arial"/>
          <w:color w:val="000000" w:themeColor="text1"/>
          <w:sz w:val="22"/>
        </w:rPr>
      </w:pPr>
      <w:r w:rsidRPr="00FF1E05">
        <w:rPr>
          <w:rFonts w:cs="Arial"/>
          <w:color w:val="000000" w:themeColor="text1"/>
          <w:sz w:val="22"/>
        </w:rPr>
        <w:t>To include studies with quantitative mobility information but incomplete sampling variance, each independent study was reduced to one prespecified benefit-aligned mobility summary after balancing eligible PFAS, biochar treatments and experimental contexts.</w:t>
      </w:r>
    </w:p>
    <w:p w14:paraId="71742F86" w14:textId="51B70BD8" w:rsidR="000F22DB" w:rsidRPr="00FF1E05" w:rsidRDefault="000F22DB" w:rsidP="000F22DB">
      <w:pPr>
        <w:jc w:val="both"/>
        <w:rPr>
          <w:rFonts w:cs="Arial"/>
          <w:color w:val="000000" w:themeColor="text1"/>
          <w:sz w:val="22"/>
        </w:rPr>
      </w:pPr>
      <w:r w:rsidRPr="00FF1E05">
        <w:rPr>
          <w:rFonts w:cs="Arial"/>
          <w:color w:val="000000" w:themeColor="text1"/>
          <w:sz w:val="22"/>
        </w:rPr>
        <w:t xml:space="preserve">For the 15 studies with exact point estimates, the cross-study effect was </w:t>
      </w:r>
      <w:proofErr w:type="spellStart"/>
      <w:r w:rsidR="00AB6A01" w:rsidRPr="00FF1E05">
        <w:rPr>
          <w:rFonts w:cs="Arial"/>
          <w:color w:val="000000" w:themeColor="text1"/>
          <w:sz w:val="22"/>
        </w:rPr>
        <w:t>summarised</w:t>
      </w:r>
      <w:proofErr w:type="spellEnd"/>
      <w:r w:rsidRPr="00FF1E05">
        <w:rPr>
          <w:rFonts w:cs="Arial"/>
          <w:color w:val="000000" w:themeColor="text1"/>
          <w:sz w:val="22"/>
        </w:rPr>
        <w:t xml:space="preserve"> using the sample median. Uncertainty was quantified using an exact distribution-free order-statistic confidence interval, and directionality was evaluated using a two-sided exact sign test. Each independent study therefore contributed equally regardless of the number of compounds, doses or treatment combinations reported.</w:t>
      </w:r>
    </w:p>
    <w:p w14:paraId="35A418CD" w14:textId="77777777" w:rsidR="000F22DB" w:rsidRPr="00FF1E05" w:rsidRDefault="000F22DB" w:rsidP="000F22DB">
      <w:pPr>
        <w:jc w:val="both"/>
        <w:rPr>
          <w:rFonts w:cs="Arial"/>
          <w:color w:val="000000" w:themeColor="text1"/>
          <w:sz w:val="22"/>
        </w:rPr>
      </w:pPr>
      <w:r w:rsidRPr="00FF1E05">
        <w:rPr>
          <w:rFonts w:cs="Arial"/>
          <w:color w:val="000000" w:themeColor="text1"/>
          <w:sz w:val="22"/>
        </w:rPr>
        <w:t>One additional study provided only an interval-censored mobility estimate. Its lower and upper limits were retained throughout the analysis without midpoint substitution. Bounds on the overall median were obtained by propagating the interval limits through the relevant sample-median order statistics. The observed overall median remained point identified because the censored interval did not alter the median rank.</w:t>
      </w:r>
    </w:p>
    <w:p w14:paraId="1CAFD74D" w14:textId="5CF171B5" w:rsidR="007F0C34" w:rsidRPr="00FF1E05" w:rsidRDefault="00ED14B9" w:rsidP="000F22DB">
      <w:pPr>
        <w:jc w:val="both"/>
        <w:rPr>
          <w:rFonts w:cs="Arial"/>
          <w:b/>
          <w:bCs/>
          <w:color w:val="000000" w:themeColor="text1"/>
          <w:sz w:val="22"/>
        </w:rPr>
      </w:pPr>
      <w:r w:rsidRPr="00FF1E05">
        <w:rPr>
          <w:rFonts w:cs="Arial"/>
          <w:b/>
          <w:bCs/>
          <w:color w:val="000000" w:themeColor="text1"/>
          <w:sz w:val="22"/>
        </w:rPr>
        <w:t>S8. PFAS chemistry mechanism analyses</w:t>
      </w:r>
    </w:p>
    <w:p w14:paraId="17EF161E" w14:textId="1952A8D9" w:rsidR="006032B8" w:rsidRPr="00FF1E05" w:rsidRDefault="006032B8" w:rsidP="006032B8">
      <w:pPr>
        <w:jc w:val="both"/>
        <w:rPr>
          <w:rFonts w:cs="Arial"/>
          <w:color w:val="000000" w:themeColor="text1"/>
          <w:sz w:val="22"/>
        </w:rPr>
      </w:pPr>
      <w:r w:rsidRPr="00FF1E05">
        <w:rPr>
          <w:rFonts w:cs="Arial"/>
          <w:color w:val="000000" w:themeColor="text1"/>
          <w:sz w:val="22"/>
        </w:rPr>
        <w:t xml:space="preserve">PFAS identities were </w:t>
      </w:r>
      <w:proofErr w:type="spellStart"/>
      <w:r w:rsidR="00AB6A01" w:rsidRPr="00FF1E05">
        <w:rPr>
          <w:rFonts w:cs="Arial"/>
          <w:color w:val="000000" w:themeColor="text1"/>
          <w:sz w:val="22"/>
        </w:rPr>
        <w:t>harmonised</w:t>
      </w:r>
      <w:proofErr w:type="spellEnd"/>
      <w:r w:rsidRPr="00FF1E05">
        <w:rPr>
          <w:rFonts w:cs="Arial"/>
          <w:color w:val="000000" w:themeColor="text1"/>
          <w:sz w:val="22"/>
        </w:rPr>
        <w:t xml:space="preserve"> to canonical compound name, chemical group, headgroup and total carbon number (Table S13). Primary chain-length analyses were restricted to terminal PFCAs and PFSAs for which consistent chain classification could be applied.</w:t>
      </w:r>
    </w:p>
    <w:p w14:paraId="34D6AEE5" w14:textId="48646E59" w:rsidR="006032B8" w:rsidRPr="00FF1E05" w:rsidRDefault="006032B8" w:rsidP="006032B8">
      <w:pPr>
        <w:jc w:val="both"/>
        <w:rPr>
          <w:rFonts w:cs="Arial"/>
          <w:color w:val="000000" w:themeColor="text1"/>
          <w:sz w:val="22"/>
        </w:rPr>
      </w:pPr>
      <w:r w:rsidRPr="00FF1E05">
        <w:rPr>
          <w:rFonts w:cs="Arial"/>
          <w:color w:val="000000" w:themeColor="text1"/>
          <w:sz w:val="22"/>
        </w:rPr>
        <w:t>For the long- versus short-chain analysis, mobility effects were first paired within the same study and experimental context. Median benefit-aligned effects were calculated separately for long- and short-chain compounds, and their difference was subsequently collapsed to one independent contrast per study. The cross-study median contrast and its exact distribution-free confidence interval were calculated, and consistency of direction was evaluated using an exact sign test.</w:t>
      </w:r>
    </w:p>
    <w:p w14:paraId="46301D41" w14:textId="08D80ACE" w:rsidR="006032B8" w:rsidRPr="00FF1E05" w:rsidRDefault="006032B8" w:rsidP="006032B8">
      <w:pPr>
        <w:jc w:val="both"/>
        <w:rPr>
          <w:rFonts w:cs="Arial"/>
          <w:color w:val="000000" w:themeColor="text1"/>
          <w:sz w:val="22"/>
        </w:rPr>
      </w:pPr>
      <w:r w:rsidRPr="00FF1E05">
        <w:rPr>
          <w:rFonts w:cs="Arial"/>
          <w:color w:val="000000" w:themeColor="text1"/>
          <w:sz w:val="22"/>
        </w:rPr>
        <w:t xml:space="preserve">A headgroup-adjusted sensitivity </w:t>
      </w:r>
      <w:r w:rsidR="00AB6A01" w:rsidRPr="00FF1E05">
        <w:rPr>
          <w:rFonts w:cs="Arial"/>
          <w:color w:val="000000" w:themeColor="text1"/>
          <w:sz w:val="22"/>
        </w:rPr>
        <w:t xml:space="preserve">was </w:t>
      </w:r>
      <w:r w:rsidRPr="00FF1E05">
        <w:rPr>
          <w:rFonts w:cs="Arial"/>
          <w:color w:val="000000" w:themeColor="text1"/>
          <w:sz w:val="22"/>
        </w:rPr>
        <w:t xml:space="preserve">calculated </w:t>
      </w:r>
      <w:r w:rsidR="008601C8" w:rsidRPr="00FF1E05">
        <w:rPr>
          <w:rFonts w:cs="Arial"/>
          <w:color w:val="000000" w:themeColor="text1"/>
          <w:sz w:val="22"/>
        </w:rPr>
        <w:t xml:space="preserve">for </w:t>
      </w:r>
      <w:r w:rsidRPr="00FF1E05">
        <w:rPr>
          <w:rFonts w:cs="Arial"/>
          <w:color w:val="000000" w:themeColor="text1"/>
          <w:sz w:val="22"/>
        </w:rPr>
        <w:t>long-versus-short contrasts separately within PFCA and PFSA strata before combining them within study.</w:t>
      </w:r>
    </w:p>
    <w:p w14:paraId="10CA555E" w14:textId="1B126953" w:rsidR="006032B8" w:rsidRPr="00FF1E05" w:rsidRDefault="006032B8" w:rsidP="006032B8">
      <w:pPr>
        <w:jc w:val="both"/>
        <w:rPr>
          <w:rFonts w:cs="Arial"/>
          <w:color w:val="000000" w:themeColor="text1"/>
          <w:sz w:val="22"/>
        </w:rPr>
      </w:pPr>
      <w:r w:rsidRPr="00FF1E05">
        <w:rPr>
          <w:rFonts w:cs="Arial"/>
          <w:color w:val="000000" w:themeColor="text1"/>
          <w:sz w:val="22"/>
        </w:rPr>
        <w:t xml:space="preserve">The continuous carbon-number analysis retained the molecular gradient without imposing a binary chain threshold. Headgroup-stratified Theil–Sen slopes relating benefit-aligned </w:t>
      </w:r>
      <w:r w:rsidRPr="00FF1E05">
        <w:rPr>
          <w:rFonts w:cs="Arial"/>
          <w:i/>
          <w:iCs/>
          <w:color w:val="000000" w:themeColor="text1"/>
          <w:sz w:val="22"/>
        </w:rPr>
        <w:t>ln RR</w:t>
      </w:r>
      <w:r w:rsidRPr="00FF1E05">
        <w:rPr>
          <w:rFonts w:cs="Arial"/>
          <w:color w:val="000000" w:themeColor="text1"/>
          <w:sz w:val="22"/>
        </w:rPr>
        <w:t xml:space="preserve"> to total carbon number were calculated within eligible study contexts and collapsed to one median slope per independent study. Cross-study inference was based on the median study slope, its exact distribution-free confidence interval and an exact sign test.</w:t>
      </w:r>
    </w:p>
    <w:p w14:paraId="7C1DA13A" w14:textId="77777777" w:rsidR="006032B8" w:rsidRPr="00FF1E05" w:rsidRDefault="006032B8" w:rsidP="006032B8">
      <w:pPr>
        <w:jc w:val="both"/>
        <w:rPr>
          <w:rFonts w:cs="Arial"/>
          <w:color w:val="000000" w:themeColor="text1"/>
          <w:sz w:val="22"/>
        </w:rPr>
      </w:pPr>
      <w:r w:rsidRPr="00FF1E05">
        <w:rPr>
          <w:rFonts w:cs="Arial"/>
          <w:color w:val="000000" w:themeColor="text1"/>
          <w:sz w:val="22"/>
        </w:rPr>
        <w:t>PFSA–PFCA differences were evaluated using analogous paired within-context contrasts and one independent summary per study.</w:t>
      </w:r>
    </w:p>
    <w:p w14:paraId="502EDE22" w14:textId="0EE180FA" w:rsidR="007F0C34" w:rsidRPr="00FF1E05" w:rsidRDefault="00ED14B9" w:rsidP="006032B8">
      <w:pPr>
        <w:jc w:val="both"/>
        <w:rPr>
          <w:rFonts w:cs="Arial"/>
          <w:b/>
          <w:bCs/>
          <w:color w:val="000000" w:themeColor="text1"/>
          <w:sz w:val="22"/>
        </w:rPr>
      </w:pPr>
      <w:r w:rsidRPr="00FF1E05">
        <w:rPr>
          <w:rFonts w:cs="Arial"/>
          <w:b/>
          <w:bCs/>
          <w:color w:val="000000" w:themeColor="text1"/>
          <w:sz w:val="22"/>
        </w:rPr>
        <w:t>S9. Moderator and contextual analyses</w:t>
      </w:r>
    </w:p>
    <w:p w14:paraId="6B2F44B8" w14:textId="00F80023" w:rsidR="001949DD" w:rsidRPr="00FF1E05" w:rsidRDefault="001949DD" w:rsidP="001949DD">
      <w:pPr>
        <w:jc w:val="both"/>
        <w:rPr>
          <w:rFonts w:cs="Arial"/>
          <w:color w:val="000000" w:themeColor="text1"/>
          <w:sz w:val="22"/>
        </w:rPr>
      </w:pPr>
      <w:r w:rsidRPr="00FF1E05">
        <w:rPr>
          <w:rFonts w:cs="Arial"/>
          <w:color w:val="000000" w:themeColor="text1"/>
          <w:sz w:val="22"/>
        </w:rPr>
        <w:t>Moderator analyses were based on independent-study summaries rather than individual effect-size rows.</w:t>
      </w:r>
    </w:p>
    <w:p w14:paraId="457325C3" w14:textId="050ED15E" w:rsidR="001949DD" w:rsidRPr="00FF1E05" w:rsidRDefault="001949DD" w:rsidP="001949DD">
      <w:pPr>
        <w:jc w:val="both"/>
        <w:rPr>
          <w:rFonts w:cs="Arial"/>
          <w:color w:val="000000" w:themeColor="text1"/>
          <w:sz w:val="22"/>
        </w:rPr>
      </w:pPr>
      <w:r w:rsidRPr="00FF1E05">
        <w:rPr>
          <w:rFonts w:cs="Arial"/>
          <w:color w:val="000000" w:themeColor="text1"/>
          <w:sz w:val="22"/>
        </w:rPr>
        <w:lastRenderedPageBreak/>
        <w:t>Biochar dose, soil total organic carbon (TOC) and pyrolysis temperature had sufficient study coverage for the main moderator analyses. Between-study relationships were evaluated using Spearman rank correlation and descriptive Theil–Sen slopes based on one moderator value and one response summary per study. When genuine variation in a moderator occurred within a study, study-specific Theil–Sen slopes were additionally calculated and their directional consistency evaluated using exact sign tests.</w:t>
      </w:r>
    </w:p>
    <w:p w14:paraId="5D5B95CE" w14:textId="0087ADA3" w:rsidR="001949DD" w:rsidRPr="00FF1E05" w:rsidRDefault="001949DD" w:rsidP="001949DD">
      <w:pPr>
        <w:jc w:val="both"/>
        <w:rPr>
          <w:rFonts w:cs="Arial"/>
          <w:color w:val="000000" w:themeColor="text1"/>
          <w:sz w:val="22"/>
        </w:rPr>
      </w:pPr>
      <w:r w:rsidRPr="00FF1E05">
        <w:rPr>
          <w:rFonts w:cs="Arial"/>
          <w:color w:val="000000" w:themeColor="text1"/>
          <w:sz w:val="22"/>
        </w:rPr>
        <w:t xml:space="preserve">Contamination regime and experimental system were </w:t>
      </w:r>
      <w:proofErr w:type="spellStart"/>
      <w:r w:rsidRPr="00FF1E05">
        <w:rPr>
          <w:rFonts w:cs="Arial"/>
          <w:color w:val="000000" w:themeColor="text1"/>
          <w:sz w:val="22"/>
        </w:rPr>
        <w:t>analysed</w:t>
      </w:r>
      <w:proofErr w:type="spellEnd"/>
      <w:r w:rsidRPr="00FF1E05">
        <w:rPr>
          <w:rFonts w:cs="Arial"/>
          <w:color w:val="000000" w:themeColor="text1"/>
          <w:sz w:val="22"/>
        </w:rPr>
        <w:t xml:space="preserve"> as categorical study-level comparisons using exact permutation tests. These analyses were interpreted as contextual associations rather than causal moderator effects.</w:t>
      </w:r>
    </w:p>
    <w:p w14:paraId="0BEB5767" w14:textId="6B54D60A" w:rsidR="001949DD" w:rsidRPr="00FF1E05" w:rsidRDefault="001949DD" w:rsidP="001949DD">
      <w:pPr>
        <w:jc w:val="both"/>
        <w:rPr>
          <w:rFonts w:cs="Arial"/>
          <w:color w:val="000000" w:themeColor="text1"/>
          <w:sz w:val="22"/>
        </w:rPr>
      </w:pPr>
      <w:r w:rsidRPr="00FF1E05">
        <w:rPr>
          <w:rFonts w:cs="Arial"/>
          <w:color w:val="000000" w:themeColor="text1"/>
          <w:sz w:val="22"/>
        </w:rPr>
        <w:t>Specific surface area measured by N</w:t>
      </w:r>
      <w:r w:rsidRPr="00FF1E05">
        <w:rPr>
          <w:rFonts w:ascii="Cambria Math" w:hAnsi="Cambria Math" w:cs="Cambria Math"/>
          <w:color w:val="000000" w:themeColor="text1"/>
          <w:sz w:val="22"/>
        </w:rPr>
        <w:t>₂</w:t>
      </w:r>
      <w:r w:rsidRPr="00FF1E05">
        <w:rPr>
          <w:rFonts w:cs="Arial"/>
          <w:color w:val="000000" w:themeColor="text1"/>
          <w:sz w:val="22"/>
        </w:rPr>
        <w:t>-BET and CO</w:t>
      </w:r>
      <w:r w:rsidRPr="00FF1E05">
        <w:rPr>
          <w:rFonts w:ascii="Cambria Math" w:hAnsi="Cambria Math" w:cs="Cambria Math"/>
          <w:color w:val="000000" w:themeColor="text1"/>
          <w:sz w:val="22"/>
        </w:rPr>
        <w:t>₂</w:t>
      </w:r>
      <w:r w:rsidRPr="00FF1E05">
        <w:rPr>
          <w:rFonts w:cs="Arial"/>
          <w:color w:val="000000" w:themeColor="text1"/>
          <w:sz w:val="22"/>
        </w:rPr>
        <w:t xml:space="preserve">-DFT was </w:t>
      </w:r>
      <w:proofErr w:type="spellStart"/>
      <w:r w:rsidRPr="00FF1E05">
        <w:rPr>
          <w:rFonts w:cs="Arial"/>
          <w:color w:val="000000" w:themeColor="text1"/>
          <w:sz w:val="22"/>
        </w:rPr>
        <w:t>analysed</w:t>
      </w:r>
      <w:proofErr w:type="spellEnd"/>
      <w:r w:rsidRPr="00FF1E05">
        <w:rPr>
          <w:rFonts w:cs="Arial"/>
          <w:color w:val="000000" w:themeColor="text1"/>
          <w:sz w:val="22"/>
        </w:rPr>
        <w:t xml:space="preserve"> separately because the two methods probe different pore domains and cannot be treated as directly interchangeable. N</w:t>
      </w:r>
      <w:r w:rsidRPr="00FF1E05">
        <w:rPr>
          <w:rFonts w:ascii="Cambria Math" w:hAnsi="Cambria Math" w:cs="Cambria Math"/>
          <w:color w:val="000000" w:themeColor="text1"/>
          <w:sz w:val="22"/>
        </w:rPr>
        <w:t>₂</w:t>
      </w:r>
      <w:r w:rsidRPr="00FF1E05">
        <w:rPr>
          <w:rFonts w:cs="Arial"/>
          <w:color w:val="000000" w:themeColor="text1"/>
          <w:sz w:val="22"/>
        </w:rPr>
        <w:t>-BET SSA, CO</w:t>
      </w:r>
      <w:r w:rsidRPr="00FF1E05">
        <w:rPr>
          <w:rFonts w:ascii="Cambria Math" w:hAnsi="Cambria Math" w:cs="Cambria Math"/>
          <w:color w:val="000000" w:themeColor="text1"/>
          <w:sz w:val="22"/>
        </w:rPr>
        <w:t>₂</w:t>
      </w:r>
      <w:r w:rsidRPr="00FF1E05">
        <w:rPr>
          <w:rFonts w:cs="Arial"/>
          <w:color w:val="000000" w:themeColor="text1"/>
          <w:sz w:val="22"/>
        </w:rPr>
        <w:t>-DFT SSA and experimental duration/aging were retained as supplementary descriptive moderators because each was represented by fewer than 10 independent studies (Table S10). Feedstock, activation/modification and soil texture were not quantitatively pooled because category representation was insufficiently balanced across independent studies.</w:t>
      </w:r>
    </w:p>
    <w:p w14:paraId="4D200B7D" w14:textId="18C859BE" w:rsidR="007F0C34" w:rsidRPr="00FF1E05" w:rsidRDefault="00ED14B9" w:rsidP="001949DD">
      <w:pPr>
        <w:jc w:val="both"/>
        <w:rPr>
          <w:rFonts w:cs="Arial"/>
          <w:b/>
          <w:bCs/>
          <w:color w:val="000000" w:themeColor="text1"/>
          <w:sz w:val="22"/>
        </w:rPr>
      </w:pPr>
      <w:r w:rsidRPr="00FF1E05">
        <w:rPr>
          <w:rFonts w:cs="Arial"/>
          <w:b/>
          <w:bCs/>
          <w:color w:val="000000" w:themeColor="text1"/>
          <w:sz w:val="22"/>
        </w:rPr>
        <w:t>S10. Secondary outcomes</w:t>
      </w:r>
    </w:p>
    <w:p w14:paraId="6266F347" w14:textId="61335975" w:rsidR="001949DD" w:rsidRPr="00FF1E05" w:rsidRDefault="001949DD" w:rsidP="001949DD">
      <w:pPr>
        <w:jc w:val="both"/>
        <w:rPr>
          <w:rFonts w:cs="Arial"/>
          <w:color w:val="000000" w:themeColor="text1"/>
          <w:sz w:val="22"/>
        </w:rPr>
      </w:pPr>
      <w:r w:rsidRPr="00FF1E05">
        <w:rPr>
          <w:rFonts w:cs="Arial"/>
          <w:color w:val="000000" w:themeColor="text1"/>
          <w:sz w:val="22"/>
        </w:rPr>
        <w:t xml:space="preserve">Soil retention/accessibility and plant uptake/bioavailability were </w:t>
      </w:r>
      <w:proofErr w:type="spellStart"/>
      <w:r w:rsidRPr="00FF1E05">
        <w:rPr>
          <w:rFonts w:cs="Arial"/>
          <w:color w:val="000000" w:themeColor="text1"/>
          <w:sz w:val="22"/>
        </w:rPr>
        <w:t>analysed</w:t>
      </w:r>
      <w:proofErr w:type="spellEnd"/>
      <w:r w:rsidRPr="00FF1E05">
        <w:rPr>
          <w:rFonts w:cs="Arial"/>
          <w:color w:val="000000" w:themeColor="text1"/>
          <w:sz w:val="22"/>
        </w:rPr>
        <w:t xml:space="preserve"> separately from mobility. Effect directions were </w:t>
      </w:r>
      <w:proofErr w:type="spellStart"/>
      <w:r w:rsidR="008601C8" w:rsidRPr="00FF1E05">
        <w:rPr>
          <w:rFonts w:cs="Arial"/>
          <w:color w:val="000000" w:themeColor="text1"/>
          <w:sz w:val="22"/>
        </w:rPr>
        <w:t>harmonised</w:t>
      </w:r>
      <w:proofErr w:type="spellEnd"/>
      <w:r w:rsidRPr="00FF1E05">
        <w:rPr>
          <w:rFonts w:cs="Arial"/>
          <w:color w:val="000000" w:themeColor="text1"/>
          <w:sz w:val="22"/>
        </w:rPr>
        <w:t xml:space="preserve"> so that positive benefit-aligned values represented greater </w:t>
      </w:r>
      <w:proofErr w:type="spellStart"/>
      <w:r w:rsidR="008601C8" w:rsidRPr="00FF1E05">
        <w:rPr>
          <w:rFonts w:cs="Arial"/>
          <w:color w:val="000000" w:themeColor="text1"/>
          <w:sz w:val="22"/>
        </w:rPr>
        <w:t>stabilisation</w:t>
      </w:r>
      <w:proofErr w:type="spellEnd"/>
      <w:r w:rsidRPr="00FF1E05">
        <w:rPr>
          <w:rFonts w:cs="Arial"/>
          <w:color w:val="000000" w:themeColor="text1"/>
          <w:sz w:val="22"/>
        </w:rPr>
        <w:t>.</w:t>
      </w:r>
    </w:p>
    <w:p w14:paraId="0085ABE2" w14:textId="2C13C4CD" w:rsidR="001949DD" w:rsidRPr="00FF1E05" w:rsidRDefault="001949DD" w:rsidP="001949DD">
      <w:pPr>
        <w:jc w:val="both"/>
        <w:rPr>
          <w:rFonts w:cs="Arial"/>
          <w:color w:val="000000" w:themeColor="text1"/>
          <w:sz w:val="22"/>
        </w:rPr>
      </w:pPr>
      <w:r w:rsidRPr="00FF1E05">
        <w:rPr>
          <w:rFonts w:cs="Arial"/>
          <w:color w:val="000000" w:themeColor="text1"/>
          <w:sz w:val="22"/>
        </w:rPr>
        <w:t>Within each study and outcome domain, dependent observations were balanced across experimental contexts and combined using available sampling covariance, including covariance arising from shared controls where recoverable.</w:t>
      </w:r>
    </w:p>
    <w:p w14:paraId="1D14F363" w14:textId="77777777" w:rsidR="001949DD" w:rsidRPr="00FF1E05" w:rsidRDefault="001949DD" w:rsidP="001949DD">
      <w:pPr>
        <w:jc w:val="both"/>
        <w:rPr>
          <w:rFonts w:cs="Arial"/>
          <w:color w:val="000000" w:themeColor="text1"/>
          <w:sz w:val="22"/>
        </w:rPr>
      </w:pPr>
      <w:r w:rsidRPr="00FF1E05">
        <w:rPr>
          <w:rFonts w:cs="Arial"/>
          <w:color w:val="000000" w:themeColor="text1"/>
          <w:sz w:val="22"/>
        </w:rPr>
        <w:t>Only two independent variance-supported studies contributed to each secondary domain. Consequently, no cross-study random-effects estimate was calculated. Study-specific effects and confidence intervals are reported in Table S11 and Fig. S4.</w:t>
      </w:r>
    </w:p>
    <w:p w14:paraId="0F62BF08" w14:textId="01FB3460" w:rsidR="007F0C34" w:rsidRPr="00FF1E05" w:rsidRDefault="00ED14B9" w:rsidP="001949DD">
      <w:pPr>
        <w:jc w:val="both"/>
        <w:rPr>
          <w:rFonts w:cs="Arial"/>
          <w:b/>
          <w:bCs/>
          <w:color w:val="000000" w:themeColor="text1"/>
          <w:sz w:val="22"/>
        </w:rPr>
      </w:pPr>
      <w:r w:rsidRPr="00FF1E05">
        <w:rPr>
          <w:rFonts w:cs="Arial"/>
          <w:b/>
          <w:bCs/>
          <w:color w:val="000000" w:themeColor="text1"/>
          <w:sz w:val="22"/>
        </w:rPr>
        <w:t>S11. Influence and small-study-effect diagnostics</w:t>
      </w:r>
    </w:p>
    <w:p w14:paraId="1D292F8F" w14:textId="65FA926A" w:rsidR="003416C3" w:rsidRPr="00FF1E05" w:rsidRDefault="003416C3" w:rsidP="003416C3">
      <w:pPr>
        <w:keepNext/>
        <w:jc w:val="both"/>
        <w:rPr>
          <w:rFonts w:cs="Arial"/>
          <w:color w:val="000000" w:themeColor="text1"/>
          <w:sz w:val="22"/>
        </w:rPr>
      </w:pPr>
      <w:r w:rsidRPr="00FF1E05">
        <w:rPr>
          <w:rFonts w:cs="Arial"/>
          <w:color w:val="000000" w:themeColor="text1"/>
          <w:sz w:val="22"/>
        </w:rPr>
        <w:t>Leave-one-study-out analyses were conducted for the exact study-level mobility synthesis, the long-versus-short-chain analysis, the continuous carbon-number analysis and the variance-supported multilevel model. Each analysis was repeated after sequential omission of one independent study.</w:t>
      </w:r>
    </w:p>
    <w:p w14:paraId="4001B436" w14:textId="77777777" w:rsidR="003416C3" w:rsidRPr="00FF1E05" w:rsidRDefault="003416C3" w:rsidP="003416C3">
      <w:pPr>
        <w:keepNext/>
        <w:jc w:val="both"/>
        <w:rPr>
          <w:rFonts w:cs="Arial"/>
          <w:color w:val="000000" w:themeColor="text1"/>
          <w:sz w:val="22"/>
        </w:rPr>
      </w:pPr>
      <w:r w:rsidRPr="00FF1E05">
        <w:rPr>
          <w:rFonts w:cs="Arial"/>
          <w:color w:val="000000" w:themeColor="text1"/>
          <w:sz w:val="22"/>
        </w:rPr>
        <w:t>Formal precision-based small-study-effect tests were not performed because the variance-supported mobility evidence comprised only six independent studies. This was below the prespecified minimum of 10 independent studies considered necessary for interpretable regression-based funnel-asymmetry assessment. Leave-one-study-out results are reported in Table S12 and Fig. S2.</w:t>
      </w:r>
    </w:p>
    <w:p w14:paraId="0CD89D6E" w14:textId="72624BC5" w:rsidR="007F0C34" w:rsidRPr="00FF1E05" w:rsidRDefault="00ED14B9" w:rsidP="003416C3">
      <w:pPr>
        <w:keepNext/>
        <w:jc w:val="both"/>
        <w:rPr>
          <w:rFonts w:cs="Arial"/>
          <w:b/>
          <w:bCs/>
          <w:color w:val="000000" w:themeColor="text1"/>
          <w:sz w:val="22"/>
        </w:rPr>
      </w:pPr>
      <w:r w:rsidRPr="00FF1E05">
        <w:rPr>
          <w:rFonts w:cs="Arial"/>
          <w:b/>
          <w:bCs/>
          <w:color w:val="000000" w:themeColor="text1"/>
          <w:sz w:val="22"/>
        </w:rPr>
        <w:t>Supplementary Results</w:t>
      </w:r>
    </w:p>
    <w:p w14:paraId="6D1C4CBD" w14:textId="07E64504" w:rsidR="007F0C34" w:rsidRPr="00FF1E05" w:rsidRDefault="00ED14B9" w:rsidP="0072319D">
      <w:pPr>
        <w:jc w:val="both"/>
        <w:rPr>
          <w:rFonts w:cs="Arial"/>
          <w:b/>
          <w:bCs/>
          <w:color w:val="000000" w:themeColor="text1"/>
          <w:sz w:val="22"/>
        </w:rPr>
      </w:pPr>
      <w:r w:rsidRPr="00FF1E05">
        <w:rPr>
          <w:rFonts w:cs="Arial"/>
          <w:b/>
          <w:bCs/>
          <w:color w:val="000000" w:themeColor="text1"/>
          <w:sz w:val="22"/>
        </w:rPr>
        <w:t>S13. Evidence coverage</w:t>
      </w:r>
    </w:p>
    <w:p w14:paraId="72E210B7" w14:textId="4F700FD2" w:rsidR="007214E1" w:rsidRPr="00FF1E05" w:rsidRDefault="007214E1" w:rsidP="0072319D">
      <w:pPr>
        <w:jc w:val="both"/>
        <w:rPr>
          <w:rFonts w:cs="Arial"/>
          <w:color w:val="000000" w:themeColor="text1"/>
          <w:sz w:val="22"/>
        </w:rPr>
      </w:pPr>
      <w:r w:rsidRPr="00FF1E05">
        <w:rPr>
          <w:rFonts w:cs="Arial"/>
          <w:color w:val="000000" w:themeColor="text1"/>
          <w:sz w:val="22"/>
        </w:rPr>
        <w:lastRenderedPageBreak/>
        <w:t xml:space="preserve">The quantitative evidence available for each analytical component is </w:t>
      </w:r>
      <w:proofErr w:type="spellStart"/>
      <w:r w:rsidR="008601C8" w:rsidRPr="00FF1E05">
        <w:rPr>
          <w:rFonts w:cs="Arial"/>
          <w:color w:val="000000" w:themeColor="text1"/>
          <w:sz w:val="22"/>
        </w:rPr>
        <w:t>summarised</w:t>
      </w:r>
      <w:proofErr w:type="spellEnd"/>
      <w:r w:rsidRPr="00FF1E05">
        <w:rPr>
          <w:rFonts w:cs="Arial"/>
          <w:color w:val="000000" w:themeColor="text1"/>
          <w:sz w:val="22"/>
        </w:rPr>
        <w:t xml:space="preserve"> in Table S4. Study-level experimental design and variance provenance are reported in Tables S2–S3. The compound-resolved mobility dataset contained 598 exact terminal PFCA/PFSA treatment–control effects from 14 studies; all cross-study analyses were based on study-balanced summaries rather than treating these rows as independent observations.</w:t>
      </w:r>
    </w:p>
    <w:p w14:paraId="5EC1A541" w14:textId="3DE0882D" w:rsidR="007F0C34" w:rsidRPr="00FF1E05" w:rsidRDefault="00ED14B9" w:rsidP="0072319D">
      <w:pPr>
        <w:jc w:val="both"/>
        <w:rPr>
          <w:rFonts w:cs="Arial"/>
          <w:b/>
          <w:bCs/>
          <w:color w:val="000000" w:themeColor="text1"/>
          <w:sz w:val="22"/>
        </w:rPr>
      </w:pPr>
      <w:r w:rsidRPr="00FF1E05">
        <w:rPr>
          <w:rFonts w:cs="Arial"/>
          <w:b/>
          <w:bCs/>
          <w:color w:val="000000" w:themeColor="text1"/>
          <w:sz w:val="22"/>
        </w:rPr>
        <w:t xml:space="preserve">S14. </w:t>
      </w:r>
      <w:r w:rsidR="00732CEF" w:rsidRPr="00FF1E05">
        <w:rPr>
          <w:rFonts w:cs="Arial"/>
          <w:b/>
          <w:bCs/>
          <w:color w:val="000000" w:themeColor="text1"/>
          <w:sz w:val="22"/>
        </w:rPr>
        <w:t>Sensitivity and supplementary moderator analyses</w:t>
      </w:r>
    </w:p>
    <w:p w14:paraId="681382D1" w14:textId="77777777" w:rsidR="00732CEF" w:rsidRPr="00FF1E05" w:rsidRDefault="00732CEF" w:rsidP="00732CEF">
      <w:pPr>
        <w:rPr>
          <w:rFonts w:cs="Arial"/>
          <w:color w:val="000000" w:themeColor="text1"/>
          <w:sz w:val="22"/>
        </w:rPr>
      </w:pPr>
      <w:r w:rsidRPr="00FF1E05">
        <w:rPr>
          <w:rFonts w:cs="Arial"/>
          <w:color w:val="000000" w:themeColor="text1"/>
          <w:sz w:val="22"/>
        </w:rPr>
        <w:t>Results from the variance-supported mobility models and missing-variance sensitivity are provided in Tables S5–S6 and Fig. S3. Alternative dependence assumptions produced similar benefit-aligned point estimates, although uncertainty remained large because of the small number of variance-supported studies.</w:t>
      </w:r>
    </w:p>
    <w:p w14:paraId="4F8E8CF4" w14:textId="77777777" w:rsidR="00732CEF" w:rsidRPr="00FF1E05" w:rsidRDefault="00732CEF" w:rsidP="00732CEF">
      <w:pPr>
        <w:rPr>
          <w:rFonts w:cs="Arial"/>
          <w:color w:val="000000" w:themeColor="text1"/>
          <w:sz w:val="22"/>
        </w:rPr>
      </w:pPr>
    </w:p>
    <w:p w14:paraId="629F0382" w14:textId="77777777" w:rsidR="00732CEF" w:rsidRPr="00FF1E05" w:rsidRDefault="00732CEF" w:rsidP="00732CEF">
      <w:pPr>
        <w:jc w:val="both"/>
        <w:rPr>
          <w:rFonts w:cs="Arial"/>
          <w:color w:val="000000" w:themeColor="text1"/>
          <w:sz w:val="22"/>
        </w:rPr>
      </w:pPr>
      <w:r w:rsidRPr="00FF1E05">
        <w:rPr>
          <w:rFonts w:cs="Arial"/>
          <w:color w:val="000000" w:themeColor="text1"/>
          <w:sz w:val="22"/>
        </w:rPr>
        <w:t>Supplementary moderator analyses were limited by independent-study coverage. N</w:t>
      </w:r>
      <w:r w:rsidRPr="00FF1E05">
        <w:rPr>
          <w:rFonts w:ascii="Cambria Math" w:hAnsi="Cambria Math" w:cs="Cambria Math"/>
          <w:color w:val="000000" w:themeColor="text1"/>
          <w:sz w:val="22"/>
        </w:rPr>
        <w:t>₂</w:t>
      </w:r>
      <w:r w:rsidRPr="00FF1E05">
        <w:rPr>
          <w:rFonts w:cs="Arial"/>
          <w:color w:val="000000" w:themeColor="text1"/>
          <w:sz w:val="22"/>
        </w:rPr>
        <w:t>-BET SSA was available for seven studies, CO</w:t>
      </w:r>
      <w:r w:rsidRPr="00FF1E05">
        <w:rPr>
          <w:rFonts w:ascii="Cambria Math" w:hAnsi="Cambria Math" w:cs="Cambria Math"/>
          <w:color w:val="000000" w:themeColor="text1"/>
          <w:sz w:val="22"/>
        </w:rPr>
        <w:t>₂</w:t>
      </w:r>
      <w:r w:rsidRPr="00FF1E05">
        <w:rPr>
          <w:rFonts w:cs="Arial"/>
          <w:color w:val="000000" w:themeColor="text1"/>
          <w:sz w:val="22"/>
        </w:rPr>
        <w:t>-DFT SSA for five studies and experimental duration/aging for eight studies (Table S10). These associations were therefore treated as descriptive. The apparently strong negative CO</w:t>
      </w:r>
      <w:r w:rsidRPr="00FF1E05">
        <w:rPr>
          <w:rFonts w:ascii="Cambria Math" w:hAnsi="Cambria Math" w:cs="Cambria Math"/>
          <w:color w:val="000000" w:themeColor="text1"/>
          <w:sz w:val="22"/>
        </w:rPr>
        <w:t>₂</w:t>
      </w:r>
      <w:r w:rsidRPr="00FF1E05">
        <w:rPr>
          <w:rFonts w:cs="Arial"/>
          <w:color w:val="000000" w:themeColor="text1"/>
          <w:sz w:val="22"/>
        </w:rPr>
        <w:t>-DFT association should be interpreted cautiously because it was based on only five independent studies.</w:t>
      </w:r>
    </w:p>
    <w:p w14:paraId="7BE2026D" w14:textId="1B6BA607" w:rsidR="007F0C34" w:rsidRPr="00FF1E05" w:rsidRDefault="00ED14B9" w:rsidP="00732CEF">
      <w:pPr>
        <w:jc w:val="both"/>
        <w:rPr>
          <w:rFonts w:cs="Arial"/>
          <w:b/>
          <w:bCs/>
          <w:color w:val="000000" w:themeColor="text1"/>
          <w:sz w:val="22"/>
        </w:rPr>
      </w:pPr>
      <w:r w:rsidRPr="00FF1E05">
        <w:rPr>
          <w:rFonts w:cs="Arial"/>
          <w:b/>
          <w:bCs/>
          <w:color w:val="000000" w:themeColor="text1"/>
          <w:sz w:val="22"/>
        </w:rPr>
        <w:t xml:space="preserve">S15. </w:t>
      </w:r>
      <w:r w:rsidR="009C1E14" w:rsidRPr="00FF1E05">
        <w:rPr>
          <w:rFonts w:cs="Arial"/>
          <w:b/>
          <w:bCs/>
          <w:color w:val="000000" w:themeColor="text1"/>
          <w:sz w:val="22"/>
        </w:rPr>
        <w:t>Robustness and secondary outcomes</w:t>
      </w:r>
    </w:p>
    <w:p w14:paraId="7ECDDDB0" w14:textId="3C2505AB" w:rsidR="009909B7" w:rsidRPr="00FF1E05" w:rsidRDefault="009909B7" w:rsidP="009909B7">
      <w:pPr>
        <w:rPr>
          <w:rFonts w:cs="Arial"/>
          <w:color w:val="000000" w:themeColor="text1"/>
          <w:sz w:val="22"/>
        </w:rPr>
      </w:pPr>
      <w:r w:rsidRPr="00FF1E05">
        <w:rPr>
          <w:rFonts w:cs="Arial"/>
          <w:color w:val="000000" w:themeColor="text1"/>
          <w:sz w:val="22"/>
        </w:rPr>
        <w:t xml:space="preserve">The exact study-level mobility estimate, long-versus-short-chain contrast and carbon-number gradient remained </w:t>
      </w:r>
      <w:r w:rsidR="008601C8" w:rsidRPr="00FF1E05">
        <w:rPr>
          <w:rFonts w:cs="Arial"/>
          <w:color w:val="000000" w:themeColor="text1"/>
          <w:sz w:val="22"/>
        </w:rPr>
        <w:t>benefit-aligned</w:t>
      </w:r>
      <w:r w:rsidRPr="00FF1E05">
        <w:rPr>
          <w:rFonts w:cs="Arial"/>
          <w:color w:val="000000" w:themeColor="text1"/>
          <w:sz w:val="22"/>
        </w:rPr>
        <w:t xml:space="preserve"> in every leave-one-study-out analysis (Table S12; Fig. S2). The variance-supported multilevel model likewise remained directionally positive under sequential study omission, although confidence intervals remained wide.</w:t>
      </w:r>
    </w:p>
    <w:p w14:paraId="2D14DBE4" w14:textId="77777777" w:rsidR="009909B7" w:rsidRPr="00FF1E05" w:rsidRDefault="009909B7" w:rsidP="009909B7">
      <w:pPr>
        <w:jc w:val="both"/>
        <w:rPr>
          <w:rFonts w:cs="Arial"/>
          <w:color w:val="000000" w:themeColor="text1"/>
          <w:sz w:val="22"/>
        </w:rPr>
      </w:pPr>
      <w:r w:rsidRPr="00FF1E05">
        <w:rPr>
          <w:rFonts w:cs="Arial"/>
          <w:color w:val="000000" w:themeColor="text1"/>
          <w:sz w:val="22"/>
        </w:rPr>
        <w:t>Study-specific soil-retention/accessibility and plant-transfer effects are reported in Table S11 and Fig. S4. No cross-study estimate was calculated because each secondary outcome domain was represented by only two independent studies.</w:t>
      </w:r>
    </w:p>
    <w:p w14:paraId="670DE9FB" w14:textId="77777777" w:rsidR="007F0C34" w:rsidRPr="00FF1E05" w:rsidRDefault="007F0C34" w:rsidP="0072319D">
      <w:pPr>
        <w:jc w:val="both"/>
        <w:rPr>
          <w:rFonts w:cs="Arial"/>
          <w:color w:val="000000" w:themeColor="text1"/>
          <w:sz w:val="22"/>
        </w:rPr>
        <w:sectPr w:rsidR="007F0C34" w:rsidRPr="00FF1E05" w:rsidSect="00E43036">
          <w:pgSz w:w="11906" w:h="16838"/>
          <w:pgMar w:top="1560" w:right="1700" w:bottom="1560" w:left="1560" w:header="720" w:footer="720" w:gutter="0"/>
          <w:cols w:space="720"/>
          <w:docGrid w:linePitch="360"/>
        </w:sectPr>
      </w:pPr>
    </w:p>
    <w:p w14:paraId="1BD640E4" w14:textId="77777777" w:rsidR="007F0C34" w:rsidRPr="00FF1E05" w:rsidRDefault="00ED14B9" w:rsidP="0072319D">
      <w:pPr>
        <w:keepNext/>
        <w:jc w:val="both"/>
        <w:rPr>
          <w:rFonts w:cs="Arial"/>
          <w:b/>
          <w:bCs/>
          <w:color w:val="000000" w:themeColor="text1"/>
          <w:sz w:val="22"/>
        </w:rPr>
      </w:pPr>
      <w:r w:rsidRPr="00FF1E05">
        <w:rPr>
          <w:rFonts w:cs="Arial"/>
          <w:b/>
          <w:bCs/>
          <w:color w:val="000000" w:themeColor="text1"/>
          <w:sz w:val="22"/>
        </w:rPr>
        <w:lastRenderedPageBreak/>
        <w:t>Supplementary Tables</w:t>
      </w:r>
    </w:p>
    <w:p w14:paraId="0584243A" w14:textId="77777777" w:rsidR="007F0C34" w:rsidRPr="00FF1E05" w:rsidRDefault="00ED14B9" w:rsidP="0072319D">
      <w:pPr>
        <w:keepNext/>
        <w:jc w:val="both"/>
        <w:rPr>
          <w:rFonts w:cs="Arial"/>
          <w:color w:val="000000" w:themeColor="text1"/>
          <w:sz w:val="18"/>
          <w:szCs w:val="18"/>
        </w:rPr>
      </w:pPr>
      <w:r w:rsidRPr="00FF1E05">
        <w:rPr>
          <w:rFonts w:cs="Arial"/>
          <w:color w:val="000000" w:themeColor="text1"/>
          <w:sz w:val="18"/>
          <w:szCs w:val="18"/>
        </w:rPr>
        <w:t>Table S1. Search strategy and search-source audit.</w:t>
      </w:r>
    </w:p>
    <w:tbl>
      <w:tblPr>
        <w:tblW w:w="8529" w:type="dxa"/>
        <w:tblInd w:w="108" w:type="dxa"/>
        <w:tblLook w:val="04A0" w:firstRow="1" w:lastRow="0" w:firstColumn="1" w:lastColumn="0" w:noHBand="0" w:noVBand="1"/>
      </w:tblPr>
      <w:tblGrid>
        <w:gridCol w:w="1201"/>
        <w:gridCol w:w="2403"/>
        <w:gridCol w:w="2616"/>
        <w:gridCol w:w="2309"/>
      </w:tblGrid>
      <w:tr w:rsidR="004D492A" w:rsidRPr="00FF1E05" w14:paraId="6D28CA7E" w14:textId="77777777" w:rsidTr="004D492A">
        <w:trPr>
          <w:trHeight w:val="279"/>
        </w:trPr>
        <w:tc>
          <w:tcPr>
            <w:tcW w:w="1201" w:type="dxa"/>
            <w:tcBorders>
              <w:top w:val="single" w:sz="4" w:space="0" w:color="auto"/>
              <w:left w:val="nil"/>
              <w:bottom w:val="single" w:sz="4" w:space="0" w:color="auto"/>
              <w:right w:val="nil"/>
            </w:tcBorders>
            <w:shd w:val="clear" w:color="000000" w:fill="EDEDED"/>
            <w:vAlign w:val="center"/>
            <w:hideMark/>
          </w:tcPr>
          <w:p w14:paraId="3EC9CA86" w14:textId="77777777" w:rsidR="004D492A" w:rsidRPr="00FF1E05" w:rsidRDefault="004D492A" w:rsidP="004D492A">
            <w:pPr>
              <w:spacing w:after="0" w:line="240" w:lineRule="auto"/>
              <w:rPr>
                <w:rFonts w:eastAsia="Times New Roman" w:cs="Arial"/>
                <w:color w:val="000000" w:themeColor="text1"/>
                <w:sz w:val="18"/>
                <w:szCs w:val="18"/>
                <w:lang w:val="en-GB" w:eastAsia="en-GB"/>
              </w:rPr>
            </w:pPr>
            <w:r w:rsidRPr="00FF1E05">
              <w:rPr>
                <w:rFonts w:eastAsia="Times New Roman" w:cs="Arial"/>
                <w:color w:val="000000" w:themeColor="text1"/>
                <w:sz w:val="18"/>
                <w:szCs w:val="18"/>
                <w:lang w:eastAsia="en-GB"/>
              </w:rPr>
              <w:t>Source</w:t>
            </w:r>
          </w:p>
        </w:tc>
        <w:tc>
          <w:tcPr>
            <w:tcW w:w="2403" w:type="dxa"/>
            <w:tcBorders>
              <w:top w:val="single" w:sz="4" w:space="0" w:color="auto"/>
              <w:left w:val="nil"/>
              <w:bottom w:val="single" w:sz="4" w:space="0" w:color="auto"/>
              <w:right w:val="nil"/>
            </w:tcBorders>
            <w:shd w:val="clear" w:color="000000" w:fill="EDEDED"/>
            <w:vAlign w:val="center"/>
            <w:hideMark/>
          </w:tcPr>
          <w:p w14:paraId="5E6B5DEE" w14:textId="77777777" w:rsidR="004D492A" w:rsidRPr="00FF1E05" w:rsidRDefault="004D492A" w:rsidP="004D492A">
            <w:pPr>
              <w:spacing w:after="0" w:line="240" w:lineRule="auto"/>
              <w:rPr>
                <w:rFonts w:eastAsia="Times New Roman" w:cs="Arial"/>
                <w:color w:val="000000" w:themeColor="text1"/>
                <w:sz w:val="18"/>
                <w:szCs w:val="18"/>
                <w:lang w:val="en-GB" w:eastAsia="en-GB"/>
              </w:rPr>
            </w:pPr>
            <w:r w:rsidRPr="00FF1E05">
              <w:rPr>
                <w:rFonts w:eastAsia="Times New Roman" w:cs="Arial"/>
                <w:color w:val="000000" w:themeColor="text1"/>
                <w:sz w:val="18"/>
                <w:szCs w:val="18"/>
                <w:lang w:eastAsia="en-GB"/>
              </w:rPr>
              <w:t>Search status</w:t>
            </w:r>
          </w:p>
        </w:tc>
        <w:tc>
          <w:tcPr>
            <w:tcW w:w="2616" w:type="dxa"/>
            <w:tcBorders>
              <w:top w:val="single" w:sz="4" w:space="0" w:color="auto"/>
              <w:left w:val="nil"/>
              <w:bottom w:val="single" w:sz="4" w:space="0" w:color="auto"/>
              <w:right w:val="nil"/>
            </w:tcBorders>
            <w:shd w:val="clear" w:color="000000" w:fill="EDEDED"/>
            <w:vAlign w:val="center"/>
            <w:hideMark/>
          </w:tcPr>
          <w:p w14:paraId="57FF58D6" w14:textId="77777777" w:rsidR="004D492A" w:rsidRPr="00FF1E05" w:rsidRDefault="004D492A" w:rsidP="004D492A">
            <w:pPr>
              <w:spacing w:after="0" w:line="240" w:lineRule="auto"/>
              <w:rPr>
                <w:rFonts w:eastAsia="Times New Roman" w:cs="Arial"/>
                <w:color w:val="000000" w:themeColor="text1"/>
                <w:sz w:val="18"/>
                <w:szCs w:val="18"/>
                <w:lang w:val="en-GB" w:eastAsia="en-GB"/>
              </w:rPr>
            </w:pPr>
            <w:r w:rsidRPr="00FF1E05">
              <w:rPr>
                <w:rFonts w:eastAsia="Times New Roman" w:cs="Arial"/>
                <w:color w:val="000000" w:themeColor="text1"/>
                <w:sz w:val="18"/>
                <w:szCs w:val="18"/>
                <w:lang w:eastAsia="en-GB"/>
              </w:rPr>
              <w:t>Archived count</w:t>
            </w:r>
          </w:p>
        </w:tc>
        <w:tc>
          <w:tcPr>
            <w:tcW w:w="2309" w:type="dxa"/>
            <w:tcBorders>
              <w:top w:val="single" w:sz="4" w:space="0" w:color="auto"/>
              <w:left w:val="nil"/>
              <w:bottom w:val="single" w:sz="4" w:space="0" w:color="auto"/>
              <w:right w:val="nil"/>
            </w:tcBorders>
            <w:shd w:val="clear" w:color="000000" w:fill="EDEDED"/>
            <w:vAlign w:val="center"/>
            <w:hideMark/>
          </w:tcPr>
          <w:p w14:paraId="7A0000BA" w14:textId="77777777" w:rsidR="004D492A" w:rsidRPr="00FF1E05" w:rsidRDefault="004D492A" w:rsidP="004D492A">
            <w:pPr>
              <w:spacing w:after="0" w:line="240" w:lineRule="auto"/>
              <w:rPr>
                <w:rFonts w:eastAsia="Times New Roman" w:cs="Arial"/>
                <w:color w:val="000000" w:themeColor="text1"/>
                <w:sz w:val="18"/>
                <w:szCs w:val="18"/>
                <w:lang w:val="en-GB" w:eastAsia="en-GB"/>
              </w:rPr>
            </w:pPr>
            <w:r w:rsidRPr="00FF1E05">
              <w:rPr>
                <w:rFonts w:eastAsia="Times New Roman" w:cs="Arial"/>
                <w:color w:val="000000" w:themeColor="text1"/>
                <w:sz w:val="18"/>
                <w:szCs w:val="18"/>
                <w:lang w:eastAsia="en-GB"/>
              </w:rPr>
              <w:t>Use in review</w:t>
            </w:r>
          </w:p>
        </w:tc>
      </w:tr>
      <w:tr w:rsidR="004D492A" w:rsidRPr="00FF1E05" w14:paraId="07977575" w14:textId="77777777" w:rsidTr="004D492A">
        <w:trPr>
          <w:trHeight w:val="847"/>
        </w:trPr>
        <w:tc>
          <w:tcPr>
            <w:tcW w:w="1201" w:type="dxa"/>
            <w:tcBorders>
              <w:top w:val="single" w:sz="4" w:space="0" w:color="auto"/>
              <w:left w:val="nil"/>
              <w:bottom w:val="nil"/>
              <w:right w:val="nil"/>
            </w:tcBorders>
            <w:vAlign w:val="center"/>
            <w:hideMark/>
          </w:tcPr>
          <w:p w14:paraId="50ED2568" w14:textId="77777777" w:rsidR="004D492A" w:rsidRPr="00FF1E05" w:rsidRDefault="004D492A" w:rsidP="004D492A">
            <w:pPr>
              <w:spacing w:after="0" w:line="240" w:lineRule="auto"/>
              <w:rPr>
                <w:rFonts w:eastAsia="Times New Roman" w:cs="Arial"/>
                <w:color w:val="000000" w:themeColor="text1"/>
                <w:sz w:val="18"/>
                <w:szCs w:val="18"/>
                <w:lang w:val="en-GB" w:eastAsia="en-GB"/>
              </w:rPr>
            </w:pPr>
            <w:r w:rsidRPr="00FF1E05">
              <w:rPr>
                <w:rFonts w:eastAsia="Times New Roman" w:cs="Arial"/>
                <w:color w:val="000000" w:themeColor="text1"/>
                <w:sz w:val="18"/>
                <w:szCs w:val="18"/>
                <w:lang w:eastAsia="en-GB"/>
              </w:rPr>
              <w:t>Scopus</w:t>
            </w:r>
          </w:p>
        </w:tc>
        <w:tc>
          <w:tcPr>
            <w:tcW w:w="2403" w:type="dxa"/>
            <w:tcBorders>
              <w:top w:val="single" w:sz="4" w:space="0" w:color="auto"/>
              <w:left w:val="nil"/>
              <w:bottom w:val="nil"/>
              <w:right w:val="nil"/>
            </w:tcBorders>
            <w:vAlign w:val="center"/>
            <w:hideMark/>
          </w:tcPr>
          <w:p w14:paraId="34C0D455" w14:textId="77777777" w:rsidR="004D492A" w:rsidRPr="00FF1E05" w:rsidRDefault="004D492A" w:rsidP="004D492A">
            <w:pPr>
              <w:spacing w:after="0" w:line="240" w:lineRule="auto"/>
              <w:rPr>
                <w:rFonts w:eastAsia="Times New Roman" w:cs="Arial"/>
                <w:color w:val="000000" w:themeColor="text1"/>
                <w:sz w:val="18"/>
                <w:szCs w:val="18"/>
                <w:lang w:val="en-GB" w:eastAsia="en-GB"/>
              </w:rPr>
            </w:pPr>
            <w:r w:rsidRPr="00FF1E05">
              <w:rPr>
                <w:rFonts w:eastAsia="Times New Roman" w:cs="Arial"/>
                <w:color w:val="000000" w:themeColor="text1"/>
                <w:sz w:val="18"/>
                <w:szCs w:val="18"/>
                <w:lang w:eastAsia="en-GB"/>
              </w:rPr>
              <w:t>Primary database export / consolidated screening set</w:t>
            </w:r>
          </w:p>
        </w:tc>
        <w:tc>
          <w:tcPr>
            <w:tcW w:w="2616" w:type="dxa"/>
            <w:tcBorders>
              <w:top w:val="single" w:sz="4" w:space="0" w:color="auto"/>
              <w:left w:val="nil"/>
              <w:bottom w:val="nil"/>
              <w:right w:val="nil"/>
            </w:tcBorders>
            <w:vAlign w:val="center"/>
            <w:hideMark/>
          </w:tcPr>
          <w:p w14:paraId="649E9AA4" w14:textId="77777777" w:rsidR="004D492A" w:rsidRPr="00FF1E05" w:rsidRDefault="004D492A" w:rsidP="004D492A">
            <w:pPr>
              <w:spacing w:after="0" w:line="240" w:lineRule="auto"/>
              <w:rPr>
                <w:rFonts w:eastAsia="Times New Roman" w:cs="Arial"/>
                <w:color w:val="000000" w:themeColor="text1"/>
                <w:sz w:val="18"/>
                <w:szCs w:val="18"/>
                <w:lang w:val="en-GB" w:eastAsia="en-GB"/>
              </w:rPr>
            </w:pPr>
            <w:r w:rsidRPr="00FF1E05">
              <w:rPr>
                <w:rFonts w:eastAsia="Times New Roman" w:cs="Arial"/>
                <w:color w:val="000000" w:themeColor="text1"/>
                <w:sz w:val="18"/>
                <w:szCs w:val="18"/>
                <w:lang w:eastAsia="en-GB"/>
              </w:rPr>
              <w:t>144 unique records entered title/abstract screening; all 20 included studies were captured</w:t>
            </w:r>
          </w:p>
        </w:tc>
        <w:tc>
          <w:tcPr>
            <w:tcW w:w="2309" w:type="dxa"/>
            <w:tcBorders>
              <w:top w:val="single" w:sz="4" w:space="0" w:color="auto"/>
              <w:left w:val="nil"/>
              <w:bottom w:val="nil"/>
              <w:right w:val="nil"/>
            </w:tcBorders>
            <w:vAlign w:val="center"/>
            <w:hideMark/>
          </w:tcPr>
          <w:p w14:paraId="339F76A5" w14:textId="4E98456E" w:rsidR="004D492A" w:rsidRPr="00FF1E05" w:rsidRDefault="004D492A" w:rsidP="004D492A">
            <w:pPr>
              <w:spacing w:after="0" w:line="240" w:lineRule="auto"/>
              <w:rPr>
                <w:rFonts w:eastAsia="Times New Roman" w:cs="Arial"/>
                <w:color w:val="000000" w:themeColor="text1"/>
                <w:sz w:val="18"/>
                <w:szCs w:val="18"/>
                <w:lang w:val="en-GB" w:eastAsia="en-GB"/>
              </w:rPr>
            </w:pPr>
            <w:r w:rsidRPr="00FF1E05">
              <w:rPr>
                <w:rFonts w:eastAsia="Times New Roman" w:cs="Arial"/>
                <w:color w:val="000000" w:themeColor="text1"/>
                <w:sz w:val="18"/>
                <w:szCs w:val="18"/>
                <w:lang w:eastAsia="en-GB"/>
              </w:rPr>
              <w:t xml:space="preserve">Primary screening set; selection flow </w:t>
            </w:r>
            <w:proofErr w:type="spellStart"/>
            <w:r w:rsidR="008601C8" w:rsidRPr="00FF1E05">
              <w:rPr>
                <w:rFonts w:eastAsia="Times New Roman" w:cs="Arial"/>
                <w:color w:val="000000" w:themeColor="text1"/>
                <w:sz w:val="18"/>
                <w:szCs w:val="18"/>
                <w:lang w:eastAsia="en-GB"/>
              </w:rPr>
              <w:t>summarised</w:t>
            </w:r>
            <w:proofErr w:type="spellEnd"/>
            <w:r w:rsidRPr="00FF1E05">
              <w:rPr>
                <w:rFonts w:eastAsia="Times New Roman" w:cs="Arial"/>
                <w:color w:val="000000" w:themeColor="text1"/>
                <w:sz w:val="18"/>
                <w:szCs w:val="18"/>
                <w:lang w:eastAsia="en-GB"/>
              </w:rPr>
              <w:t xml:space="preserve"> in Fig. S1.</w:t>
            </w:r>
          </w:p>
        </w:tc>
      </w:tr>
      <w:tr w:rsidR="004D492A" w:rsidRPr="00FF1E05" w14:paraId="15A21095" w14:textId="77777777" w:rsidTr="004D492A">
        <w:trPr>
          <w:trHeight w:val="508"/>
        </w:trPr>
        <w:tc>
          <w:tcPr>
            <w:tcW w:w="1201" w:type="dxa"/>
            <w:tcBorders>
              <w:top w:val="nil"/>
              <w:left w:val="nil"/>
              <w:right w:val="nil"/>
            </w:tcBorders>
            <w:vAlign w:val="center"/>
            <w:hideMark/>
          </w:tcPr>
          <w:p w14:paraId="5881B0FD" w14:textId="77777777" w:rsidR="004D492A" w:rsidRPr="00FF1E05" w:rsidRDefault="004D492A" w:rsidP="004D492A">
            <w:pPr>
              <w:spacing w:after="0" w:line="240" w:lineRule="auto"/>
              <w:rPr>
                <w:rFonts w:eastAsia="Times New Roman" w:cs="Arial"/>
                <w:color w:val="000000" w:themeColor="text1"/>
                <w:sz w:val="18"/>
                <w:szCs w:val="18"/>
                <w:lang w:val="en-GB" w:eastAsia="en-GB"/>
              </w:rPr>
            </w:pPr>
            <w:r w:rsidRPr="00FF1E05">
              <w:rPr>
                <w:rFonts w:eastAsia="Times New Roman" w:cs="Arial"/>
                <w:color w:val="000000" w:themeColor="text1"/>
                <w:sz w:val="18"/>
                <w:szCs w:val="18"/>
                <w:lang w:eastAsia="en-GB"/>
              </w:rPr>
              <w:t>Web of Science Core Collection</w:t>
            </w:r>
          </w:p>
        </w:tc>
        <w:tc>
          <w:tcPr>
            <w:tcW w:w="2403" w:type="dxa"/>
            <w:tcBorders>
              <w:top w:val="nil"/>
              <w:left w:val="nil"/>
              <w:right w:val="nil"/>
            </w:tcBorders>
            <w:vAlign w:val="center"/>
            <w:hideMark/>
          </w:tcPr>
          <w:p w14:paraId="026FCF8D" w14:textId="77777777" w:rsidR="004D492A" w:rsidRPr="00FF1E05" w:rsidRDefault="004D492A" w:rsidP="004D492A">
            <w:pPr>
              <w:spacing w:after="0" w:line="240" w:lineRule="auto"/>
              <w:rPr>
                <w:rFonts w:eastAsia="Times New Roman" w:cs="Arial"/>
                <w:color w:val="000000" w:themeColor="text1"/>
                <w:sz w:val="18"/>
                <w:szCs w:val="18"/>
                <w:lang w:val="en-GB" w:eastAsia="en-GB"/>
              </w:rPr>
            </w:pPr>
            <w:r w:rsidRPr="00FF1E05">
              <w:rPr>
                <w:rFonts w:eastAsia="Times New Roman" w:cs="Arial"/>
                <w:color w:val="000000" w:themeColor="text1"/>
                <w:sz w:val="18"/>
                <w:szCs w:val="18"/>
                <w:lang w:eastAsia="en-GB"/>
              </w:rPr>
              <w:t>Complementary database search</w:t>
            </w:r>
          </w:p>
        </w:tc>
        <w:tc>
          <w:tcPr>
            <w:tcW w:w="2616" w:type="dxa"/>
            <w:tcBorders>
              <w:top w:val="nil"/>
              <w:left w:val="nil"/>
              <w:right w:val="nil"/>
            </w:tcBorders>
            <w:vAlign w:val="center"/>
            <w:hideMark/>
          </w:tcPr>
          <w:p w14:paraId="167A0E72" w14:textId="77777777" w:rsidR="004D492A" w:rsidRPr="00FF1E05" w:rsidRDefault="004D492A" w:rsidP="004D492A">
            <w:pPr>
              <w:spacing w:after="0" w:line="240" w:lineRule="auto"/>
              <w:rPr>
                <w:rFonts w:eastAsia="Times New Roman" w:cs="Arial"/>
                <w:color w:val="000000" w:themeColor="text1"/>
                <w:sz w:val="18"/>
                <w:szCs w:val="18"/>
                <w:lang w:val="en-GB" w:eastAsia="en-GB"/>
              </w:rPr>
            </w:pPr>
            <w:r w:rsidRPr="00FF1E05">
              <w:rPr>
                <w:rFonts w:eastAsia="Times New Roman" w:cs="Arial"/>
                <w:color w:val="000000" w:themeColor="text1"/>
                <w:sz w:val="18"/>
                <w:szCs w:val="18"/>
                <w:lang w:eastAsia="en-GB"/>
              </w:rPr>
              <w:t>No additional unique eligible study identified</w:t>
            </w:r>
          </w:p>
        </w:tc>
        <w:tc>
          <w:tcPr>
            <w:tcW w:w="2309" w:type="dxa"/>
            <w:tcBorders>
              <w:top w:val="nil"/>
              <w:left w:val="nil"/>
              <w:right w:val="nil"/>
            </w:tcBorders>
            <w:vAlign w:val="center"/>
            <w:hideMark/>
          </w:tcPr>
          <w:p w14:paraId="6388E40F" w14:textId="77777777" w:rsidR="004D492A" w:rsidRPr="00FF1E05" w:rsidRDefault="004D492A" w:rsidP="004D492A">
            <w:pPr>
              <w:spacing w:after="0" w:line="240" w:lineRule="auto"/>
              <w:rPr>
                <w:rFonts w:eastAsia="Times New Roman" w:cs="Arial"/>
                <w:color w:val="000000" w:themeColor="text1"/>
                <w:sz w:val="18"/>
                <w:szCs w:val="18"/>
                <w:lang w:val="en-GB" w:eastAsia="en-GB"/>
              </w:rPr>
            </w:pPr>
            <w:r w:rsidRPr="00FF1E05">
              <w:rPr>
                <w:rFonts w:eastAsia="Times New Roman" w:cs="Arial"/>
                <w:color w:val="000000" w:themeColor="text1"/>
                <w:sz w:val="18"/>
                <w:szCs w:val="18"/>
                <w:lang w:eastAsia="en-GB"/>
              </w:rPr>
              <w:t>Cross-checking and candidate identification.</w:t>
            </w:r>
          </w:p>
        </w:tc>
      </w:tr>
      <w:tr w:rsidR="004D492A" w:rsidRPr="00FF1E05" w14:paraId="14F81373" w14:textId="77777777" w:rsidTr="004D492A">
        <w:trPr>
          <w:trHeight w:val="754"/>
        </w:trPr>
        <w:tc>
          <w:tcPr>
            <w:tcW w:w="1201" w:type="dxa"/>
            <w:tcBorders>
              <w:top w:val="nil"/>
              <w:left w:val="nil"/>
              <w:bottom w:val="single" w:sz="4" w:space="0" w:color="auto"/>
              <w:right w:val="nil"/>
            </w:tcBorders>
            <w:vAlign w:val="center"/>
            <w:hideMark/>
          </w:tcPr>
          <w:p w14:paraId="0562E4A5" w14:textId="77777777" w:rsidR="004D492A" w:rsidRPr="00FF1E05" w:rsidRDefault="004D492A" w:rsidP="004D492A">
            <w:pPr>
              <w:spacing w:after="0" w:line="240" w:lineRule="auto"/>
              <w:rPr>
                <w:rFonts w:eastAsia="Times New Roman" w:cs="Arial"/>
                <w:color w:val="000000" w:themeColor="text1"/>
                <w:sz w:val="18"/>
                <w:szCs w:val="18"/>
                <w:lang w:val="en-GB" w:eastAsia="en-GB"/>
              </w:rPr>
            </w:pPr>
            <w:r w:rsidRPr="00FF1E05">
              <w:rPr>
                <w:rFonts w:eastAsia="Times New Roman" w:cs="Arial"/>
                <w:color w:val="000000" w:themeColor="text1"/>
                <w:sz w:val="18"/>
                <w:szCs w:val="18"/>
                <w:lang w:eastAsia="en-GB"/>
              </w:rPr>
              <w:t>Google Scholar</w:t>
            </w:r>
          </w:p>
        </w:tc>
        <w:tc>
          <w:tcPr>
            <w:tcW w:w="2403" w:type="dxa"/>
            <w:tcBorders>
              <w:top w:val="nil"/>
              <w:left w:val="nil"/>
              <w:bottom w:val="single" w:sz="4" w:space="0" w:color="auto"/>
              <w:right w:val="nil"/>
            </w:tcBorders>
            <w:vAlign w:val="center"/>
            <w:hideMark/>
          </w:tcPr>
          <w:p w14:paraId="3DEA507A" w14:textId="77777777" w:rsidR="004D492A" w:rsidRPr="00FF1E05" w:rsidRDefault="004D492A" w:rsidP="004D492A">
            <w:pPr>
              <w:spacing w:after="0" w:line="240" w:lineRule="auto"/>
              <w:rPr>
                <w:rFonts w:eastAsia="Times New Roman" w:cs="Arial"/>
                <w:color w:val="000000" w:themeColor="text1"/>
                <w:sz w:val="18"/>
                <w:szCs w:val="18"/>
                <w:lang w:val="en-GB" w:eastAsia="en-GB"/>
              </w:rPr>
            </w:pPr>
            <w:r w:rsidRPr="00FF1E05">
              <w:rPr>
                <w:rFonts w:eastAsia="Times New Roman" w:cs="Arial"/>
                <w:color w:val="000000" w:themeColor="text1"/>
                <w:sz w:val="18"/>
                <w:szCs w:val="18"/>
                <w:lang w:eastAsia="en-GB"/>
              </w:rPr>
              <w:t>Complementary search and citation chasing</w:t>
            </w:r>
          </w:p>
        </w:tc>
        <w:tc>
          <w:tcPr>
            <w:tcW w:w="2616" w:type="dxa"/>
            <w:tcBorders>
              <w:top w:val="nil"/>
              <w:left w:val="nil"/>
              <w:bottom w:val="single" w:sz="4" w:space="0" w:color="auto"/>
              <w:right w:val="nil"/>
            </w:tcBorders>
            <w:vAlign w:val="center"/>
            <w:hideMark/>
          </w:tcPr>
          <w:p w14:paraId="611E3D8C" w14:textId="77777777" w:rsidR="004D492A" w:rsidRPr="00FF1E05" w:rsidRDefault="004D492A" w:rsidP="004D492A">
            <w:pPr>
              <w:spacing w:after="0" w:line="240" w:lineRule="auto"/>
              <w:rPr>
                <w:rFonts w:eastAsia="Times New Roman" w:cs="Arial"/>
                <w:color w:val="000000" w:themeColor="text1"/>
                <w:sz w:val="18"/>
                <w:szCs w:val="18"/>
                <w:lang w:val="en-GB" w:eastAsia="en-GB"/>
              </w:rPr>
            </w:pPr>
            <w:r w:rsidRPr="00FF1E05">
              <w:rPr>
                <w:rFonts w:eastAsia="Times New Roman" w:cs="Arial"/>
                <w:color w:val="000000" w:themeColor="text1"/>
                <w:sz w:val="18"/>
                <w:szCs w:val="18"/>
                <w:lang w:eastAsia="en-GB"/>
              </w:rPr>
              <w:t>First 200 results checked; no additional eligible study identified</w:t>
            </w:r>
          </w:p>
        </w:tc>
        <w:tc>
          <w:tcPr>
            <w:tcW w:w="2309" w:type="dxa"/>
            <w:tcBorders>
              <w:top w:val="nil"/>
              <w:left w:val="nil"/>
              <w:bottom w:val="single" w:sz="4" w:space="0" w:color="auto"/>
              <w:right w:val="nil"/>
            </w:tcBorders>
            <w:vAlign w:val="center"/>
            <w:hideMark/>
          </w:tcPr>
          <w:p w14:paraId="602C0CE8" w14:textId="77777777" w:rsidR="004D492A" w:rsidRPr="00FF1E05" w:rsidRDefault="004D492A" w:rsidP="004D492A">
            <w:pPr>
              <w:spacing w:after="0" w:line="240" w:lineRule="auto"/>
              <w:rPr>
                <w:rFonts w:eastAsia="Times New Roman" w:cs="Arial"/>
                <w:color w:val="000000" w:themeColor="text1"/>
                <w:sz w:val="18"/>
                <w:szCs w:val="18"/>
                <w:lang w:val="en-GB" w:eastAsia="en-GB"/>
              </w:rPr>
            </w:pPr>
            <w:r w:rsidRPr="00FF1E05">
              <w:rPr>
                <w:rFonts w:eastAsia="Times New Roman" w:cs="Arial"/>
                <w:color w:val="000000" w:themeColor="text1"/>
                <w:sz w:val="18"/>
                <w:szCs w:val="18"/>
                <w:lang w:eastAsia="en-GB"/>
              </w:rPr>
              <w:t>Cross-checking and citation chasing.</w:t>
            </w:r>
          </w:p>
        </w:tc>
      </w:tr>
    </w:tbl>
    <w:p w14:paraId="197546BC" w14:textId="77777777" w:rsidR="00D042F5" w:rsidRPr="00FF1E05" w:rsidRDefault="00D042F5" w:rsidP="0072319D">
      <w:pPr>
        <w:jc w:val="both"/>
        <w:rPr>
          <w:rFonts w:cs="Arial"/>
          <w:color w:val="000000" w:themeColor="text1"/>
          <w:sz w:val="22"/>
          <w:lang w:val="en-GB"/>
        </w:rPr>
      </w:pPr>
    </w:p>
    <w:p w14:paraId="2A4AC6B3" w14:textId="770517F7" w:rsidR="007F0C34" w:rsidRPr="00FF1E05" w:rsidRDefault="00ED14B9" w:rsidP="0072319D">
      <w:pPr>
        <w:jc w:val="both"/>
        <w:rPr>
          <w:rFonts w:cs="Arial"/>
          <w:color w:val="000000" w:themeColor="text1"/>
          <w:sz w:val="22"/>
        </w:rPr>
      </w:pPr>
      <w:r w:rsidRPr="00FF1E05">
        <w:rPr>
          <w:rFonts w:cs="Arial"/>
          <w:color w:val="000000" w:themeColor="text1"/>
          <w:sz w:val="22"/>
        </w:rPr>
        <w:t>Search string used across platforms (adapted to platform syntax):</w:t>
      </w:r>
    </w:p>
    <w:p w14:paraId="11B58058" w14:textId="77777777" w:rsidR="007F0C34" w:rsidRPr="00FF1E05" w:rsidRDefault="00ED14B9" w:rsidP="0072319D">
      <w:pPr>
        <w:jc w:val="both"/>
        <w:rPr>
          <w:rFonts w:cs="Arial"/>
          <w:i/>
          <w:iCs/>
          <w:color w:val="000000" w:themeColor="text1"/>
          <w:sz w:val="22"/>
        </w:rPr>
      </w:pPr>
      <w:r w:rsidRPr="00FF1E05">
        <w:rPr>
          <w:rFonts w:cs="Arial"/>
          <w:i/>
          <w:iCs/>
          <w:color w:val="000000" w:themeColor="text1"/>
          <w:sz w:val="22"/>
        </w:rPr>
        <w:t xml:space="preserve">(biochar OR "activated biochar" OR "modified biochar" OR "engineered biochar") AND (PFAS OR "per- and polyfluoroalkyl substances" OR perfluoroalkyl OR polyfluoroalkyl OR perfluorinated OR PFOS OR PFOA OR PFBS OR PFBA OR </w:t>
      </w:r>
      <w:proofErr w:type="spellStart"/>
      <w:r w:rsidRPr="00FF1E05">
        <w:rPr>
          <w:rFonts w:cs="Arial"/>
          <w:i/>
          <w:iCs/>
          <w:color w:val="000000" w:themeColor="text1"/>
          <w:sz w:val="22"/>
        </w:rPr>
        <w:t>PFHxS</w:t>
      </w:r>
      <w:proofErr w:type="spellEnd"/>
      <w:r w:rsidRPr="00FF1E05">
        <w:rPr>
          <w:rFonts w:cs="Arial"/>
          <w:i/>
          <w:iCs/>
          <w:color w:val="000000" w:themeColor="text1"/>
          <w:sz w:val="22"/>
        </w:rPr>
        <w:t xml:space="preserve"> OR </w:t>
      </w:r>
      <w:proofErr w:type="spellStart"/>
      <w:r w:rsidRPr="00FF1E05">
        <w:rPr>
          <w:rFonts w:cs="Arial"/>
          <w:i/>
          <w:iCs/>
          <w:color w:val="000000" w:themeColor="text1"/>
          <w:sz w:val="22"/>
        </w:rPr>
        <w:t>PFHxA</w:t>
      </w:r>
      <w:proofErr w:type="spellEnd"/>
      <w:r w:rsidRPr="00FF1E05">
        <w:rPr>
          <w:rFonts w:cs="Arial"/>
          <w:i/>
          <w:iCs/>
          <w:color w:val="000000" w:themeColor="text1"/>
          <w:sz w:val="22"/>
        </w:rPr>
        <w:t xml:space="preserve"> OR PFNA OR PFDA OR GenX OR HFPO-DA) AND (soil OR soils OR "soil amendment" OR "soil remediation" OR "contaminated soil" OR "soil column" OR lysimeter OR leaching OR leachate OR porewater OR rhizosphere OR crop OR plant)</w:t>
      </w:r>
    </w:p>
    <w:p w14:paraId="7B097619" w14:textId="77777777" w:rsidR="007F0C34" w:rsidRPr="00FF1E05" w:rsidRDefault="007F0C34" w:rsidP="0072319D">
      <w:pPr>
        <w:jc w:val="both"/>
        <w:rPr>
          <w:rFonts w:cs="Arial"/>
          <w:color w:val="000000" w:themeColor="text1"/>
          <w:sz w:val="22"/>
        </w:rPr>
        <w:sectPr w:rsidR="007F0C34" w:rsidRPr="00FF1E05" w:rsidSect="0072319D">
          <w:pgSz w:w="11906" w:h="16838"/>
          <w:pgMar w:top="1134" w:right="1700" w:bottom="1134" w:left="1560" w:header="720" w:footer="720" w:gutter="0"/>
          <w:cols w:space="720"/>
          <w:docGrid w:linePitch="360"/>
        </w:sectPr>
      </w:pPr>
    </w:p>
    <w:p w14:paraId="164FC918" w14:textId="0C428719" w:rsidR="007F0C34" w:rsidRPr="00FF1E05" w:rsidRDefault="00ED14B9" w:rsidP="004A2332">
      <w:pPr>
        <w:keepNext/>
        <w:jc w:val="both"/>
        <w:rPr>
          <w:rFonts w:cs="Arial"/>
          <w:color w:val="000000" w:themeColor="text1"/>
          <w:sz w:val="18"/>
          <w:szCs w:val="18"/>
        </w:rPr>
      </w:pPr>
      <w:r w:rsidRPr="00FF1E05">
        <w:rPr>
          <w:rFonts w:cs="Arial"/>
          <w:color w:val="000000" w:themeColor="text1"/>
          <w:sz w:val="18"/>
          <w:szCs w:val="18"/>
        </w:rPr>
        <w:lastRenderedPageBreak/>
        <w:t>Table S2. Characteristics of the 20 included primary studies.</w:t>
      </w:r>
    </w:p>
    <w:tbl>
      <w:tblPr>
        <w:tblW w:w="13034" w:type="dxa"/>
        <w:tblInd w:w="108" w:type="dxa"/>
        <w:tblLook w:val="04A0" w:firstRow="1" w:lastRow="0" w:firstColumn="1" w:lastColumn="0" w:noHBand="0" w:noVBand="1"/>
      </w:tblPr>
      <w:tblGrid>
        <w:gridCol w:w="1297"/>
        <w:gridCol w:w="2091"/>
        <w:gridCol w:w="2079"/>
        <w:gridCol w:w="2487"/>
        <w:gridCol w:w="1911"/>
        <w:gridCol w:w="921"/>
        <w:gridCol w:w="2248"/>
      </w:tblGrid>
      <w:tr w:rsidR="004A2332" w:rsidRPr="00FF1E05" w14:paraId="57F4E902" w14:textId="77777777" w:rsidTr="004A2332">
        <w:trPr>
          <w:trHeight w:val="343"/>
        </w:trPr>
        <w:tc>
          <w:tcPr>
            <w:tcW w:w="1119" w:type="dxa"/>
            <w:tcBorders>
              <w:top w:val="single" w:sz="4" w:space="0" w:color="auto"/>
              <w:left w:val="nil"/>
              <w:bottom w:val="single" w:sz="4" w:space="0" w:color="auto"/>
              <w:right w:val="nil"/>
            </w:tcBorders>
            <w:shd w:val="clear" w:color="000000" w:fill="EDEDED"/>
            <w:vAlign w:val="center"/>
            <w:hideMark/>
          </w:tcPr>
          <w:p w14:paraId="74558323"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Study</w:t>
            </w:r>
          </w:p>
        </w:tc>
        <w:tc>
          <w:tcPr>
            <w:tcW w:w="2132" w:type="dxa"/>
            <w:tcBorders>
              <w:top w:val="single" w:sz="4" w:space="0" w:color="auto"/>
              <w:left w:val="nil"/>
              <w:bottom w:val="single" w:sz="4" w:space="0" w:color="auto"/>
              <w:right w:val="nil"/>
            </w:tcBorders>
            <w:shd w:val="clear" w:color="000000" w:fill="EDEDED"/>
            <w:vAlign w:val="center"/>
            <w:hideMark/>
          </w:tcPr>
          <w:p w14:paraId="0F94C8CF"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Experimental system</w:t>
            </w:r>
          </w:p>
        </w:tc>
        <w:tc>
          <w:tcPr>
            <w:tcW w:w="2289" w:type="dxa"/>
            <w:tcBorders>
              <w:top w:val="single" w:sz="4" w:space="0" w:color="auto"/>
              <w:left w:val="nil"/>
              <w:bottom w:val="single" w:sz="4" w:space="0" w:color="auto"/>
              <w:right w:val="nil"/>
            </w:tcBorders>
            <w:shd w:val="clear" w:color="000000" w:fill="EDEDED"/>
            <w:vAlign w:val="center"/>
            <w:hideMark/>
          </w:tcPr>
          <w:p w14:paraId="59E860AC" w14:textId="24C716DF" w:rsidR="004A2332" w:rsidRPr="00FF1E05" w:rsidRDefault="008601C8"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Soil/contamination</w:t>
            </w:r>
            <w:r w:rsidR="004A2332" w:rsidRPr="00FF1E05">
              <w:rPr>
                <w:rFonts w:eastAsia="Times New Roman" w:cs="Arial"/>
                <w:color w:val="000000"/>
                <w:sz w:val="18"/>
                <w:szCs w:val="18"/>
                <w:lang w:val="en-GB" w:eastAsia="en-GB"/>
              </w:rPr>
              <w:t xml:space="preserve"> context</w:t>
            </w:r>
          </w:p>
        </w:tc>
        <w:tc>
          <w:tcPr>
            <w:tcW w:w="2100" w:type="dxa"/>
            <w:tcBorders>
              <w:top w:val="single" w:sz="4" w:space="0" w:color="auto"/>
              <w:left w:val="nil"/>
              <w:bottom w:val="single" w:sz="4" w:space="0" w:color="auto"/>
              <w:right w:val="nil"/>
            </w:tcBorders>
            <w:shd w:val="clear" w:color="000000" w:fill="EDEDED"/>
            <w:vAlign w:val="center"/>
            <w:hideMark/>
          </w:tcPr>
          <w:p w14:paraId="42D19E85"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PFAS scope</w:t>
            </w:r>
          </w:p>
        </w:tc>
        <w:tc>
          <w:tcPr>
            <w:tcW w:w="2133" w:type="dxa"/>
            <w:tcBorders>
              <w:top w:val="single" w:sz="4" w:space="0" w:color="auto"/>
              <w:left w:val="nil"/>
              <w:bottom w:val="single" w:sz="4" w:space="0" w:color="auto"/>
              <w:right w:val="nil"/>
            </w:tcBorders>
            <w:shd w:val="clear" w:color="000000" w:fill="EDEDED"/>
            <w:vAlign w:val="center"/>
            <w:hideMark/>
          </w:tcPr>
          <w:p w14:paraId="7EBB2DB4"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Biochar intervention</w:t>
            </w:r>
          </w:p>
        </w:tc>
        <w:tc>
          <w:tcPr>
            <w:tcW w:w="1073" w:type="dxa"/>
            <w:tcBorders>
              <w:top w:val="single" w:sz="4" w:space="0" w:color="auto"/>
              <w:left w:val="nil"/>
              <w:bottom w:val="single" w:sz="4" w:space="0" w:color="auto"/>
              <w:right w:val="nil"/>
            </w:tcBorders>
            <w:shd w:val="clear" w:color="000000" w:fill="EDEDED"/>
            <w:vAlign w:val="center"/>
            <w:hideMark/>
          </w:tcPr>
          <w:p w14:paraId="6DD546FA"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Dose</w:t>
            </w:r>
          </w:p>
        </w:tc>
        <w:tc>
          <w:tcPr>
            <w:tcW w:w="2188" w:type="dxa"/>
            <w:tcBorders>
              <w:top w:val="single" w:sz="4" w:space="0" w:color="auto"/>
              <w:left w:val="nil"/>
              <w:bottom w:val="single" w:sz="4" w:space="0" w:color="auto"/>
              <w:right w:val="nil"/>
            </w:tcBorders>
            <w:shd w:val="clear" w:color="000000" w:fill="EDEDED"/>
            <w:vAlign w:val="center"/>
            <w:hideMark/>
          </w:tcPr>
          <w:p w14:paraId="2A10D6F0"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Primary endpoint</w:t>
            </w:r>
          </w:p>
        </w:tc>
      </w:tr>
      <w:tr w:rsidR="004A2332" w:rsidRPr="00FF1E05" w14:paraId="5D43A0BA" w14:textId="77777777" w:rsidTr="004A2332">
        <w:trPr>
          <w:trHeight w:val="858"/>
        </w:trPr>
        <w:tc>
          <w:tcPr>
            <w:tcW w:w="1119" w:type="dxa"/>
            <w:tcBorders>
              <w:top w:val="single" w:sz="4" w:space="0" w:color="auto"/>
              <w:left w:val="nil"/>
              <w:bottom w:val="nil"/>
              <w:right w:val="nil"/>
            </w:tcBorders>
            <w:vAlign w:val="center"/>
            <w:hideMark/>
          </w:tcPr>
          <w:p w14:paraId="699BE87C" w14:textId="77777777" w:rsidR="004A2332" w:rsidRPr="00FF1E05" w:rsidRDefault="004A2332" w:rsidP="00D70034">
            <w:pPr>
              <w:spacing w:after="0" w:line="240" w:lineRule="auto"/>
              <w:rPr>
                <w:rFonts w:eastAsia="Times New Roman" w:cs="Arial"/>
                <w:color w:val="000000"/>
                <w:sz w:val="18"/>
                <w:szCs w:val="18"/>
                <w:lang w:val="en-GB" w:eastAsia="en-GB"/>
              </w:rPr>
            </w:pPr>
            <w:proofErr w:type="spellStart"/>
            <w:r w:rsidRPr="00FF1E05">
              <w:rPr>
                <w:rFonts w:eastAsia="Times New Roman" w:cs="Arial"/>
                <w:color w:val="000000"/>
                <w:sz w:val="18"/>
                <w:szCs w:val="18"/>
                <w:lang w:val="en-GB" w:eastAsia="en-GB"/>
              </w:rPr>
              <w:t>Kupryianchyk</w:t>
            </w:r>
            <w:proofErr w:type="spellEnd"/>
            <w:r w:rsidRPr="00FF1E05">
              <w:rPr>
                <w:rFonts w:eastAsia="Times New Roman" w:cs="Arial"/>
                <w:color w:val="000000"/>
                <w:sz w:val="18"/>
                <w:szCs w:val="18"/>
                <w:lang w:val="en-GB" w:eastAsia="en-GB"/>
              </w:rPr>
              <w:t xml:space="preserve"> et al. (2016)</w:t>
            </w:r>
          </w:p>
        </w:tc>
        <w:tc>
          <w:tcPr>
            <w:tcW w:w="2132" w:type="dxa"/>
            <w:tcBorders>
              <w:top w:val="single" w:sz="4" w:space="0" w:color="auto"/>
              <w:left w:val="nil"/>
              <w:bottom w:val="nil"/>
              <w:right w:val="nil"/>
            </w:tcBorders>
            <w:vAlign w:val="center"/>
            <w:hideMark/>
          </w:tcPr>
          <w:p w14:paraId="1D32D96E" w14:textId="57C9CC4F"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Batch soil </w:t>
            </w:r>
            <w:r w:rsidR="008601C8" w:rsidRPr="00FF1E05">
              <w:rPr>
                <w:rFonts w:eastAsia="Times New Roman" w:cs="Arial"/>
                <w:color w:val="000000"/>
                <w:sz w:val="18"/>
                <w:szCs w:val="18"/>
                <w:lang w:val="en-GB" w:eastAsia="en-GB"/>
              </w:rPr>
              <w:t>amendment/porewater</w:t>
            </w:r>
          </w:p>
        </w:tc>
        <w:tc>
          <w:tcPr>
            <w:tcW w:w="2289" w:type="dxa"/>
            <w:tcBorders>
              <w:top w:val="single" w:sz="4" w:space="0" w:color="auto"/>
              <w:left w:val="nil"/>
              <w:bottom w:val="nil"/>
              <w:right w:val="nil"/>
            </w:tcBorders>
            <w:vAlign w:val="center"/>
            <w:hideMark/>
          </w:tcPr>
          <w:p w14:paraId="42CC1885"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Three native PFAS-contaminated airport soils (BER, EVE, KRI)</w:t>
            </w:r>
          </w:p>
        </w:tc>
        <w:tc>
          <w:tcPr>
            <w:tcW w:w="2100" w:type="dxa"/>
            <w:tcBorders>
              <w:top w:val="single" w:sz="4" w:space="0" w:color="auto"/>
              <w:left w:val="nil"/>
              <w:bottom w:val="nil"/>
              <w:right w:val="nil"/>
            </w:tcBorders>
            <w:vAlign w:val="center"/>
            <w:hideMark/>
          </w:tcPr>
          <w:p w14:paraId="2AD56BB4" w14:textId="77777777" w:rsidR="004A2332" w:rsidRPr="00FF1E05" w:rsidRDefault="004A2332" w:rsidP="00D70034">
            <w:pPr>
              <w:spacing w:after="0" w:line="240" w:lineRule="auto"/>
              <w:rPr>
                <w:rFonts w:eastAsia="Times New Roman" w:cs="Arial"/>
                <w:color w:val="000000"/>
                <w:sz w:val="18"/>
                <w:szCs w:val="18"/>
                <w:lang w:val="de-AT" w:eastAsia="en-GB"/>
              </w:rPr>
            </w:pPr>
            <w:r w:rsidRPr="00FF1E05">
              <w:rPr>
                <w:rFonts w:eastAsia="Times New Roman" w:cs="Arial"/>
                <w:color w:val="000000"/>
                <w:sz w:val="18"/>
                <w:szCs w:val="18"/>
                <w:lang w:val="de-AT" w:eastAsia="en-GB"/>
              </w:rPr>
              <w:t>PFOS; PFOA; PFHxS plus site PFAS</w:t>
            </w:r>
          </w:p>
        </w:tc>
        <w:tc>
          <w:tcPr>
            <w:tcW w:w="2133" w:type="dxa"/>
            <w:tcBorders>
              <w:top w:val="single" w:sz="4" w:space="0" w:color="auto"/>
              <w:left w:val="nil"/>
              <w:bottom w:val="nil"/>
              <w:right w:val="nil"/>
            </w:tcBorders>
            <w:vAlign w:val="center"/>
            <w:hideMark/>
          </w:tcPr>
          <w:p w14:paraId="58919382"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Mixed-wood + paper-mill-waste </w:t>
            </w:r>
            <w:proofErr w:type="spellStart"/>
            <w:r w:rsidRPr="00FF1E05">
              <w:rPr>
                <w:rFonts w:eastAsia="Times New Roman" w:cs="Arial"/>
                <w:color w:val="000000"/>
                <w:sz w:val="18"/>
                <w:szCs w:val="18"/>
                <w:lang w:val="en-GB" w:eastAsia="en-GB"/>
              </w:rPr>
              <w:t>biochars</w:t>
            </w:r>
            <w:proofErr w:type="spellEnd"/>
          </w:p>
        </w:tc>
        <w:tc>
          <w:tcPr>
            <w:tcW w:w="1073" w:type="dxa"/>
            <w:tcBorders>
              <w:top w:val="single" w:sz="4" w:space="0" w:color="auto"/>
              <w:left w:val="nil"/>
              <w:bottom w:val="nil"/>
              <w:right w:val="nil"/>
            </w:tcBorders>
            <w:vAlign w:val="center"/>
            <w:hideMark/>
          </w:tcPr>
          <w:p w14:paraId="63D4C821"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4% w/w</w:t>
            </w:r>
          </w:p>
        </w:tc>
        <w:tc>
          <w:tcPr>
            <w:tcW w:w="2188" w:type="dxa"/>
            <w:tcBorders>
              <w:top w:val="single" w:sz="4" w:space="0" w:color="auto"/>
              <w:left w:val="nil"/>
              <w:bottom w:val="nil"/>
              <w:right w:val="nil"/>
            </w:tcBorders>
            <w:vAlign w:val="center"/>
            <w:hideMark/>
          </w:tcPr>
          <w:p w14:paraId="750E7506"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Porewater PFAS / soil-water </w:t>
            </w:r>
            <w:proofErr w:type="spellStart"/>
            <w:r w:rsidRPr="00FF1E05">
              <w:rPr>
                <w:rFonts w:eastAsia="Times New Roman" w:cs="Arial"/>
                <w:color w:val="000000"/>
                <w:sz w:val="18"/>
                <w:szCs w:val="18"/>
                <w:lang w:val="en-GB" w:eastAsia="en-GB"/>
              </w:rPr>
              <w:t>LogKd</w:t>
            </w:r>
            <w:proofErr w:type="spellEnd"/>
          </w:p>
        </w:tc>
      </w:tr>
      <w:tr w:rsidR="004A2332" w:rsidRPr="00FF1E05" w14:paraId="33869263" w14:textId="77777777" w:rsidTr="004A2332">
        <w:trPr>
          <w:trHeight w:val="515"/>
        </w:trPr>
        <w:tc>
          <w:tcPr>
            <w:tcW w:w="1119" w:type="dxa"/>
            <w:tcBorders>
              <w:top w:val="nil"/>
              <w:left w:val="nil"/>
              <w:bottom w:val="nil"/>
              <w:right w:val="nil"/>
            </w:tcBorders>
            <w:vAlign w:val="center"/>
            <w:hideMark/>
          </w:tcPr>
          <w:p w14:paraId="0679E1BB"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Silvani et al. (2019)</w:t>
            </w:r>
          </w:p>
        </w:tc>
        <w:tc>
          <w:tcPr>
            <w:tcW w:w="2132" w:type="dxa"/>
            <w:tcBorders>
              <w:top w:val="nil"/>
              <w:left w:val="nil"/>
              <w:bottom w:val="nil"/>
              <w:right w:val="nil"/>
            </w:tcBorders>
            <w:vAlign w:val="center"/>
            <w:hideMark/>
          </w:tcPr>
          <w:p w14:paraId="0CD57477"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Batch soil leaching</w:t>
            </w:r>
          </w:p>
        </w:tc>
        <w:tc>
          <w:tcPr>
            <w:tcW w:w="2289" w:type="dxa"/>
            <w:tcBorders>
              <w:top w:val="nil"/>
              <w:left w:val="nil"/>
              <w:bottom w:val="nil"/>
              <w:right w:val="nil"/>
            </w:tcBorders>
            <w:vAlign w:val="center"/>
            <w:hideMark/>
          </w:tcPr>
          <w:p w14:paraId="73E1AF2D"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Two native AFFF-impacted soils; TOC 1.61% and 34.2%</w:t>
            </w:r>
          </w:p>
        </w:tc>
        <w:tc>
          <w:tcPr>
            <w:tcW w:w="2100" w:type="dxa"/>
            <w:tcBorders>
              <w:top w:val="nil"/>
              <w:left w:val="nil"/>
              <w:bottom w:val="nil"/>
              <w:right w:val="nil"/>
            </w:tcBorders>
            <w:vAlign w:val="center"/>
            <w:hideMark/>
          </w:tcPr>
          <w:p w14:paraId="340A4929" w14:textId="42930813"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Multiple PFAS; PFOS/</w:t>
            </w:r>
            <w:proofErr w:type="spellStart"/>
            <w:r w:rsidRPr="00FF1E05">
              <w:rPr>
                <w:rFonts w:eastAsia="Times New Roman" w:cs="Arial"/>
                <w:color w:val="000000"/>
                <w:sz w:val="18"/>
                <w:szCs w:val="18"/>
                <w:lang w:val="en-GB" w:eastAsia="en-GB"/>
              </w:rPr>
              <w:t>PFHxS</w:t>
            </w:r>
            <w:proofErr w:type="spellEnd"/>
            <w:r w:rsidRPr="00FF1E05">
              <w:rPr>
                <w:rFonts w:eastAsia="Times New Roman" w:cs="Arial"/>
                <w:color w:val="000000"/>
                <w:sz w:val="18"/>
                <w:szCs w:val="18"/>
                <w:lang w:val="en-GB" w:eastAsia="en-GB"/>
              </w:rPr>
              <w:t>/PFOA/</w:t>
            </w:r>
            <w:proofErr w:type="spellStart"/>
            <w:r w:rsidRPr="00FF1E05">
              <w:rPr>
                <w:rFonts w:eastAsia="Times New Roman" w:cs="Arial"/>
                <w:color w:val="000000"/>
                <w:sz w:val="18"/>
                <w:szCs w:val="18"/>
                <w:lang w:val="en-GB" w:eastAsia="en-GB"/>
              </w:rPr>
              <w:t>PFHxA</w:t>
            </w:r>
            <w:proofErr w:type="spellEnd"/>
            <w:r w:rsidRPr="00FF1E05">
              <w:rPr>
                <w:rFonts w:eastAsia="Times New Roman" w:cs="Arial"/>
                <w:color w:val="000000"/>
                <w:sz w:val="18"/>
                <w:szCs w:val="18"/>
                <w:lang w:val="en-GB" w:eastAsia="en-GB"/>
              </w:rPr>
              <w:t xml:space="preserve"> </w:t>
            </w:r>
            <w:r w:rsidR="008601C8" w:rsidRPr="00FF1E05">
              <w:rPr>
                <w:rFonts w:eastAsia="Times New Roman" w:cs="Arial"/>
                <w:color w:val="000000"/>
                <w:sz w:val="18"/>
                <w:szCs w:val="18"/>
                <w:lang w:val="en-GB" w:eastAsia="en-GB"/>
              </w:rPr>
              <w:t>emphasised</w:t>
            </w:r>
          </w:p>
        </w:tc>
        <w:tc>
          <w:tcPr>
            <w:tcW w:w="2133" w:type="dxa"/>
            <w:tcBorders>
              <w:top w:val="nil"/>
              <w:left w:val="nil"/>
              <w:bottom w:val="nil"/>
              <w:right w:val="nil"/>
            </w:tcBorders>
            <w:vAlign w:val="center"/>
            <w:hideMark/>
          </w:tcPr>
          <w:p w14:paraId="09A56E75"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Waste-timber BC; activated coconut-shell biochar</w:t>
            </w:r>
          </w:p>
        </w:tc>
        <w:tc>
          <w:tcPr>
            <w:tcW w:w="1073" w:type="dxa"/>
            <w:tcBorders>
              <w:top w:val="nil"/>
              <w:left w:val="nil"/>
              <w:bottom w:val="nil"/>
              <w:right w:val="nil"/>
            </w:tcBorders>
            <w:vAlign w:val="center"/>
            <w:hideMark/>
          </w:tcPr>
          <w:p w14:paraId="2A8B39B3"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 1; 2; 5; 10; 20% w/w</w:t>
            </w:r>
          </w:p>
        </w:tc>
        <w:tc>
          <w:tcPr>
            <w:tcW w:w="2188" w:type="dxa"/>
            <w:tcBorders>
              <w:top w:val="nil"/>
              <w:left w:val="nil"/>
              <w:bottom w:val="nil"/>
              <w:right w:val="nil"/>
            </w:tcBorders>
            <w:vAlign w:val="center"/>
            <w:hideMark/>
          </w:tcPr>
          <w:p w14:paraId="3A314E89"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Leachate relative concentration </w:t>
            </w:r>
            <w:proofErr w:type="spellStart"/>
            <w:r w:rsidRPr="00FF1E05">
              <w:rPr>
                <w:rFonts w:eastAsia="Times New Roman" w:cs="Arial"/>
                <w:color w:val="000000"/>
                <w:sz w:val="18"/>
                <w:szCs w:val="18"/>
                <w:lang w:val="en-GB" w:eastAsia="en-GB"/>
              </w:rPr>
              <w:t>Cw</w:t>
            </w:r>
            <w:proofErr w:type="spellEnd"/>
            <w:r w:rsidRPr="00FF1E05">
              <w:rPr>
                <w:rFonts w:eastAsia="Times New Roman" w:cs="Arial"/>
                <w:color w:val="000000"/>
                <w:sz w:val="18"/>
                <w:szCs w:val="18"/>
                <w:lang w:val="en-GB" w:eastAsia="en-GB"/>
              </w:rPr>
              <w:t>/C0</w:t>
            </w:r>
          </w:p>
        </w:tc>
      </w:tr>
      <w:tr w:rsidR="004A2332" w:rsidRPr="00FF1E05" w14:paraId="6C73F5F3" w14:textId="77777777" w:rsidTr="004A2332">
        <w:trPr>
          <w:trHeight w:val="763"/>
        </w:trPr>
        <w:tc>
          <w:tcPr>
            <w:tcW w:w="1119" w:type="dxa"/>
            <w:tcBorders>
              <w:top w:val="nil"/>
              <w:left w:val="nil"/>
              <w:bottom w:val="nil"/>
              <w:right w:val="nil"/>
            </w:tcBorders>
            <w:vAlign w:val="center"/>
            <w:hideMark/>
          </w:tcPr>
          <w:p w14:paraId="4CAAC09F"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Askeland et al. (2020)</w:t>
            </w:r>
          </w:p>
        </w:tc>
        <w:tc>
          <w:tcPr>
            <w:tcW w:w="2132" w:type="dxa"/>
            <w:tcBorders>
              <w:top w:val="nil"/>
              <w:left w:val="nil"/>
              <w:bottom w:val="nil"/>
              <w:right w:val="nil"/>
            </w:tcBorders>
            <w:vAlign w:val="center"/>
            <w:hideMark/>
          </w:tcPr>
          <w:p w14:paraId="4DAC79BD"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Batch soil sorption/desorption</w:t>
            </w:r>
          </w:p>
        </w:tc>
        <w:tc>
          <w:tcPr>
            <w:tcW w:w="2289" w:type="dxa"/>
            <w:tcBorders>
              <w:top w:val="nil"/>
              <w:left w:val="nil"/>
              <w:bottom w:val="nil"/>
              <w:right w:val="nil"/>
            </w:tcBorders>
            <w:vAlign w:val="center"/>
            <w:hideMark/>
          </w:tcPr>
          <w:p w14:paraId="6CC729AA"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Two controlled soils: loamy sand and sandy clay loam</w:t>
            </w:r>
          </w:p>
        </w:tc>
        <w:tc>
          <w:tcPr>
            <w:tcW w:w="2100" w:type="dxa"/>
            <w:tcBorders>
              <w:top w:val="nil"/>
              <w:left w:val="nil"/>
              <w:bottom w:val="nil"/>
              <w:right w:val="nil"/>
            </w:tcBorders>
            <w:vAlign w:val="center"/>
            <w:hideMark/>
          </w:tcPr>
          <w:p w14:paraId="2F964F14"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PFOS; PFOA; </w:t>
            </w:r>
            <w:proofErr w:type="spellStart"/>
            <w:r w:rsidRPr="00FF1E05">
              <w:rPr>
                <w:rFonts w:eastAsia="Times New Roman" w:cs="Arial"/>
                <w:color w:val="000000"/>
                <w:sz w:val="18"/>
                <w:szCs w:val="18"/>
                <w:lang w:val="en-GB" w:eastAsia="en-GB"/>
              </w:rPr>
              <w:t>PFHxS</w:t>
            </w:r>
            <w:proofErr w:type="spellEnd"/>
            <w:r w:rsidRPr="00FF1E05">
              <w:rPr>
                <w:rFonts w:eastAsia="Times New Roman" w:cs="Arial"/>
                <w:color w:val="000000"/>
                <w:sz w:val="18"/>
                <w:szCs w:val="18"/>
                <w:lang w:val="en-GB" w:eastAsia="en-GB"/>
              </w:rPr>
              <w:t xml:space="preserve">; </w:t>
            </w:r>
            <w:proofErr w:type="spellStart"/>
            <w:r w:rsidRPr="00FF1E05">
              <w:rPr>
                <w:rFonts w:eastAsia="Times New Roman" w:cs="Arial"/>
                <w:color w:val="000000"/>
                <w:sz w:val="18"/>
                <w:szCs w:val="18"/>
                <w:lang w:val="en-GB" w:eastAsia="en-GB"/>
              </w:rPr>
              <w:t>PFHxA</w:t>
            </w:r>
            <w:proofErr w:type="spellEnd"/>
          </w:p>
        </w:tc>
        <w:tc>
          <w:tcPr>
            <w:tcW w:w="2133" w:type="dxa"/>
            <w:tcBorders>
              <w:top w:val="nil"/>
              <w:left w:val="nil"/>
              <w:bottom w:val="nil"/>
              <w:right w:val="nil"/>
            </w:tcBorders>
            <w:vAlign w:val="center"/>
            <w:hideMark/>
          </w:tcPr>
          <w:p w14:paraId="34647088"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Pine P750 biochar, 750°C</w:t>
            </w:r>
          </w:p>
        </w:tc>
        <w:tc>
          <w:tcPr>
            <w:tcW w:w="1073" w:type="dxa"/>
            <w:tcBorders>
              <w:top w:val="nil"/>
              <w:left w:val="nil"/>
              <w:bottom w:val="nil"/>
              <w:right w:val="nil"/>
            </w:tcBorders>
            <w:vAlign w:val="center"/>
            <w:hideMark/>
          </w:tcPr>
          <w:p w14:paraId="0C3DE913"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0–5% w/w</w:t>
            </w:r>
          </w:p>
        </w:tc>
        <w:tc>
          <w:tcPr>
            <w:tcW w:w="2188" w:type="dxa"/>
            <w:tcBorders>
              <w:top w:val="nil"/>
              <w:left w:val="nil"/>
              <w:bottom w:val="nil"/>
              <w:right w:val="nil"/>
            </w:tcBorders>
            <w:vAlign w:val="center"/>
            <w:hideMark/>
          </w:tcPr>
          <w:p w14:paraId="3E23454F"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Residual aqueous PFAS fraction at equilibrium</w:t>
            </w:r>
          </w:p>
        </w:tc>
      </w:tr>
      <w:tr w:rsidR="004A2332" w:rsidRPr="00FF1E05" w14:paraId="73F5316C" w14:textId="77777777" w:rsidTr="004A2332">
        <w:trPr>
          <w:trHeight w:val="686"/>
        </w:trPr>
        <w:tc>
          <w:tcPr>
            <w:tcW w:w="1119" w:type="dxa"/>
            <w:tcBorders>
              <w:top w:val="nil"/>
              <w:left w:val="nil"/>
              <w:bottom w:val="nil"/>
              <w:right w:val="nil"/>
            </w:tcBorders>
            <w:vAlign w:val="center"/>
            <w:hideMark/>
          </w:tcPr>
          <w:p w14:paraId="37AF506E"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Sørmo et al. (2021)</w:t>
            </w:r>
          </w:p>
        </w:tc>
        <w:tc>
          <w:tcPr>
            <w:tcW w:w="2132" w:type="dxa"/>
            <w:tcBorders>
              <w:top w:val="nil"/>
              <w:left w:val="nil"/>
              <w:bottom w:val="nil"/>
              <w:right w:val="nil"/>
            </w:tcBorders>
            <w:vAlign w:val="center"/>
            <w:hideMark/>
          </w:tcPr>
          <w:p w14:paraId="5BAD6E31"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Laboratory batch soil leaching (modified EN 12457)</w:t>
            </w:r>
          </w:p>
        </w:tc>
        <w:tc>
          <w:tcPr>
            <w:tcW w:w="2289" w:type="dxa"/>
            <w:tcBorders>
              <w:top w:val="nil"/>
              <w:left w:val="nil"/>
              <w:bottom w:val="nil"/>
              <w:right w:val="nil"/>
            </w:tcBorders>
            <w:vAlign w:val="center"/>
            <w:hideMark/>
          </w:tcPr>
          <w:p w14:paraId="27692CA9" w14:textId="77777777" w:rsidR="004A2332" w:rsidRPr="00FF1E05" w:rsidRDefault="004A2332" w:rsidP="00D70034">
            <w:pPr>
              <w:spacing w:after="0" w:line="240" w:lineRule="auto"/>
              <w:rPr>
                <w:rFonts w:eastAsia="Times New Roman" w:cs="Arial"/>
                <w:color w:val="000000"/>
                <w:sz w:val="18"/>
                <w:szCs w:val="18"/>
                <w:lang w:val="en-GB" w:eastAsia="en-GB"/>
              </w:rPr>
            </w:pPr>
            <w:proofErr w:type="spellStart"/>
            <w:r w:rsidRPr="00FF1E05">
              <w:rPr>
                <w:rFonts w:eastAsia="Times New Roman" w:cs="Arial"/>
                <w:color w:val="000000"/>
                <w:sz w:val="18"/>
                <w:szCs w:val="18"/>
                <w:lang w:val="en-GB" w:eastAsia="en-GB"/>
              </w:rPr>
              <w:t>Rygge</w:t>
            </w:r>
            <w:proofErr w:type="spellEnd"/>
            <w:r w:rsidRPr="00FF1E05">
              <w:rPr>
                <w:rFonts w:eastAsia="Times New Roman" w:cs="Arial"/>
                <w:color w:val="000000"/>
                <w:sz w:val="18"/>
                <w:szCs w:val="18"/>
                <w:lang w:val="en-GB" w:eastAsia="en-GB"/>
              </w:rPr>
              <w:t xml:space="preserve"> Airport AFFF-contaminated podzol; low-TOC mineral horizon 1.6% and high-TOC O horizon 34.2%</w:t>
            </w:r>
          </w:p>
        </w:tc>
        <w:tc>
          <w:tcPr>
            <w:tcW w:w="2100" w:type="dxa"/>
            <w:tcBorders>
              <w:top w:val="nil"/>
              <w:left w:val="nil"/>
              <w:bottom w:val="nil"/>
              <w:right w:val="nil"/>
            </w:tcBorders>
            <w:vAlign w:val="center"/>
            <w:hideMark/>
          </w:tcPr>
          <w:p w14:paraId="08E32797" w14:textId="6F555078"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22 PFAS </w:t>
            </w:r>
            <w:r w:rsidR="008601C8" w:rsidRPr="00FF1E05">
              <w:rPr>
                <w:rFonts w:eastAsia="Times New Roman" w:cs="Arial"/>
                <w:color w:val="000000"/>
                <w:sz w:val="18"/>
                <w:szCs w:val="18"/>
                <w:lang w:val="en-GB" w:eastAsia="en-GB"/>
              </w:rPr>
              <w:t>analysed</w:t>
            </w:r>
            <w:r w:rsidRPr="00FF1E05">
              <w:rPr>
                <w:rFonts w:eastAsia="Times New Roman" w:cs="Arial"/>
                <w:color w:val="000000"/>
                <w:sz w:val="18"/>
                <w:szCs w:val="18"/>
                <w:lang w:val="en-GB" w:eastAsia="en-GB"/>
              </w:rPr>
              <w:t xml:space="preserve">; 6 focal PFAS: PFBS, </w:t>
            </w:r>
            <w:proofErr w:type="spellStart"/>
            <w:r w:rsidRPr="00FF1E05">
              <w:rPr>
                <w:rFonts w:eastAsia="Times New Roman" w:cs="Arial"/>
                <w:color w:val="000000"/>
                <w:sz w:val="18"/>
                <w:szCs w:val="18"/>
                <w:lang w:val="en-GB" w:eastAsia="en-GB"/>
              </w:rPr>
              <w:t>PFHxS</w:t>
            </w:r>
            <w:proofErr w:type="spellEnd"/>
            <w:r w:rsidRPr="00FF1E05">
              <w:rPr>
                <w:rFonts w:eastAsia="Times New Roman" w:cs="Arial"/>
                <w:color w:val="000000"/>
                <w:sz w:val="18"/>
                <w:szCs w:val="18"/>
                <w:lang w:val="en-GB" w:eastAsia="en-GB"/>
              </w:rPr>
              <w:t xml:space="preserve">, PFOS, PFBA, </w:t>
            </w:r>
            <w:proofErr w:type="spellStart"/>
            <w:r w:rsidRPr="00FF1E05">
              <w:rPr>
                <w:rFonts w:eastAsia="Times New Roman" w:cs="Arial"/>
                <w:color w:val="000000"/>
                <w:sz w:val="18"/>
                <w:szCs w:val="18"/>
                <w:lang w:val="en-GB" w:eastAsia="en-GB"/>
              </w:rPr>
              <w:t>PFHxA</w:t>
            </w:r>
            <w:proofErr w:type="spellEnd"/>
            <w:r w:rsidRPr="00FF1E05">
              <w:rPr>
                <w:rFonts w:eastAsia="Times New Roman" w:cs="Arial"/>
                <w:color w:val="000000"/>
                <w:sz w:val="18"/>
                <w:szCs w:val="18"/>
                <w:lang w:val="en-GB" w:eastAsia="en-GB"/>
              </w:rPr>
              <w:t>, PFOA</w:t>
            </w:r>
          </w:p>
        </w:tc>
        <w:tc>
          <w:tcPr>
            <w:tcW w:w="2133" w:type="dxa"/>
            <w:tcBorders>
              <w:top w:val="nil"/>
              <w:left w:val="nil"/>
              <w:bottom w:val="nil"/>
              <w:right w:val="nil"/>
            </w:tcBorders>
            <w:vAlign w:val="center"/>
            <w:hideMark/>
          </w:tcPr>
          <w:p w14:paraId="0D727751"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8 waste-timber </w:t>
            </w:r>
            <w:proofErr w:type="spellStart"/>
            <w:r w:rsidRPr="00FF1E05">
              <w:rPr>
                <w:rFonts w:eastAsia="Times New Roman" w:cs="Arial"/>
                <w:color w:val="000000"/>
                <w:sz w:val="18"/>
                <w:szCs w:val="18"/>
                <w:lang w:val="en-GB" w:eastAsia="en-GB"/>
              </w:rPr>
              <w:t>biochars</w:t>
            </w:r>
            <w:proofErr w:type="spellEnd"/>
            <w:r w:rsidRPr="00FF1E05">
              <w:rPr>
                <w:rFonts w:eastAsia="Times New Roman" w:cs="Arial"/>
                <w:color w:val="000000"/>
                <w:sz w:val="18"/>
                <w:szCs w:val="18"/>
                <w:lang w:val="en-GB" w:eastAsia="en-GB"/>
              </w:rPr>
              <w:t>: non-activated plus steam/CO2 activated variants</w:t>
            </w:r>
          </w:p>
        </w:tc>
        <w:tc>
          <w:tcPr>
            <w:tcW w:w="1073" w:type="dxa"/>
            <w:tcBorders>
              <w:top w:val="nil"/>
              <w:left w:val="nil"/>
              <w:bottom w:val="nil"/>
              <w:right w:val="nil"/>
            </w:tcBorders>
            <w:vAlign w:val="center"/>
            <w:hideMark/>
          </w:tcPr>
          <w:p w14:paraId="7B581F63"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 0.1; 0.5; 1; 2; 5% w/w</w:t>
            </w:r>
          </w:p>
        </w:tc>
        <w:tc>
          <w:tcPr>
            <w:tcW w:w="2188" w:type="dxa"/>
            <w:tcBorders>
              <w:top w:val="nil"/>
              <w:left w:val="nil"/>
              <w:bottom w:val="nil"/>
              <w:right w:val="nil"/>
            </w:tcBorders>
            <w:vAlign w:val="center"/>
            <w:hideMark/>
          </w:tcPr>
          <w:p w14:paraId="7EB9054F" w14:textId="3D52E2B3"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Leachate PFAS </w:t>
            </w:r>
            <w:r w:rsidR="008601C8" w:rsidRPr="00FF1E05">
              <w:rPr>
                <w:rFonts w:eastAsia="Times New Roman" w:cs="Arial"/>
                <w:color w:val="000000"/>
                <w:sz w:val="18"/>
                <w:szCs w:val="18"/>
                <w:lang w:val="en-GB" w:eastAsia="en-GB"/>
              </w:rPr>
              <w:t>concentration/percentage</w:t>
            </w:r>
            <w:r w:rsidRPr="00FF1E05">
              <w:rPr>
                <w:rFonts w:eastAsia="Times New Roman" w:cs="Arial"/>
                <w:color w:val="000000"/>
                <w:sz w:val="18"/>
                <w:szCs w:val="18"/>
                <w:lang w:val="en-GB" w:eastAsia="en-GB"/>
              </w:rPr>
              <w:t xml:space="preserve"> reduction</w:t>
            </w:r>
          </w:p>
        </w:tc>
      </w:tr>
      <w:tr w:rsidR="004A2332" w:rsidRPr="00FF1E05" w14:paraId="047362E7" w14:textId="77777777" w:rsidTr="004A2332">
        <w:trPr>
          <w:trHeight w:val="515"/>
        </w:trPr>
        <w:tc>
          <w:tcPr>
            <w:tcW w:w="1119" w:type="dxa"/>
            <w:tcBorders>
              <w:top w:val="nil"/>
              <w:left w:val="nil"/>
              <w:bottom w:val="nil"/>
              <w:right w:val="nil"/>
            </w:tcBorders>
            <w:vAlign w:val="center"/>
            <w:hideMark/>
          </w:tcPr>
          <w:p w14:paraId="2075FF5C"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Zhang &amp; Liang (2022a)</w:t>
            </w:r>
          </w:p>
        </w:tc>
        <w:tc>
          <w:tcPr>
            <w:tcW w:w="2132" w:type="dxa"/>
            <w:tcBorders>
              <w:top w:val="nil"/>
              <w:left w:val="nil"/>
              <w:bottom w:val="nil"/>
              <w:right w:val="nil"/>
            </w:tcBorders>
            <w:vAlign w:val="center"/>
            <w:hideMark/>
          </w:tcPr>
          <w:p w14:paraId="69D24177" w14:textId="50363022"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Laboratory soil </w:t>
            </w:r>
            <w:r w:rsidR="008601C8" w:rsidRPr="00FF1E05">
              <w:rPr>
                <w:rFonts w:eastAsia="Times New Roman" w:cs="Arial"/>
                <w:color w:val="000000"/>
                <w:sz w:val="18"/>
                <w:szCs w:val="18"/>
                <w:lang w:val="en-GB" w:eastAsia="en-GB"/>
              </w:rPr>
              <w:t>stabilisation</w:t>
            </w:r>
            <w:r w:rsidRPr="00FF1E05">
              <w:rPr>
                <w:rFonts w:eastAsia="Times New Roman" w:cs="Arial"/>
                <w:color w:val="000000"/>
                <w:sz w:val="18"/>
                <w:szCs w:val="18"/>
                <w:lang w:val="en-GB" w:eastAsia="en-GB"/>
              </w:rPr>
              <w:t xml:space="preserve">; sequential water + SPLP leaching; </w:t>
            </w:r>
            <w:r w:rsidR="008601C8" w:rsidRPr="00FF1E05">
              <w:rPr>
                <w:rFonts w:eastAsia="Times New Roman" w:cs="Arial"/>
                <w:color w:val="000000"/>
                <w:sz w:val="18"/>
                <w:szCs w:val="18"/>
                <w:lang w:val="en-GB" w:eastAsia="en-GB"/>
              </w:rPr>
              <w:t>ageing</w:t>
            </w:r>
          </w:p>
        </w:tc>
        <w:tc>
          <w:tcPr>
            <w:tcW w:w="2289" w:type="dxa"/>
            <w:tcBorders>
              <w:top w:val="nil"/>
              <w:left w:val="nil"/>
              <w:bottom w:val="nil"/>
              <w:right w:val="nil"/>
            </w:tcBorders>
            <w:vAlign w:val="center"/>
            <w:hideMark/>
          </w:tcPr>
          <w:p w14:paraId="4226524A"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Experimentally PFAS-spiked sandy-loam agricultural soil</w:t>
            </w:r>
          </w:p>
        </w:tc>
        <w:tc>
          <w:tcPr>
            <w:tcW w:w="2100" w:type="dxa"/>
            <w:tcBorders>
              <w:top w:val="nil"/>
              <w:left w:val="nil"/>
              <w:bottom w:val="nil"/>
              <w:right w:val="nil"/>
            </w:tcBorders>
            <w:vAlign w:val="center"/>
            <w:hideMark/>
          </w:tcPr>
          <w:p w14:paraId="532FB57A"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10 PFAS: PFBS, </w:t>
            </w:r>
            <w:proofErr w:type="spellStart"/>
            <w:r w:rsidRPr="00FF1E05">
              <w:rPr>
                <w:rFonts w:eastAsia="Times New Roman" w:cs="Arial"/>
                <w:color w:val="000000"/>
                <w:sz w:val="18"/>
                <w:szCs w:val="18"/>
                <w:lang w:val="en-GB" w:eastAsia="en-GB"/>
              </w:rPr>
              <w:t>PFHxA</w:t>
            </w:r>
            <w:proofErr w:type="spellEnd"/>
            <w:r w:rsidRPr="00FF1E05">
              <w:rPr>
                <w:rFonts w:eastAsia="Times New Roman" w:cs="Arial"/>
                <w:color w:val="000000"/>
                <w:sz w:val="18"/>
                <w:szCs w:val="18"/>
                <w:lang w:val="en-GB" w:eastAsia="en-GB"/>
              </w:rPr>
              <w:t xml:space="preserve">, GenX, </w:t>
            </w:r>
            <w:proofErr w:type="spellStart"/>
            <w:r w:rsidRPr="00FF1E05">
              <w:rPr>
                <w:rFonts w:eastAsia="Times New Roman" w:cs="Arial"/>
                <w:color w:val="000000"/>
                <w:sz w:val="18"/>
                <w:szCs w:val="18"/>
                <w:lang w:val="en-GB" w:eastAsia="en-GB"/>
              </w:rPr>
              <w:t>PFHpA</w:t>
            </w:r>
            <w:proofErr w:type="spellEnd"/>
            <w:r w:rsidRPr="00FF1E05">
              <w:rPr>
                <w:rFonts w:eastAsia="Times New Roman" w:cs="Arial"/>
                <w:color w:val="000000"/>
                <w:sz w:val="18"/>
                <w:szCs w:val="18"/>
                <w:lang w:val="en-GB" w:eastAsia="en-GB"/>
              </w:rPr>
              <w:t xml:space="preserve">, </w:t>
            </w:r>
            <w:proofErr w:type="spellStart"/>
            <w:r w:rsidRPr="00FF1E05">
              <w:rPr>
                <w:rFonts w:eastAsia="Times New Roman" w:cs="Arial"/>
                <w:color w:val="000000"/>
                <w:sz w:val="18"/>
                <w:szCs w:val="18"/>
                <w:lang w:val="en-GB" w:eastAsia="en-GB"/>
              </w:rPr>
              <w:t>PFHxS</w:t>
            </w:r>
            <w:proofErr w:type="spellEnd"/>
            <w:r w:rsidRPr="00FF1E05">
              <w:rPr>
                <w:rFonts w:eastAsia="Times New Roman" w:cs="Arial"/>
                <w:color w:val="000000"/>
                <w:sz w:val="18"/>
                <w:szCs w:val="18"/>
                <w:lang w:val="en-GB" w:eastAsia="en-GB"/>
              </w:rPr>
              <w:t xml:space="preserve">, PFOA, PFNA, PFOS, PFDA, </w:t>
            </w:r>
            <w:proofErr w:type="spellStart"/>
            <w:r w:rsidRPr="00FF1E05">
              <w:rPr>
                <w:rFonts w:eastAsia="Times New Roman" w:cs="Arial"/>
                <w:color w:val="000000"/>
                <w:sz w:val="18"/>
                <w:szCs w:val="18"/>
                <w:lang w:val="en-GB" w:eastAsia="en-GB"/>
              </w:rPr>
              <w:t>PFUdA</w:t>
            </w:r>
            <w:proofErr w:type="spellEnd"/>
          </w:p>
        </w:tc>
        <w:tc>
          <w:tcPr>
            <w:tcW w:w="2133" w:type="dxa"/>
            <w:tcBorders>
              <w:top w:val="nil"/>
              <w:left w:val="nil"/>
              <w:bottom w:val="nil"/>
              <w:right w:val="nil"/>
            </w:tcBorders>
            <w:vAlign w:val="center"/>
            <w:hideMark/>
          </w:tcPr>
          <w:p w14:paraId="6851E5EE"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Forest-wood-waste biochar; 1000°C; ~800 m²/g</w:t>
            </w:r>
          </w:p>
        </w:tc>
        <w:tc>
          <w:tcPr>
            <w:tcW w:w="1073" w:type="dxa"/>
            <w:tcBorders>
              <w:top w:val="nil"/>
              <w:left w:val="nil"/>
              <w:bottom w:val="nil"/>
              <w:right w:val="nil"/>
            </w:tcBorders>
            <w:vAlign w:val="center"/>
            <w:hideMark/>
          </w:tcPr>
          <w:p w14:paraId="28EEC8C8"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 w/w</w:t>
            </w:r>
          </w:p>
        </w:tc>
        <w:tc>
          <w:tcPr>
            <w:tcW w:w="2188" w:type="dxa"/>
            <w:tcBorders>
              <w:top w:val="nil"/>
              <w:left w:val="nil"/>
              <w:bottom w:val="nil"/>
              <w:right w:val="nil"/>
            </w:tcBorders>
            <w:vAlign w:val="center"/>
            <w:hideMark/>
          </w:tcPr>
          <w:p w14:paraId="6B997B04"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Water- and SPLP-leachable PFAS fraction</w:t>
            </w:r>
          </w:p>
        </w:tc>
      </w:tr>
      <w:tr w:rsidR="004A2332" w:rsidRPr="00FF1E05" w14:paraId="65B19012" w14:textId="77777777" w:rsidTr="004A2332">
        <w:trPr>
          <w:trHeight w:val="686"/>
        </w:trPr>
        <w:tc>
          <w:tcPr>
            <w:tcW w:w="1119" w:type="dxa"/>
            <w:tcBorders>
              <w:top w:val="nil"/>
              <w:left w:val="nil"/>
              <w:bottom w:val="nil"/>
              <w:right w:val="nil"/>
            </w:tcBorders>
            <w:vAlign w:val="center"/>
            <w:hideMark/>
          </w:tcPr>
          <w:p w14:paraId="59A5E972"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Navarro et al. (2023)</w:t>
            </w:r>
          </w:p>
        </w:tc>
        <w:tc>
          <w:tcPr>
            <w:tcW w:w="2132" w:type="dxa"/>
            <w:tcBorders>
              <w:top w:val="nil"/>
              <w:left w:val="nil"/>
              <w:bottom w:val="nil"/>
              <w:right w:val="nil"/>
            </w:tcBorders>
            <w:vAlign w:val="center"/>
            <w:hideMark/>
          </w:tcPr>
          <w:p w14:paraId="4CF996BA" w14:textId="5A8B7208"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Long-term soil </w:t>
            </w:r>
            <w:r w:rsidR="008601C8" w:rsidRPr="00FF1E05">
              <w:rPr>
                <w:rFonts w:eastAsia="Times New Roman" w:cs="Arial"/>
                <w:color w:val="000000"/>
                <w:sz w:val="18"/>
                <w:szCs w:val="18"/>
                <w:lang w:val="en-GB" w:eastAsia="en-GB"/>
              </w:rPr>
              <w:t>stabilisation</w:t>
            </w:r>
            <w:r w:rsidRPr="00FF1E05">
              <w:rPr>
                <w:rFonts w:eastAsia="Times New Roman" w:cs="Arial"/>
                <w:color w:val="000000"/>
                <w:sz w:val="18"/>
                <w:szCs w:val="18"/>
                <w:lang w:val="en-GB" w:eastAsia="en-GB"/>
              </w:rPr>
              <w:t xml:space="preserve"> with multiple standard leaching protocols</w:t>
            </w:r>
          </w:p>
        </w:tc>
        <w:tc>
          <w:tcPr>
            <w:tcW w:w="2289" w:type="dxa"/>
            <w:tcBorders>
              <w:top w:val="nil"/>
              <w:left w:val="nil"/>
              <w:bottom w:val="nil"/>
              <w:right w:val="nil"/>
            </w:tcBorders>
            <w:vAlign w:val="center"/>
            <w:hideMark/>
          </w:tcPr>
          <w:p w14:paraId="1E182F05"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Two historically AFFF-contaminated soils: clay loam TO and loamy sand TW</w:t>
            </w:r>
          </w:p>
        </w:tc>
        <w:tc>
          <w:tcPr>
            <w:tcW w:w="2100" w:type="dxa"/>
            <w:tcBorders>
              <w:top w:val="nil"/>
              <w:left w:val="nil"/>
              <w:bottom w:val="nil"/>
              <w:right w:val="nil"/>
            </w:tcBorders>
            <w:vAlign w:val="center"/>
            <w:hideMark/>
          </w:tcPr>
          <w:p w14:paraId="20D0974E" w14:textId="64A9832A"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Up to 28 PFAS; </w:t>
            </w:r>
            <w:proofErr w:type="spellStart"/>
            <w:r w:rsidRPr="00FF1E05">
              <w:rPr>
                <w:rFonts w:eastAsia="Times New Roman" w:cs="Arial"/>
                <w:color w:val="000000"/>
                <w:sz w:val="18"/>
                <w:szCs w:val="18"/>
                <w:lang w:val="en-GB" w:eastAsia="en-GB"/>
              </w:rPr>
              <w:t>PFHxS</w:t>
            </w:r>
            <w:proofErr w:type="spellEnd"/>
            <w:r w:rsidRPr="00FF1E05">
              <w:rPr>
                <w:rFonts w:eastAsia="Times New Roman" w:cs="Arial"/>
                <w:color w:val="000000"/>
                <w:sz w:val="18"/>
                <w:szCs w:val="18"/>
                <w:lang w:val="en-GB" w:eastAsia="en-GB"/>
              </w:rPr>
              <w:t xml:space="preserve">, PFOS and PFOA </w:t>
            </w:r>
            <w:r w:rsidR="008601C8" w:rsidRPr="00FF1E05">
              <w:rPr>
                <w:rFonts w:eastAsia="Times New Roman" w:cs="Arial"/>
                <w:color w:val="000000"/>
                <w:sz w:val="18"/>
                <w:szCs w:val="18"/>
                <w:lang w:val="en-GB" w:eastAsia="en-GB"/>
              </w:rPr>
              <w:t>emphasised</w:t>
            </w:r>
          </w:p>
        </w:tc>
        <w:tc>
          <w:tcPr>
            <w:tcW w:w="2133" w:type="dxa"/>
            <w:tcBorders>
              <w:top w:val="nil"/>
              <w:left w:val="nil"/>
              <w:bottom w:val="nil"/>
              <w:right w:val="nil"/>
            </w:tcBorders>
            <w:vAlign w:val="center"/>
            <w:hideMark/>
          </w:tcPr>
          <w:p w14:paraId="7D493F8F"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B1 fine hardwood biochar; B2 GAC-biochar mixture (plus AC comparators not extracted as biochar effects)</w:t>
            </w:r>
          </w:p>
        </w:tc>
        <w:tc>
          <w:tcPr>
            <w:tcW w:w="1073" w:type="dxa"/>
            <w:tcBorders>
              <w:top w:val="nil"/>
              <w:left w:val="nil"/>
              <w:bottom w:val="nil"/>
              <w:right w:val="nil"/>
            </w:tcBorders>
            <w:vAlign w:val="center"/>
            <w:hideMark/>
          </w:tcPr>
          <w:p w14:paraId="7E1841F0"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6%; 1% w/w</w:t>
            </w:r>
          </w:p>
        </w:tc>
        <w:tc>
          <w:tcPr>
            <w:tcW w:w="2188" w:type="dxa"/>
            <w:tcBorders>
              <w:top w:val="nil"/>
              <w:left w:val="nil"/>
              <w:bottom w:val="nil"/>
              <w:right w:val="nil"/>
            </w:tcBorders>
            <w:vAlign w:val="center"/>
            <w:hideMark/>
          </w:tcPr>
          <w:p w14:paraId="03A69119"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PFAS leaching reduction over time</w:t>
            </w:r>
          </w:p>
        </w:tc>
      </w:tr>
      <w:tr w:rsidR="004A2332" w:rsidRPr="00FF1E05" w14:paraId="30F1D0DA" w14:textId="77777777" w:rsidTr="004A2332">
        <w:trPr>
          <w:trHeight w:val="343"/>
        </w:trPr>
        <w:tc>
          <w:tcPr>
            <w:tcW w:w="1119" w:type="dxa"/>
            <w:tcBorders>
              <w:top w:val="nil"/>
              <w:left w:val="nil"/>
              <w:bottom w:val="nil"/>
              <w:right w:val="nil"/>
            </w:tcBorders>
            <w:vAlign w:val="center"/>
            <w:hideMark/>
          </w:tcPr>
          <w:p w14:paraId="67F0E285"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Kabiri et al. (2023)</w:t>
            </w:r>
          </w:p>
        </w:tc>
        <w:tc>
          <w:tcPr>
            <w:tcW w:w="2132" w:type="dxa"/>
            <w:tcBorders>
              <w:top w:val="nil"/>
              <w:left w:val="nil"/>
              <w:bottom w:val="nil"/>
              <w:right w:val="nil"/>
            </w:tcBorders>
            <w:vAlign w:val="center"/>
            <w:hideMark/>
          </w:tcPr>
          <w:p w14:paraId="1F2EFC4F" w14:textId="37377B63"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Batch solution screening + soil ASLP </w:t>
            </w:r>
            <w:r w:rsidR="008601C8" w:rsidRPr="00FF1E05">
              <w:rPr>
                <w:rFonts w:eastAsia="Times New Roman" w:cs="Arial"/>
                <w:color w:val="000000"/>
                <w:sz w:val="18"/>
                <w:szCs w:val="18"/>
                <w:lang w:val="en-GB" w:eastAsia="en-GB"/>
              </w:rPr>
              <w:t>immobilisation</w:t>
            </w:r>
          </w:p>
        </w:tc>
        <w:tc>
          <w:tcPr>
            <w:tcW w:w="2289" w:type="dxa"/>
            <w:tcBorders>
              <w:top w:val="nil"/>
              <w:left w:val="nil"/>
              <w:bottom w:val="nil"/>
              <w:right w:val="nil"/>
            </w:tcBorders>
            <w:vAlign w:val="center"/>
            <w:hideMark/>
          </w:tcPr>
          <w:p w14:paraId="68921D11"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Native AFFF-contaminated sandy soil</w:t>
            </w:r>
          </w:p>
        </w:tc>
        <w:tc>
          <w:tcPr>
            <w:tcW w:w="2100" w:type="dxa"/>
            <w:tcBorders>
              <w:top w:val="nil"/>
              <w:left w:val="nil"/>
              <w:bottom w:val="nil"/>
              <w:right w:val="nil"/>
            </w:tcBorders>
            <w:vAlign w:val="center"/>
            <w:hideMark/>
          </w:tcPr>
          <w:p w14:paraId="4872021F"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Multiple AFFF PFAS</w:t>
            </w:r>
          </w:p>
        </w:tc>
        <w:tc>
          <w:tcPr>
            <w:tcW w:w="2133" w:type="dxa"/>
            <w:tcBorders>
              <w:top w:val="nil"/>
              <w:left w:val="nil"/>
              <w:bottom w:val="nil"/>
              <w:right w:val="nil"/>
            </w:tcBorders>
            <w:vAlign w:val="center"/>
            <w:hideMark/>
          </w:tcPr>
          <w:p w14:paraId="58C83D25"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4 </w:t>
            </w:r>
            <w:proofErr w:type="spellStart"/>
            <w:r w:rsidRPr="00FF1E05">
              <w:rPr>
                <w:rFonts w:eastAsia="Times New Roman" w:cs="Arial"/>
                <w:color w:val="000000"/>
                <w:sz w:val="18"/>
                <w:szCs w:val="18"/>
                <w:lang w:val="en-GB" w:eastAsia="en-GB"/>
              </w:rPr>
              <w:t>biochars</w:t>
            </w:r>
            <w:proofErr w:type="spellEnd"/>
            <w:r w:rsidRPr="00FF1E05">
              <w:rPr>
                <w:rFonts w:eastAsia="Times New Roman" w:cs="Arial"/>
                <w:color w:val="000000"/>
                <w:sz w:val="18"/>
                <w:szCs w:val="18"/>
                <w:lang w:val="en-GB" w:eastAsia="en-GB"/>
              </w:rPr>
              <w:t xml:space="preserve"> among a 28-sorbent carbon panel</w:t>
            </w:r>
          </w:p>
        </w:tc>
        <w:tc>
          <w:tcPr>
            <w:tcW w:w="1073" w:type="dxa"/>
            <w:tcBorders>
              <w:top w:val="nil"/>
              <w:left w:val="nil"/>
              <w:bottom w:val="nil"/>
              <w:right w:val="nil"/>
            </w:tcBorders>
            <w:vAlign w:val="center"/>
            <w:hideMark/>
          </w:tcPr>
          <w:p w14:paraId="14DEA523"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 w/w</w:t>
            </w:r>
          </w:p>
        </w:tc>
        <w:tc>
          <w:tcPr>
            <w:tcW w:w="2188" w:type="dxa"/>
            <w:tcBorders>
              <w:top w:val="nil"/>
              <w:left w:val="nil"/>
              <w:bottom w:val="nil"/>
              <w:right w:val="nil"/>
            </w:tcBorders>
            <w:vAlign w:val="center"/>
            <w:hideMark/>
          </w:tcPr>
          <w:p w14:paraId="3C71EA62"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Operational </w:t>
            </w:r>
            <w:proofErr w:type="spellStart"/>
            <w:r w:rsidRPr="00FF1E05">
              <w:rPr>
                <w:rFonts w:eastAsia="Times New Roman" w:cs="Arial"/>
                <w:color w:val="000000"/>
                <w:sz w:val="18"/>
                <w:szCs w:val="18"/>
                <w:lang w:val="en-GB" w:eastAsia="en-GB"/>
              </w:rPr>
              <w:t>Kd</w:t>
            </w:r>
            <w:proofErr w:type="spellEnd"/>
            <w:r w:rsidRPr="00FF1E05">
              <w:rPr>
                <w:rFonts w:eastAsia="Times New Roman" w:cs="Arial"/>
                <w:color w:val="000000"/>
                <w:sz w:val="18"/>
                <w:szCs w:val="18"/>
                <w:lang w:val="en-GB" w:eastAsia="en-GB"/>
              </w:rPr>
              <w:t xml:space="preserve"> / retained fraction from ASLP</w:t>
            </w:r>
          </w:p>
        </w:tc>
      </w:tr>
      <w:tr w:rsidR="004A2332" w:rsidRPr="00FF1E05" w14:paraId="7B1FA0AF" w14:textId="77777777" w:rsidTr="004A2332">
        <w:trPr>
          <w:trHeight w:val="515"/>
        </w:trPr>
        <w:tc>
          <w:tcPr>
            <w:tcW w:w="1119" w:type="dxa"/>
            <w:tcBorders>
              <w:top w:val="nil"/>
              <w:left w:val="nil"/>
              <w:bottom w:val="nil"/>
              <w:right w:val="nil"/>
            </w:tcBorders>
            <w:vAlign w:val="center"/>
            <w:hideMark/>
          </w:tcPr>
          <w:p w14:paraId="47E60719"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Sørmo et al. (2024)</w:t>
            </w:r>
          </w:p>
        </w:tc>
        <w:tc>
          <w:tcPr>
            <w:tcW w:w="2132" w:type="dxa"/>
            <w:tcBorders>
              <w:top w:val="nil"/>
              <w:left w:val="nil"/>
              <w:bottom w:val="nil"/>
              <w:right w:val="nil"/>
            </w:tcBorders>
            <w:vAlign w:val="center"/>
            <w:hideMark/>
          </w:tcPr>
          <w:p w14:paraId="5EAB23FF"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Up-flow soil columns; 15 d; ~16 pore volumes</w:t>
            </w:r>
          </w:p>
        </w:tc>
        <w:tc>
          <w:tcPr>
            <w:tcW w:w="2289" w:type="dxa"/>
            <w:tcBorders>
              <w:top w:val="nil"/>
              <w:left w:val="nil"/>
              <w:bottom w:val="nil"/>
              <w:right w:val="nil"/>
            </w:tcBorders>
            <w:vAlign w:val="center"/>
            <w:hideMark/>
          </w:tcPr>
          <w:p w14:paraId="6690C646"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Native sandy AFFF-contaminated soil; TOC 0.57±0.04%</w:t>
            </w:r>
          </w:p>
        </w:tc>
        <w:tc>
          <w:tcPr>
            <w:tcW w:w="2100" w:type="dxa"/>
            <w:tcBorders>
              <w:top w:val="nil"/>
              <w:left w:val="nil"/>
              <w:bottom w:val="nil"/>
              <w:right w:val="nil"/>
            </w:tcBorders>
            <w:vAlign w:val="center"/>
            <w:hideMark/>
          </w:tcPr>
          <w:p w14:paraId="5B13670F"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39 targets; 10 focal PFAS; PFOS dominant</w:t>
            </w:r>
          </w:p>
        </w:tc>
        <w:tc>
          <w:tcPr>
            <w:tcW w:w="2133" w:type="dxa"/>
            <w:tcBorders>
              <w:top w:val="nil"/>
              <w:left w:val="nil"/>
              <w:bottom w:val="nil"/>
              <w:right w:val="nil"/>
            </w:tcBorders>
            <w:vAlign w:val="center"/>
            <w:hideMark/>
          </w:tcPr>
          <w:p w14:paraId="12659F6A"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6 wood/sludge </w:t>
            </w:r>
            <w:proofErr w:type="spellStart"/>
            <w:r w:rsidRPr="00FF1E05">
              <w:rPr>
                <w:rFonts w:eastAsia="Times New Roman" w:cs="Arial"/>
                <w:color w:val="000000"/>
                <w:sz w:val="18"/>
                <w:szCs w:val="18"/>
                <w:lang w:val="en-GB" w:eastAsia="en-GB"/>
              </w:rPr>
              <w:t>biochars</w:t>
            </w:r>
            <w:proofErr w:type="spellEnd"/>
            <w:r w:rsidRPr="00FF1E05">
              <w:rPr>
                <w:rFonts w:eastAsia="Times New Roman" w:cs="Arial"/>
                <w:color w:val="000000"/>
                <w:sz w:val="18"/>
                <w:szCs w:val="18"/>
                <w:lang w:val="en-GB" w:eastAsia="en-GB"/>
              </w:rPr>
              <w:t xml:space="preserve"> including CO2-activated waste timber</w:t>
            </w:r>
          </w:p>
        </w:tc>
        <w:tc>
          <w:tcPr>
            <w:tcW w:w="1073" w:type="dxa"/>
            <w:tcBorders>
              <w:top w:val="nil"/>
              <w:left w:val="nil"/>
              <w:bottom w:val="nil"/>
              <w:right w:val="nil"/>
            </w:tcBorders>
            <w:vAlign w:val="center"/>
            <w:hideMark/>
          </w:tcPr>
          <w:p w14:paraId="5FA16DBD"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 w/w</w:t>
            </w:r>
          </w:p>
        </w:tc>
        <w:tc>
          <w:tcPr>
            <w:tcW w:w="2188" w:type="dxa"/>
            <w:tcBorders>
              <w:top w:val="nil"/>
              <w:left w:val="nil"/>
              <w:bottom w:val="nil"/>
              <w:right w:val="nil"/>
            </w:tcBorders>
            <w:vAlign w:val="center"/>
            <w:hideMark/>
          </w:tcPr>
          <w:p w14:paraId="4EFBC965" w14:textId="3F6108CE"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Leachate PFAS reduction / </w:t>
            </w:r>
            <w:r w:rsidR="008601C8" w:rsidRPr="00FF1E05">
              <w:rPr>
                <w:rFonts w:eastAsia="Times New Roman" w:cs="Arial"/>
                <w:color w:val="000000"/>
                <w:sz w:val="18"/>
                <w:szCs w:val="18"/>
                <w:lang w:val="en-GB" w:eastAsia="en-GB"/>
              </w:rPr>
              <w:t>modelled</w:t>
            </w:r>
            <w:r w:rsidRPr="00FF1E05">
              <w:rPr>
                <w:rFonts w:eastAsia="Times New Roman" w:cs="Arial"/>
                <w:color w:val="000000"/>
                <w:sz w:val="18"/>
                <w:szCs w:val="18"/>
                <w:lang w:val="en-GB" w:eastAsia="en-GB"/>
              </w:rPr>
              <w:t xml:space="preserve"> partitioning</w:t>
            </w:r>
          </w:p>
        </w:tc>
      </w:tr>
      <w:tr w:rsidR="004A2332" w:rsidRPr="00FF1E05" w14:paraId="0D30635A" w14:textId="77777777" w:rsidTr="004A2332">
        <w:trPr>
          <w:trHeight w:val="515"/>
        </w:trPr>
        <w:tc>
          <w:tcPr>
            <w:tcW w:w="1119" w:type="dxa"/>
            <w:tcBorders>
              <w:top w:val="nil"/>
              <w:left w:val="nil"/>
              <w:bottom w:val="nil"/>
              <w:right w:val="nil"/>
            </w:tcBorders>
            <w:vAlign w:val="center"/>
            <w:hideMark/>
          </w:tcPr>
          <w:p w14:paraId="076461A6"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Holly et al. (2024)</w:t>
            </w:r>
          </w:p>
        </w:tc>
        <w:tc>
          <w:tcPr>
            <w:tcW w:w="2132" w:type="dxa"/>
            <w:tcBorders>
              <w:top w:val="nil"/>
              <w:left w:val="nil"/>
              <w:bottom w:val="nil"/>
              <w:right w:val="nil"/>
            </w:tcBorders>
            <w:vAlign w:val="center"/>
            <w:hideMark/>
          </w:tcPr>
          <w:p w14:paraId="3102CB63"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Undisturbed soil columns + 24 weekly simulated-rainfall events</w:t>
            </w:r>
          </w:p>
        </w:tc>
        <w:tc>
          <w:tcPr>
            <w:tcW w:w="2289" w:type="dxa"/>
            <w:tcBorders>
              <w:top w:val="nil"/>
              <w:left w:val="nil"/>
              <w:bottom w:val="nil"/>
              <w:right w:val="nil"/>
            </w:tcBorders>
            <w:vAlign w:val="center"/>
            <w:hideMark/>
          </w:tcPr>
          <w:p w14:paraId="534163A4"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Four Wisconsin agricultural soils with contrasting biosolids histories</w:t>
            </w:r>
          </w:p>
        </w:tc>
        <w:tc>
          <w:tcPr>
            <w:tcW w:w="2100" w:type="dxa"/>
            <w:tcBorders>
              <w:top w:val="nil"/>
              <w:left w:val="nil"/>
              <w:bottom w:val="nil"/>
              <w:right w:val="nil"/>
            </w:tcBorders>
            <w:vAlign w:val="center"/>
            <w:hideMark/>
          </w:tcPr>
          <w:p w14:paraId="0E9859C8"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28 PFAS measured; 15 analytes in exact flow-weighted concentration table</w:t>
            </w:r>
          </w:p>
        </w:tc>
        <w:tc>
          <w:tcPr>
            <w:tcW w:w="2133" w:type="dxa"/>
            <w:tcBorders>
              <w:top w:val="nil"/>
              <w:left w:val="nil"/>
              <w:bottom w:val="nil"/>
              <w:right w:val="nil"/>
            </w:tcBorders>
            <w:vAlign w:val="center"/>
            <w:hideMark/>
          </w:tcPr>
          <w:p w14:paraId="05B900E9"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Carbon Tera wood biochar co-applied with biosolids</w:t>
            </w:r>
          </w:p>
        </w:tc>
        <w:tc>
          <w:tcPr>
            <w:tcW w:w="1073" w:type="dxa"/>
            <w:tcBorders>
              <w:top w:val="nil"/>
              <w:left w:val="nil"/>
              <w:bottom w:val="nil"/>
              <w:right w:val="nil"/>
            </w:tcBorders>
            <w:vAlign w:val="center"/>
            <w:hideMark/>
          </w:tcPr>
          <w:p w14:paraId="2564A76A"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38 t/</w:t>
            </w:r>
            <w:proofErr w:type="spellStart"/>
            <w:r w:rsidRPr="00FF1E05">
              <w:rPr>
                <w:rFonts w:eastAsia="Times New Roman" w:cs="Arial"/>
                <w:color w:val="000000"/>
                <w:sz w:val="18"/>
                <w:szCs w:val="18"/>
                <w:lang w:val="en-GB" w:eastAsia="en-GB"/>
              </w:rPr>
              <w:t>há</w:t>
            </w:r>
            <w:proofErr w:type="spellEnd"/>
          </w:p>
        </w:tc>
        <w:tc>
          <w:tcPr>
            <w:tcW w:w="2188" w:type="dxa"/>
            <w:tcBorders>
              <w:top w:val="nil"/>
              <w:left w:val="nil"/>
              <w:bottom w:val="nil"/>
              <w:right w:val="nil"/>
            </w:tcBorders>
            <w:vAlign w:val="center"/>
            <w:hideMark/>
          </w:tcPr>
          <w:p w14:paraId="21774CE6"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Flow-weighted leachate PFAS concentration over 24 weeks</w:t>
            </w:r>
          </w:p>
        </w:tc>
      </w:tr>
      <w:tr w:rsidR="004A2332" w:rsidRPr="00FF1E05" w14:paraId="004F6D39" w14:textId="77777777" w:rsidTr="004A2332">
        <w:trPr>
          <w:trHeight w:val="515"/>
        </w:trPr>
        <w:tc>
          <w:tcPr>
            <w:tcW w:w="1119" w:type="dxa"/>
            <w:tcBorders>
              <w:top w:val="nil"/>
              <w:left w:val="nil"/>
              <w:bottom w:val="nil"/>
              <w:right w:val="nil"/>
            </w:tcBorders>
            <w:vAlign w:val="center"/>
            <w:hideMark/>
          </w:tcPr>
          <w:p w14:paraId="146030C4" w14:textId="77777777" w:rsidR="004A2332" w:rsidRPr="00FF1E05" w:rsidRDefault="004A2332" w:rsidP="00D70034">
            <w:pPr>
              <w:spacing w:after="0" w:line="240" w:lineRule="auto"/>
              <w:rPr>
                <w:rFonts w:eastAsia="Times New Roman" w:cs="Arial"/>
                <w:color w:val="000000"/>
                <w:sz w:val="18"/>
                <w:szCs w:val="18"/>
                <w:lang w:val="en-GB" w:eastAsia="en-GB"/>
              </w:rPr>
            </w:pPr>
            <w:proofErr w:type="spellStart"/>
            <w:r w:rsidRPr="00FF1E05">
              <w:rPr>
                <w:rFonts w:eastAsia="Times New Roman" w:cs="Arial"/>
                <w:color w:val="000000"/>
                <w:sz w:val="18"/>
                <w:szCs w:val="18"/>
                <w:lang w:val="en-GB" w:eastAsia="en-GB"/>
              </w:rPr>
              <w:t>Openiyi</w:t>
            </w:r>
            <w:proofErr w:type="spellEnd"/>
            <w:r w:rsidRPr="00FF1E05">
              <w:rPr>
                <w:rFonts w:eastAsia="Times New Roman" w:cs="Arial"/>
                <w:color w:val="000000"/>
                <w:sz w:val="18"/>
                <w:szCs w:val="18"/>
                <w:lang w:val="en-GB" w:eastAsia="en-GB"/>
              </w:rPr>
              <w:t xml:space="preserve"> et al. (2025)</w:t>
            </w:r>
          </w:p>
        </w:tc>
        <w:tc>
          <w:tcPr>
            <w:tcW w:w="2132" w:type="dxa"/>
            <w:tcBorders>
              <w:top w:val="nil"/>
              <w:left w:val="nil"/>
              <w:bottom w:val="nil"/>
              <w:right w:val="nil"/>
            </w:tcBorders>
            <w:vAlign w:val="center"/>
            <w:hideMark/>
          </w:tcPr>
          <w:p w14:paraId="493B841A"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Triplicate packed unsaturated columns; weekly 4-d wetting/3-d drying cycles for 24 weeks</w:t>
            </w:r>
          </w:p>
        </w:tc>
        <w:tc>
          <w:tcPr>
            <w:tcW w:w="2289" w:type="dxa"/>
            <w:tcBorders>
              <w:top w:val="nil"/>
              <w:left w:val="nil"/>
              <w:bottom w:val="nil"/>
              <w:right w:val="nil"/>
            </w:tcBorders>
            <w:vAlign w:val="center"/>
            <w:hideMark/>
          </w:tcPr>
          <w:p w14:paraId="0B47BC6E"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Low-OM sandy soil (0.6% OM) + 3 </w:t>
            </w:r>
            <w:proofErr w:type="spellStart"/>
            <w:r w:rsidRPr="00FF1E05">
              <w:rPr>
                <w:rFonts w:eastAsia="Times New Roman" w:cs="Arial"/>
                <w:color w:val="000000"/>
                <w:sz w:val="18"/>
                <w:szCs w:val="18"/>
                <w:lang w:val="en-GB" w:eastAsia="en-GB"/>
              </w:rPr>
              <w:t>wt</w:t>
            </w:r>
            <w:proofErr w:type="spellEnd"/>
            <w:r w:rsidRPr="00FF1E05">
              <w:rPr>
                <w:rFonts w:eastAsia="Times New Roman" w:cs="Arial"/>
                <w:color w:val="000000"/>
                <w:sz w:val="18"/>
                <w:szCs w:val="18"/>
                <w:lang w:val="en-GB" w:eastAsia="en-GB"/>
              </w:rPr>
              <w:t>% Class A biosolids</w:t>
            </w:r>
          </w:p>
        </w:tc>
        <w:tc>
          <w:tcPr>
            <w:tcW w:w="2100" w:type="dxa"/>
            <w:tcBorders>
              <w:top w:val="nil"/>
              <w:left w:val="nil"/>
              <w:bottom w:val="nil"/>
              <w:right w:val="nil"/>
            </w:tcBorders>
            <w:vAlign w:val="center"/>
            <w:hideMark/>
          </w:tcPr>
          <w:p w14:paraId="5A14796A"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52 PFAS monitored; 24 exact compound mass-balance contrasts retained</w:t>
            </w:r>
          </w:p>
        </w:tc>
        <w:tc>
          <w:tcPr>
            <w:tcW w:w="2133" w:type="dxa"/>
            <w:tcBorders>
              <w:top w:val="nil"/>
              <w:left w:val="nil"/>
              <w:bottom w:val="nil"/>
              <w:right w:val="nil"/>
            </w:tcBorders>
            <w:vAlign w:val="center"/>
            <w:hideMark/>
          </w:tcPr>
          <w:p w14:paraId="5E82ACD9"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Biosolids-derived biochar produced at 350°C under N2</w:t>
            </w:r>
          </w:p>
        </w:tc>
        <w:tc>
          <w:tcPr>
            <w:tcW w:w="1073" w:type="dxa"/>
            <w:tcBorders>
              <w:top w:val="nil"/>
              <w:left w:val="nil"/>
              <w:bottom w:val="nil"/>
              <w:right w:val="nil"/>
            </w:tcBorders>
            <w:vAlign w:val="center"/>
            <w:hideMark/>
          </w:tcPr>
          <w:p w14:paraId="562DFCC3"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1.5%  w/w</w:t>
            </w:r>
          </w:p>
        </w:tc>
        <w:tc>
          <w:tcPr>
            <w:tcW w:w="2188" w:type="dxa"/>
            <w:tcBorders>
              <w:top w:val="nil"/>
              <w:left w:val="nil"/>
              <w:bottom w:val="nil"/>
              <w:right w:val="nil"/>
            </w:tcBorders>
            <w:vAlign w:val="center"/>
            <w:hideMark/>
          </w:tcPr>
          <w:p w14:paraId="3D46AF50"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Cumulative PFAS leaching / cumulative mass fraction leached</w:t>
            </w:r>
          </w:p>
        </w:tc>
      </w:tr>
      <w:tr w:rsidR="004A2332" w:rsidRPr="00FF1E05" w14:paraId="1210C134" w14:textId="77777777" w:rsidTr="004A2332">
        <w:trPr>
          <w:trHeight w:val="515"/>
        </w:trPr>
        <w:tc>
          <w:tcPr>
            <w:tcW w:w="1119" w:type="dxa"/>
            <w:tcBorders>
              <w:top w:val="nil"/>
              <w:left w:val="nil"/>
              <w:bottom w:val="nil"/>
              <w:right w:val="nil"/>
            </w:tcBorders>
            <w:vAlign w:val="center"/>
            <w:hideMark/>
          </w:tcPr>
          <w:p w14:paraId="021DD204"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lastRenderedPageBreak/>
              <w:t>Battisti et al. (2025)</w:t>
            </w:r>
          </w:p>
        </w:tc>
        <w:tc>
          <w:tcPr>
            <w:tcW w:w="2132" w:type="dxa"/>
            <w:tcBorders>
              <w:top w:val="nil"/>
              <w:left w:val="nil"/>
              <w:bottom w:val="nil"/>
              <w:right w:val="nil"/>
            </w:tcBorders>
            <w:vAlign w:val="center"/>
            <w:hideMark/>
          </w:tcPr>
          <w:p w14:paraId="4D0EA0AC"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Field horticultural trial; six 6-m² plots (3 biochar, 3 control); tomato followed by red chicory</w:t>
            </w:r>
          </w:p>
        </w:tc>
        <w:tc>
          <w:tcPr>
            <w:tcW w:w="2289" w:type="dxa"/>
            <w:tcBorders>
              <w:top w:val="nil"/>
              <w:left w:val="nil"/>
              <w:bottom w:val="nil"/>
              <w:right w:val="nil"/>
            </w:tcBorders>
            <w:vAlign w:val="center"/>
            <w:hideMark/>
          </w:tcPr>
          <w:p w14:paraId="4536B7B2"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PFAS-contaminated calcareous </w:t>
            </w:r>
            <w:proofErr w:type="spellStart"/>
            <w:r w:rsidRPr="00FF1E05">
              <w:rPr>
                <w:rFonts w:eastAsia="Times New Roman" w:cs="Arial"/>
                <w:color w:val="000000"/>
                <w:sz w:val="18"/>
                <w:szCs w:val="18"/>
                <w:lang w:val="en-GB" w:eastAsia="en-GB"/>
              </w:rPr>
              <w:t>Cambisol</w:t>
            </w:r>
            <w:proofErr w:type="spellEnd"/>
            <w:r w:rsidRPr="00FF1E05">
              <w:rPr>
                <w:rFonts w:eastAsia="Times New Roman" w:cs="Arial"/>
                <w:color w:val="000000"/>
                <w:sz w:val="18"/>
                <w:szCs w:val="18"/>
                <w:lang w:val="en-GB" w:eastAsia="en-GB"/>
              </w:rPr>
              <w:t xml:space="preserve"> irrigated with contaminated groundwater</w:t>
            </w:r>
          </w:p>
        </w:tc>
        <w:tc>
          <w:tcPr>
            <w:tcW w:w="2100" w:type="dxa"/>
            <w:tcBorders>
              <w:top w:val="nil"/>
              <w:left w:val="nil"/>
              <w:bottom w:val="nil"/>
              <w:right w:val="nil"/>
            </w:tcBorders>
            <w:vAlign w:val="center"/>
            <w:hideMark/>
          </w:tcPr>
          <w:p w14:paraId="5F31FDAE"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13 PFAS targeted</w:t>
            </w:r>
          </w:p>
        </w:tc>
        <w:tc>
          <w:tcPr>
            <w:tcW w:w="2133" w:type="dxa"/>
            <w:tcBorders>
              <w:top w:val="nil"/>
              <w:left w:val="nil"/>
              <w:bottom w:val="nil"/>
              <w:right w:val="nil"/>
            </w:tcBorders>
            <w:vAlign w:val="center"/>
            <w:hideMark/>
          </w:tcPr>
          <w:p w14:paraId="1BDDEA22"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Mixed-oak woody biochar; slow pyrolysis at 550°C</w:t>
            </w:r>
          </w:p>
        </w:tc>
        <w:tc>
          <w:tcPr>
            <w:tcW w:w="1073" w:type="dxa"/>
            <w:tcBorders>
              <w:top w:val="nil"/>
              <w:left w:val="nil"/>
              <w:bottom w:val="nil"/>
              <w:right w:val="nil"/>
            </w:tcBorders>
            <w:vAlign w:val="center"/>
            <w:hideMark/>
          </w:tcPr>
          <w:p w14:paraId="2B6BDFBD"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80 t/ha</w:t>
            </w:r>
          </w:p>
        </w:tc>
        <w:tc>
          <w:tcPr>
            <w:tcW w:w="2188" w:type="dxa"/>
            <w:tcBorders>
              <w:top w:val="nil"/>
              <w:left w:val="nil"/>
              <w:bottom w:val="nil"/>
              <w:right w:val="nil"/>
            </w:tcBorders>
            <w:vAlign w:val="center"/>
            <w:hideMark/>
          </w:tcPr>
          <w:p w14:paraId="647310C7"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Plant-tissue PFAS concentration; separate final-soil PFAS concentration</w:t>
            </w:r>
          </w:p>
        </w:tc>
      </w:tr>
      <w:tr w:rsidR="004A2332" w:rsidRPr="00FF1E05" w14:paraId="29D474C6" w14:textId="77777777" w:rsidTr="004A2332">
        <w:trPr>
          <w:trHeight w:val="686"/>
        </w:trPr>
        <w:tc>
          <w:tcPr>
            <w:tcW w:w="1119" w:type="dxa"/>
            <w:tcBorders>
              <w:top w:val="nil"/>
              <w:left w:val="nil"/>
              <w:bottom w:val="nil"/>
              <w:right w:val="nil"/>
            </w:tcBorders>
            <w:vAlign w:val="center"/>
            <w:hideMark/>
          </w:tcPr>
          <w:p w14:paraId="27D0B5F8"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Jiang et al. (2025)</w:t>
            </w:r>
          </w:p>
        </w:tc>
        <w:tc>
          <w:tcPr>
            <w:tcW w:w="2132" w:type="dxa"/>
            <w:tcBorders>
              <w:top w:val="nil"/>
              <w:left w:val="nil"/>
              <w:bottom w:val="nil"/>
              <w:right w:val="nil"/>
            </w:tcBorders>
            <w:vAlign w:val="center"/>
            <w:hideMark/>
          </w:tcPr>
          <w:p w14:paraId="0CE1A8EA"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Greenhouse planted + unplanted soil systems; 2% adsorbent; alfalfa harvested on days 56 and 98</w:t>
            </w:r>
          </w:p>
        </w:tc>
        <w:tc>
          <w:tcPr>
            <w:tcW w:w="2289" w:type="dxa"/>
            <w:tcBorders>
              <w:top w:val="nil"/>
              <w:left w:val="nil"/>
              <w:bottom w:val="nil"/>
              <w:right w:val="nil"/>
            </w:tcBorders>
            <w:vAlign w:val="center"/>
            <w:hideMark/>
          </w:tcPr>
          <w:p w14:paraId="4819C6DD"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Albany sandy-loam soil + vermiculite; eight PFAS freshly spiked at 300 µg/kg each</w:t>
            </w:r>
          </w:p>
        </w:tc>
        <w:tc>
          <w:tcPr>
            <w:tcW w:w="2100" w:type="dxa"/>
            <w:tcBorders>
              <w:top w:val="nil"/>
              <w:left w:val="nil"/>
              <w:bottom w:val="nil"/>
              <w:right w:val="nil"/>
            </w:tcBorders>
            <w:vAlign w:val="center"/>
            <w:hideMark/>
          </w:tcPr>
          <w:p w14:paraId="1FEEEC6C" w14:textId="77777777" w:rsidR="004A2332" w:rsidRPr="00FF1E05" w:rsidRDefault="004A2332" w:rsidP="00D70034">
            <w:pPr>
              <w:spacing w:after="0" w:line="240" w:lineRule="auto"/>
              <w:rPr>
                <w:rFonts w:eastAsia="Times New Roman" w:cs="Arial"/>
                <w:color w:val="000000"/>
                <w:sz w:val="18"/>
                <w:szCs w:val="18"/>
                <w:lang w:val="en-GB" w:eastAsia="en-GB"/>
              </w:rPr>
            </w:pPr>
            <w:proofErr w:type="spellStart"/>
            <w:r w:rsidRPr="00FF1E05">
              <w:rPr>
                <w:rFonts w:eastAsia="Times New Roman" w:cs="Arial"/>
                <w:color w:val="000000"/>
                <w:sz w:val="18"/>
                <w:szCs w:val="18"/>
                <w:lang w:val="en-GB" w:eastAsia="en-GB"/>
              </w:rPr>
              <w:t>PFHxA</w:t>
            </w:r>
            <w:proofErr w:type="spellEnd"/>
            <w:r w:rsidRPr="00FF1E05">
              <w:rPr>
                <w:rFonts w:eastAsia="Times New Roman" w:cs="Arial"/>
                <w:color w:val="000000"/>
                <w:sz w:val="18"/>
                <w:szCs w:val="18"/>
                <w:lang w:val="en-GB" w:eastAsia="en-GB"/>
              </w:rPr>
              <w:t xml:space="preserve">, </w:t>
            </w:r>
            <w:proofErr w:type="spellStart"/>
            <w:r w:rsidRPr="00FF1E05">
              <w:rPr>
                <w:rFonts w:eastAsia="Times New Roman" w:cs="Arial"/>
                <w:color w:val="000000"/>
                <w:sz w:val="18"/>
                <w:szCs w:val="18"/>
                <w:lang w:val="en-GB" w:eastAsia="en-GB"/>
              </w:rPr>
              <w:t>PFHpA</w:t>
            </w:r>
            <w:proofErr w:type="spellEnd"/>
            <w:r w:rsidRPr="00FF1E05">
              <w:rPr>
                <w:rFonts w:eastAsia="Times New Roman" w:cs="Arial"/>
                <w:color w:val="000000"/>
                <w:sz w:val="18"/>
                <w:szCs w:val="18"/>
                <w:lang w:val="en-GB" w:eastAsia="en-GB"/>
              </w:rPr>
              <w:t xml:space="preserve">, PFOA, PFNA, PFBS, </w:t>
            </w:r>
            <w:proofErr w:type="spellStart"/>
            <w:r w:rsidRPr="00FF1E05">
              <w:rPr>
                <w:rFonts w:eastAsia="Times New Roman" w:cs="Arial"/>
                <w:color w:val="000000"/>
                <w:sz w:val="18"/>
                <w:szCs w:val="18"/>
                <w:lang w:val="en-GB" w:eastAsia="en-GB"/>
              </w:rPr>
              <w:t>PFHxS</w:t>
            </w:r>
            <w:proofErr w:type="spellEnd"/>
            <w:r w:rsidRPr="00FF1E05">
              <w:rPr>
                <w:rFonts w:eastAsia="Times New Roman" w:cs="Arial"/>
                <w:color w:val="000000"/>
                <w:sz w:val="18"/>
                <w:szCs w:val="18"/>
                <w:lang w:val="en-GB" w:eastAsia="en-GB"/>
              </w:rPr>
              <w:t>, PFOS, GenX</w:t>
            </w:r>
          </w:p>
        </w:tc>
        <w:tc>
          <w:tcPr>
            <w:tcW w:w="2133" w:type="dxa"/>
            <w:tcBorders>
              <w:top w:val="nil"/>
              <w:left w:val="nil"/>
              <w:bottom w:val="nil"/>
              <w:right w:val="nil"/>
            </w:tcBorders>
            <w:vAlign w:val="center"/>
            <w:hideMark/>
          </w:tcPr>
          <w:p w14:paraId="2BF0A06F"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Two commercial </w:t>
            </w:r>
            <w:proofErr w:type="spellStart"/>
            <w:r w:rsidRPr="00FF1E05">
              <w:rPr>
                <w:rFonts w:eastAsia="Times New Roman" w:cs="Arial"/>
                <w:color w:val="000000"/>
                <w:sz w:val="18"/>
                <w:szCs w:val="18"/>
                <w:lang w:val="en-GB" w:eastAsia="en-GB"/>
              </w:rPr>
              <w:t>biochars</w:t>
            </w:r>
            <w:proofErr w:type="spellEnd"/>
            <w:r w:rsidRPr="00FF1E05">
              <w:rPr>
                <w:rFonts w:eastAsia="Times New Roman" w:cs="Arial"/>
                <w:color w:val="000000"/>
                <w:sz w:val="18"/>
                <w:szCs w:val="18"/>
                <w:lang w:val="en-GB" w:eastAsia="en-GB"/>
              </w:rPr>
              <w:t xml:space="preserve"> among six adsorbents (~800 and ~82 m²/g)</w:t>
            </w:r>
          </w:p>
        </w:tc>
        <w:tc>
          <w:tcPr>
            <w:tcW w:w="1073" w:type="dxa"/>
            <w:tcBorders>
              <w:top w:val="nil"/>
              <w:left w:val="nil"/>
              <w:bottom w:val="nil"/>
              <w:right w:val="nil"/>
            </w:tcBorders>
            <w:vAlign w:val="center"/>
            <w:hideMark/>
          </w:tcPr>
          <w:p w14:paraId="49479AD0"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 w/w</w:t>
            </w:r>
          </w:p>
        </w:tc>
        <w:tc>
          <w:tcPr>
            <w:tcW w:w="2188" w:type="dxa"/>
            <w:tcBorders>
              <w:top w:val="nil"/>
              <w:left w:val="nil"/>
              <w:bottom w:val="nil"/>
              <w:right w:val="nil"/>
            </w:tcBorders>
            <w:vAlign w:val="center"/>
            <w:hideMark/>
          </w:tcPr>
          <w:p w14:paraId="5B0B0B42"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Water-leachable PFAS and alfalfa uptake</w:t>
            </w:r>
          </w:p>
        </w:tc>
      </w:tr>
      <w:tr w:rsidR="004A2332" w:rsidRPr="00FF1E05" w14:paraId="76BFA52A" w14:textId="77777777" w:rsidTr="004A2332">
        <w:trPr>
          <w:trHeight w:val="515"/>
        </w:trPr>
        <w:tc>
          <w:tcPr>
            <w:tcW w:w="1119" w:type="dxa"/>
            <w:tcBorders>
              <w:top w:val="nil"/>
              <w:left w:val="nil"/>
              <w:bottom w:val="nil"/>
              <w:right w:val="nil"/>
            </w:tcBorders>
            <w:vAlign w:val="center"/>
            <w:hideMark/>
          </w:tcPr>
          <w:p w14:paraId="56908E58"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Fu et al. (2025)</w:t>
            </w:r>
          </w:p>
        </w:tc>
        <w:tc>
          <w:tcPr>
            <w:tcW w:w="2132" w:type="dxa"/>
            <w:tcBorders>
              <w:top w:val="nil"/>
              <w:left w:val="nil"/>
              <w:bottom w:val="nil"/>
              <w:right w:val="nil"/>
            </w:tcBorders>
            <w:vAlign w:val="center"/>
            <w:hideMark/>
          </w:tcPr>
          <w:p w14:paraId="02B1AB93"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Replicated 360-d soil–lettuce rainfall-leaching columns; two growing seasons</w:t>
            </w:r>
          </w:p>
        </w:tc>
        <w:tc>
          <w:tcPr>
            <w:tcW w:w="2289" w:type="dxa"/>
            <w:tcBorders>
              <w:top w:val="nil"/>
              <w:left w:val="nil"/>
              <w:bottom w:val="nil"/>
              <w:right w:val="nil"/>
            </w:tcBorders>
            <w:vAlign w:val="center"/>
            <w:hideMark/>
          </w:tcPr>
          <w:p w14:paraId="750FE590"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Two agricultural soils; PFOA spiked then aged 120 d before biochar addition</w:t>
            </w:r>
          </w:p>
        </w:tc>
        <w:tc>
          <w:tcPr>
            <w:tcW w:w="2100" w:type="dxa"/>
            <w:tcBorders>
              <w:top w:val="nil"/>
              <w:left w:val="nil"/>
              <w:bottom w:val="nil"/>
              <w:right w:val="nil"/>
            </w:tcBorders>
            <w:vAlign w:val="center"/>
            <w:hideMark/>
          </w:tcPr>
          <w:p w14:paraId="7DE6CA3C"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PFOA</w:t>
            </w:r>
          </w:p>
        </w:tc>
        <w:tc>
          <w:tcPr>
            <w:tcW w:w="2133" w:type="dxa"/>
            <w:tcBorders>
              <w:top w:val="nil"/>
              <w:left w:val="nil"/>
              <w:bottom w:val="nil"/>
              <w:right w:val="nil"/>
            </w:tcBorders>
            <w:vAlign w:val="center"/>
            <w:hideMark/>
          </w:tcPr>
          <w:p w14:paraId="19E9598F"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Rice-husk biochar selected after four-feedstock screening</w:t>
            </w:r>
          </w:p>
        </w:tc>
        <w:tc>
          <w:tcPr>
            <w:tcW w:w="1073" w:type="dxa"/>
            <w:tcBorders>
              <w:top w:val="nil"/>
              <w:left w:val="nil"/>
              <w:bottom w:val="nil"/>
              <w:right w:val="nil"/>
            </w:tcBorders>
            <w:vAlign w:val="center"/>
            <w:hideMark/>
          </w:tcPr>
          <w:p w14:paraId="281D7CDF"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 and 4% w/w</w:t>
            </w:r>
          </w:p>
        </w:tc>
        <w:tc>
          <w:tcPr>
            <w:tcW w:w="2188" w:type="dxa"/>
            <w:tcBorders>
              <w:top w:val="nil"/>
              <w:left w:val="nil"/>
              <w:bottom w:val="nil"/>
              <w:right w:val="nil"/>
            </w:tcBorders>
            <w:vAlign w:val="center"/>
            <w:hideMark/>
          </w:tcPr>
          <w:p w14:paraId="0E4C3A27"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Cumulative 360-d PFOA leaching loss</w:t>
            </w:r>
          </w:p>
        </w:tc>
      </w:tr>
      <w:tr w:rsidR="004A2332" w:rsidRPr="00FF1E05" w14:paraId="69D9D5A6" w14:textId="77777777" w:rsidTr="004A2332">
        <w:trPr>
          <w:trHeight w:val="858"/>
        </w:trPr>
        <w:tc>
          <w:tcPr>
            <w:tcW w:w="1119" w:type="dxa"/>
            <w:tcBorders>
              <w:top w:val="nil"/>
              <w:left w:val="nil"/>
              <w:bottom w:val="nil"/>
              <w:right w:val="nil"/>
            </w:tcBorders>
            <w:vAlign w:val="center"/>
            <w:hideMark/>
          </w:tcPr>
          <w:p w14:paraId="3130326C"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Hubert et al. (2025)</w:t>
            </w:r>
          </w:p>
        </w:tc>
        <w:tc>
          <w:tcPr>
            <w:tcW w:w="2132" w:type="dxa"/>
            <w:tcBorders>
              <w:top w:val="nil"/>
              <w:left w:val="nil"/>
              <w:bottom w:val="nil"/>
              <w:right w:val="nil"/>
            </w:tcBorders>
            <w:vAlign w:val="center"/>
            <w:hideMark/>
          </w:tcPr>
          <w:p w14:paraId="210B1DF2"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Nine outdoor field-scale unsaturated lysimeters; seasonal weather; 347-d observed experiment + separate 1D modelling</w:t>
            </w:r>
          </w:p>
        </w:tc>
        <w:tc>
          <w:tcPr>
            <w:tcW w:w="2289" w:type="dxa"/>
            <w:tcBorders>
              <w:top w:val="nil"/>
              <w:left w:val="nil"/>
              <w:bottom w:val="nil"/>
              <w:right w:val="nil"/>
            </w:tcBorders>
            <w:vAlign w:val="center"/>
            <w:hideMark/>
          </w:tcPr>
          <w:p w14:paraId="4288960B"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Loamy sand B-horizon soil spiked with AFFF + 18 target PFAS</w:t>
            </w:r>
          </w:p>
        </w:tc>
        <w:tc>
          <w:tcPr>
            <w:tcW w:w="2100" w:type="dxa"/>
            <w:tcBorders>
              <w:top w:val="nil"/>
              <w:left w:val="nil"/>
              <w:bottom w:val="nil"/>
              <w:right w:val="nil"/>
            </w:tcBorders>
            <w:vAlign w:val="center"/>
            <w:hideMark/>
          </w:tcPr>
          <w:p w14:paraId="0CF108A1"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18 PFAS: 11 PFCAs, PFBS/</w:t>
            </w:r>
            <w:proofErr w:type="spellStart"/>
            <w:r w:rsidRPr="00FF1E05">
              <w:rPr>
                <w:rFonts w:eastAsia="Times New Roman" w:cs="Arial"/>
                <w:color w:val="000000"/>
                <w:sz w:val="18"/>
                <w:szCs w:val="18"/>
                <w:lang w:val="en-GB" w:eastAsia="en-GB"/>
              </w:rPr>
              <w:t>PFHxS</w:t>
            </w:r>
            <w:proofErr w:type="spellEnd"/>
            <w:r w:rsidRPr="00FF1E05">
              <w:rPr>
                <w:rFonts w:eastAsia="Times New Roman" w:cs="Arial"/>
                <w:color w:val="000000"/>
                <w:sz w:val="18"/>
                <w:szCs w:val="18"/>
                <w:lang w:val="en-GB" w:eastAsia="en-GB"/>
              </w:rPr>
              <w:t>/PFOS, 4:2/6:2/8:2 FTS, FOSA</w:t>
            </w:r>
          </w:p>
        </w:tc>
        <w:tc>
          <w:tcPr>
            <w:tcW w:w="2133" w:type="dxa"/>
            <w:tcBorders>
              <w:top w:val="nil"/>
              <w:left w:val="nil"/>
              <w:bottom w:val="nil"/>
              <w:right w:val="nil"/>
            </w:tcBorders>
            <w:vAlign w:val="center"/>
            <w:hideMark/>
          </w:tcPr>
          <w:p w14:paraId="15E4B9CB"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Waste-timber and sewage-sludge </w:t>
            </w:r>
            <w:proofErr w:type="spellStart"/>
            <w:r w:rsidRPr="00FF1E05">
              <w:rPr>
                <w:rFonts w:eastAsia="Times New Roman" w:cs="Arial"/>
                <w:color w:val="000000"/>
                <w:sz w:val="18"/>
                <w:szCs w:val="18"/>
                <w:lang w:val="en-GB" w:eastAsia="en-GB"/>
              </w:rPr>
              <w:t>biochars</w:t>
            </w:r>
            <w:proofErr w:type="spellEnd"/>
            <w:r w:rsidRPr="00FF1E05">
              <w:rPr>
                <w:rFonts w:eastAsia="Times New Roman" w:cs="Arial"/>
                <w:color w:val="000000"/>
                <w:sz w:val="18"/>
                <w:szCs w:val="18"/>
                <w:lang w:val="en-GB" w:eastAsia="en-GB"/>
              </w:rPr>
              <w:t>; both non-activated, 800°C</w:t>
            </w:r>
          </w:p>
        </w:tc>
        <w:tc>
          <w:tcPr>
            <w:tcW w:w="1073" w:type="dxa"/>
            <w:tcBorders>
              <w:top w:val="nil"/>
              <w:left w:val="nil"/>
              <w:bottom w:val="nil"/>
              <w:right w:val="nil"/>
            </w:tcBorders>
            <w:vAlign w:val="center"/>
            <w:hideMark/>
          </w:tcPr>
          <w:p w14:paraId="02B86828"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 and 4% w/w</w:t>
            </w:r>
          </w:p>
        </w:tc>
        <w:tc>
          <w:tcPr>
            <w:tcW w:w="2188" w:type="dxa"/>
            <w:tcBorders>
              <w:top w:val="nil"/>
              <w:left w:val="nil"/>
              <w:bottom w:val="nil"/>
              <w:right w:val="nil"/>
            </w:tcBorders>
            <w:vAlign w:val="center"/>
            <w:hideMark/>
          </w:tcPr>
          <w:p w14:paraId="77807DFA" w14:textId="56F9ACCD"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Observed </w:t>
            </w:r>
            <w:r w:rsidR="008601C8" w:rsidRPr="00FF1E05">
              <w:rPr>
                <w:rFonts w:eastAsia="Times New Roman" w:cs="Arial"/>
                <w:color w:val="000000"/>
                <w:sz w:val="18"/>
                <w:szCs w:val="18"/>
                <w:lang w:val="en-GB" w:eastAsia="en-GB"/>
              </w:rPr>
              <w:t>normalised</w:t>
            </w:r>
            <w:r w:rsidRPr="00FF1E05">
              <w:rPr>
                <w:rFonts w:eastAsia="Times New Roman" w:cs="Arial"/>
                <w:color w:val="000000"/>
                <w:sz w:val="18"/>
                <w:szCs w:val="18"/>
                <w:lang w:val="en-GB" w:eastAsia="en-GB"/>
              </w:rPr>
              <w:t xml:space="preserve"> accumulated PFAS mass leached</w:t>
            </w:r>
          </w:p>
        </w:tc>
      </w:tr>
      <w:tr w:rsidR="004A2332" w:rsidRPr="00FF1E05" w14:paraId="2166B71D" w14:textId="77777777" w:rsidTr="004A2332">
        <w:trPr>
          <w:trHeight w:val="686"/>
        </w:trPr>
        <w:tc>
          <w:tcPr>
            <w:tcW w:w="1119" w:type="dxa"/>
            <w:tcBorders>
              <w:top w:val="nil"/>
              <w:left w:val="nil"/>
              <w:bottom w:val="nil"/>
              <w:right w:val="nil"/>
            </w:tcBorders>
            <w:vAlign w:val="center"/>
            <w:hideMark/>
          </w:tcPr>
          <w:p w14:paraId="64E640AE"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Kabiri et al. (2026)</w:t>
            </w:r>
          </w:p>
        </w:tc>
        <w:tc>
          <w:tcPr>
            <w:tcW w:w="2132" w:type="dxa"/>
            <w:tcBorders>
              <w:top w:val="nil"/>
              <w:left w:val="nil"/>
              <w:bottom w:val="nil"/>
              <w:right w:val="nil"/>
            </w:tcBorders>
            <w:vAlign w:val="center"/>
            <w:hideMark/>
          </w:tcPr>
          <w:p w14:paraId="704C4B52" w14:textId="6C1C525A"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Accelerated </w:t>
            </w:r>
            <w:r w:rsidR="008601C8" w:rsidRPr="00FF1E05">
              <w:rPr>
                <w:rFonts w:eastAsia="Times New Roman" w:cs="Arial"/>
                <w:color w:val="000000"/>
                <w:sz w:val="18"/>
                <w:szCs w:val="18"/>
                <w:lang w:val="en-GB" w:eastAsia="en-GB"/>
              </w:rPr>
              <w:t>ageing</w:t>
            </w:r>
            <w:r w:rsidRPr="00FF1E05">
              <w:rPr>
                <w:rFonts w:eastAsia="Times New Roman" w:cs="Arial"/>
                <w:color w:val="000000"/>
                <w:sz w:val="18"/>
                <w:szCs w:val="18"/>
                <w:lang w:val="en-GB" w:eastAsia="en-GB"/>
              </w:rPr>
              <w:t xml:space="preserve"> of sorbents alone and sorbent-treated soils followed by ASLP leaching</w:t>
            </w:r>
          </w:p>
        </w:tc>
        <w:tc>
          <w:tcPr>
            <w:tcW w:w="2289" w:type="dxa"/>
            <w:tcBorders>
              <w:top w:val="nil"/>
              <w:left w:val="nil"/>
              <w:bottom w:val="nil"/>
              <w:right w:val="nil"/>
            </w:tcBorders>
            <w:vAlign w:val="center"/>
            <w:hideMark/>
          </w:tcPr>
          <w:p w14:paraId="39F26926"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Two native PFAS-contaminated soils, each studied undiluted (~20 mg/kg) and 10× diluted (~2–4 mg/kg)</w:t>
            </w:r>
          </w:p>
        </w:tc>
        <w:tc>
          <w:tcPr>
            <w:tcW w:w="2100" w:type="dxa"/>
            <w:tcBorders>
              <w:top w:val="nil"/>
              <w:left w:val="nil"/>
              <w:bottom w:val="nil"/>
              <w:right w:val="nil"/>
            </w:tcBorders>
            <w:vAlign w:val="center"/>
            <w:hideMark/>
          </w:tcPr>
          <w:p w14:paraId="23B8A110" w14:textId="5656ACD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28 target PFAS; 16 detected PFAS </w:t>
            </w:r>
            <w:r w:rsidR="008601C8" w:rsidRPr="00FF1E05">
              <w:rPr>
                <w:rFonts w:eastAsia="Times New Roman" w:cs="Arial"/>
                <w:color w:val="000000"/>
                <w:sz w:val="18"/>
                <w:szCs w:val="18"/>
                <w:lang w:val="en-GB" w:eastAsia="en-GB"/>
              </w:rPr>
              <w:t>emphasised</w:t>
            </w:r>
            <w:r w:rsidRPr="00FF1E05">
              <w:rPr>
                <w:rFonts w:eastAsia="Times New Roman" w:cs="Arial"/>
                <w:color w:val="000000"/>
                <w:sz w:val="18"/>
                <w:szCs w:val="18"/>
                <w:lang w:val="en-GB" w:eastAsia="en-GB"/>
              </w:rPr>
              <w:t xml:space="preserve"> in immobilisation outputs</w:t>
            </w:r>
          </w:p>
        </w:tc>
        <w:tc>
          <w:tcPr>
            <w:tcW w:w="2133" w:type="dxa"/>
            <w:tcBorders>
              <w:top w:val="nil"/>
              <w:left w:val="nil"/>
              <w:bottom w:val="nil"/>
              <w:right w:val="nil"/>
            </w:tcBorders>
            <w:vAlign w:val="center"/>
            <w:hideMark/>
          </w:tcPr>
          <w:p w14:paraId="7D079682"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Almond-derived biochar (sorbent F) among six sorbents</w:t>
            </w:r>
          </w:p>
        </w:tc>
        <w:tc>
          <w:tcPr>
            <w:tcW w:w="1073" w:type="dxa"/>
            <w:tcBorders>
              <w:top w:val="nil"/>
              <w:left w:val="nil"/>
              <w:bottom w:val="nil"/>
              <w:right w:val="nil"/>
            </w:tcBorders>
            <w:vAlign w:val="center"/>
            <w:hideMark/>
          </w:tcPr>
          <w:p w14:paraId="2726062B"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 w/w</w:t>
            </w:r>
          </w:p>
        </w:tc>
        <w:tc>
          <w:tcPr>
            <w:tcW w:w="2188" w:type="dxa"/>
            <w:tcBorders>
              <w:top w:val="nil"/>
              <w:left w:val="nil"/>
              <w:bottom w:val="nil"/>
              <w:right w:val="nil"/>
            </w:tcBorders>
            <w:vAlign w:val="center"/>
            <w:hideMark/>
          </w:tcPr>
          <w:p w14:paraId="78C76CB8" w14:textId="49D1040A"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PFAS leaching </w:t>
            </w:r>
            <w:r w:rsidR="008601C8" w:rsidRPr="00FF1E05">
              <w:rPr>
                <w:rFonts w:eastAsia="Times New Roman" w:cs="Arial"/>
                <w:color w:val="000000"/>
                <w:sz w:val="18"/>
                <w:szCs w:val="18"/>
                <w:lang w:val="en-GB" w:eastAsia="en-GB"/>
              </w:rPr>
              <w:t>reduction/immobilisation</w:t>
            </w:r>
            <w:r w:rsidRPr="00FF1E05">
              <w:rPr>
                <w:rFonts w:eastAsia="Times New Roman" w:cs="Arial"/>
                <w:color w:val="000000"/>
                <w:sz w:val="18"/>
                <w:szCs w:val="18"/>
                <w:lang w:val="en-GB" w:eastAsia="en-GB"/>
              </w:rPr>
              <w:t xml:space="preserve"> efficiency</w:t>
            </w:r>
          </w:p>
        </w:tc>
      </w:tr>
      <w:tr w:rsidR="004A2332" w:rsidRPr="00FF1E05" w14:paraId="160653D4" w14:textId="77777777" w:rsidTr="004A2332">
        <w:trPr>
          <w:trHeight w:val="686"/>
        </w:trPr>
        <w:tc>
          <w:tcPr>
            <w:tcW w:w="1119" w:type="dxa"/>
            <w:tcBorders>
              <w:top w:val="nil"/>
              <w:left w:val="nil"/>
              <w:bottom w:val="nil"/>
              <w:right w:val="nil"/>
            </w:tcBorders>
            <w:vAlign w:val="center"/>
            <w:hideMark/>
          </w:tcPr>
          <w:p w14:paraId="7C8B886E"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Zhang et al. (2026)</w:t>
            </w:r>
          </w:p>
        </w:tc>
        <w:tc>
          <w:tcPr>
            <w:tcW w:w="2132" w:type="dxa"/>
            <w:tcBorders>
              <w:top w:val="nil"/>
              <w:left w:val="nil"/>
              <w:bottom w:val="nil"/>
              <w:right w:val="nil"/>
            </w:tcBorders>
            <w:vAlign w:val="center"/>
            <w:hideMark/>
          </w:tcPr>
          <w:p w14:paraId="0FFDED4F"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Paddy soil–water–rice field enclosures; repeated irrigation; DGT/HR-Peeper + batch adsorption</w:t>
            </w:r>
          </w:p>
        </w:tc>
        <w:tc>
          <w:tcPr>
            <w:tcW w:w="2289" w:type="dxa"/>
            <w:tcBorders>
              <w:top w:val="nil"/>
              <w:left w:val="nil"/>
              <w:bottom w:val="nil"/>
              <w:right w:val="nil"/>
            </w:tcBorders>
            <w:vAlign w:val="center"/>
            <w:hideMark/>
          </w:tcPr>
          <w:p w14:paraId="1B85A13B"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Paddy field soil; PFAS introduced through irrigation water</w:t>
            </w:r>
          </w:p>
        </w:tc>
        <w:tc>
          <w:tcPr>
            <w:tcW w:w="2100" w:type="dxa"/>
            <w:tcBorders>
              <w:top w:val="nil"/>
              <w:left w:val="nil"/>
              <w:bottom w:val="nil"/>
              <w:right w:val="nil"/>
            </w:tcBorders>
            <w:vAlign w:val="center"/>
            <w:hideMark/>
          </w:tcPr>
          <w:p w14:paraId="70870A61"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PFBA; PFOA</w:t>
            </w:r>
          </w:p>
        </w:tc>
        <w:tc>
          <w:tcPr>
            <w:tcW w:w="2133" w:type="dxa"/>
            <w:tcBorders>
              <w:top w:val="nil"/>
              <w:left w:val="nil"/>
              <w:bottom w:val="nil"/>
              <w:right w:val="nil"/>
            </w:tcBorders>
            <w:vAlign w:val="center"/>
            <w:hideMark/>
          </w:tcPr>
          <w:p w14:paraId="07A6230D"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Rice-husk biochar (RBC); montmorillonite-modified biochar (MBC)</w:t>
            </w:r>
          </w:p>
        </w:tc>
        <w:tc>
          <w:tcPr>
            <w:tcW w:w="1073" w:type="dxa"/>
            <w:tcBorders>
              <w:top w:val="nil"/>
              <w:left w:val="nil"/>
              <w:bottom w:val="nil"/>
              <w:right w:val="nil"/>
            </w:tcBorders>
            <w:vAlign w:val="center"/>
            <w:hideMark/>
          </w:tcPr>
          <w:p w14:paraId="0B9B6E49"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3% w/w</w:t>
            </w:r>
          </w:p>
        </w:tc>
        <w:tc>
          <w:tcPr>
            <w:tcW w:w="2188" w:type="dxa"/>
            <w:tcBorders>
              <w:top w:val="nil"/>
              <w:left w:val="nil"/>
              <w:bottom w:val="nil"/>
              <w:right w:val="nil"/>
            </w:tcBorders>
            <w:vAlign w:val="center"/>
            <w:hideMark/>
          </w:tcPr>
          <w:p w14:paraId="64E2A1B6"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DGT/depth-resolved PFAS mobility and SWI diffusion flux</w:t>
            </w:r>
          </w:p>
        </w:tc>
      </w:tr>
      <w:tr w:rsidR="004A2332" w:rsidRPr="00FF1E05" w14:paraId="0EE2CCCB" w14:textId="77777777" w:rsidTr="004A2332">
        <w:trPr>
          <w:trHeight w:val="515"/>
        </w:trPr>
        <w:tc>
          <w:tcPr>
            <w:tcW w:w="1119" w:type="dxa"/>
            <w:tcBorders>
              <w:top w:val="nil"/>
              <w:left w:val="nil"/>
              <w:bottom w:val="nil"/>
              <w:right w:val="nil"/>
            </w:tcBorders>
            <w:vAlign w:val="center"/>
            <w:hideMark/>
          </w:tcPr>
          <w:p w14:paraId="0BCABA78"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Hu et al. (2026)</w:t>
            </w:r>
          </w:p>
        </w:tc>
        <w:tc>
          <w:tcPr>
            <w:tcW w:w="2132" w:type="dxa"/>
            <w:tcBorders>
              <w:top w:val="nil"/>
              <w:left w:val="nil"/>
              <w:bottom w:val="nil"/>
              <w:right w:val="nil"/>
            </w:tcBorders>
            <w:vAlign w:val="center"/>
            <w:hideMark/>
          </w:tcPr>
          <w:p w14:paraId="7B6047E2"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Batch adsorption/desorption + oxidative aging + 12-d soil-column leaching</w:t>
            </w:r>
          </w:p>
        </w:tc>
        <w:tc>
          <w:tcPr>
            <w:tcW w:w="2289" w:type="dxa"/>
            <w:tcBorders>
              <w:top w:val="nil"/>
              <w:left w:val="nil"/>
              <w:bottom w:val="nil"/>
              <w:right w:val="nil"/>
            </w:tcBorders>
            <w:vAlign w:val="center"/>
            <w:hideMark/>
          </w:tcPr>
          <w:p w14:paraId="37B2B571"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Silty clay loam and sandy loam</w:t>
            </w:r>
          </w:p>
        </w:tc>
        <w:tc>
          <w:tcPr>
            <w:tcW w:w="2100" w:type="dxa"/>
            <w:tcBorders>
              <w:top w:val="nil"/>
              <w:left w:val="nil"/>
              <w:bottom w:val="nil"/>
              <w:right w:val="nil"/>
            </w:tcBorders>
            <w:vAlign w:val="center"/>
            <w:hideMark/>
          </w:tcPr>
          <w:p w14:paraId="5DE79221"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PFOA</w:t>
            </w:r>
          </w:p>
        </w:tc>
        <w:tc>
          <w:tcPr>
            <w:tcW w:w="2133" w:type="dxa"/>
            <w:tcBorders>
              <w:top w:val="nil"/>
              <w:left w:val="nil"/>
              <w:bottom w:val="nil"/>
              <w:right w:val="nil"/>
            </w:tcBorders>
            <w:vAlign w:val="center"/>
            <w:hideMark/>
          </w:tcPr>
          <w:p w14:paraId="17DDF347"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Pristine corn-stalk biochar; KHCO3-modified biochar (KBC); oxidatively aged KBC (OKBC)</w:t>
            </w:r>
          </w:p>
        </w:tc>
        <w:tc>
          <w:tcPr>
            <w:tcW w:w="1073" w:type="dxa"/>
            <w:tcBorders>
              <w:top w:val="nil"/>
              <w:left w:val="nil"/>
              <w:bottom w:val="nil"/>
              <w:right w:val="nil"/>
            </w:tcBorders>
            <w:vAlign w:val="center"/>
            <w:hideMark/>
          </w:tcPr>
          <w:p w14:paraId="38CAA4DD"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0.5% w/w</w:t>
            </w:r>
          </w:p>
        </w:tc>
        <w:tc>
          <w:tcPr>
            <w:tcW w:w="2188" w:type="dxa"/>
            <w:tcBorders>
              <w:top w:val="nil"/>
              <w:left w:val="nil"/>
              <w:bottom w:val="nil"/>
              <w:right w:val="nil"/>
            </w:tcBorders>
            <w:vAlign w:val="center"/>
            <w:hideMark/>
          </w:tcPr>
          <w:p w14:paraId="5123835B"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PFOA adsorption/immobilization and leaching stability</w:t>
            </w:r>
          </w:p>
        </w:tc>
      </w:tr>
      <w:tr w:rsidR="004A2332" w:rsidRPr="00FF1E05" w14:paraId="613F09DB" w14:textId="77777777" w:rsidTr="004A2332">
        <w:trPr>
          <w:trHeight w:val="515"/>
        </w:trPr>
        <w:tc>
          <w:tcPr>
            <w:tcW w:w="1119" w:type="dxa"/>
            <w:tcBorders>
              <w:top w:val="nil"/>
              <w:left w:val="nil"/>
              <w:bottom w:val="nil"/>
              <w:right w:val="nil"/>
            </w:tcBorders>
            <w:vAlign w:val="center"/>
            <w:hideMark/>
          </w:tcPr>
          <w:p w14:paraId="2DD75081" w14:textId="77777777" w:rsidR="004A2332" w:rsidRPr="00FF1E05" w:rsidRDefault="004A2332" w:rsidP="00D70034">
            <w:pPr>
              <w:spacing w:after="0" w:line="240" w:lineRule="auto"/>
              <w:rPr>
                <w:rFonts w:eastAsia="Times New Roman" w:cs="Arial"/>
                <w:color w:val="000000"/>
                <w:sz w:val="18"/>
                <w:szCs w:val="18"/>
                <w:lang w:val="en-GB" w:eastAsia="en-GB"/>
              </w:rPr>
            </w:pPr>
            <w:proofErr w:type="spellStart"/>
            <w:r w:rsidRPr="00FF1E05">
              <w:rPr>
                <w:rFonts w:eastAsia="Times New Roman" w:cs="Arial"/>
                <w:color w:val="000000"/>
                <w:sz w:val="18"/>
                <w:szCs w:val="18"/>
                <w:lang w:val="en-GB" w:eastAsia="en-GB"/>
              </w:rPr>
              <w:t>Skjennum</w:t>
            </w:r>
            <w:proofErr w:type="spellEnd"/>
            <w:r w:rsidRPr="00FF1E05">
              <w:rPr>
                <w:rFonts w:eastAsia="Times New Roman" w:cs="Arial"/>
                <w:color w:val="000000"/>
                <w:sz w:val="18"/>
                <w:szCs w:val="18"/>
                <w:lang w:val="en-GB" w:eastAsia="en-GB"/>
              </w:rPr>
              <w:t xml:space="preserve"> et al. (2026)</w:t>
            </w:r>
          </w:p>
        </w:tc>
        <w:tc>
          <w:tcPr>
            <w:tcW w:w="2132" w:type="dxa"/>
            <w:tcBorders>
              <w:top w:val="nil"/>
              <w:left w:val="nil"/>
              <w:bottom w:val="nil"/>
              <w:right w:val="nil"/>
            </w:tcBorders>
            <w:vAlign w:val="center"/>
            <w:hideMark/>
          </w:tcPr>
          <w:p w14:paraId="383826A7"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Fifteen outdoor 48-kg unsaturated columns; 2-y field exposure</w:t>
            </w:r>
          </w:p>
        </w:tc>
        <w:tc>
          <w:tcPr>
            <w:tcW w:w="2289" w:type="dxa"/>
            <w:tcBorders>
              <w:top w:val="nil"/>
              <w:left w:val="nil"/>
              <w:bottom w:val="nil"/>
              <w:right w:val="nil"/>
            </w:tcBorders>
            <w:vAlign w:val="center"/>
            <w:hideMark/>
          </w:tcPr>
          <w:p w14:paraId="5D2F9A93"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Historically AFFF-contaminated silty-sand soil; Σ27PFAS 1624±276 µg/kg</w:t>
            </w:r>
          </w:p>
        </w:tc>
        <w:tc>
          <w:tcPr>
            <w:tcW w:w="2100" w:type="dxa"/>
            <w:tcBorders>
              <w:top w:val="nil"/>
              <w:left w:val="nil"/>
              <w:bottom w:val="nil"/>
              <w:right w:val="nil"/>
            </w:tcBorders>
            <w:vAlign w:val="center"/>
            <w:hideMark/>
          </w:tcPr>
          <w:p w14:paraId="0649E54E"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Target PFAS + precursors</w:t>
            </w:r>
          </w:p>
        </w:tc>
        <w:tc>
          <w:tcPr>
            <w:tcW w:w="2133" w:type="dxa"/>
            <w:tcBorders>
              <w:top w:val="nil"/>
              <w:left w:val="nil"/>
              <w:bottom w:val="nil"/>
              <w:right w:val="nil"/>
            </w:tcBorders>
            <w:vAlign w:val="center"/>
            <w:hideMark/>
          </w:tcPr>
          <w:p w14:paraId="5BEE8407"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Three sewage-sludge </w:t>
            </w:r>
            <w:proofErr w:type="spellStart"/>
            <w:r w:rsidRPr="00FF1E05">
              <w:rPr>
                <w:rFonts w:eastAsia="Times New Roman" w:cs="Arial"/>
                <w:color w:val="000000"/>
                <w:sz w:val="18"/>
                <w:szCs w:val="18"/>
                <w:lang w:val="en-GB" w:eastAsia="en-GB"/>
              </w:rPr>
              <w:t>biochars</w:t>
            </w:r>
            <w:proofErr w:type="spellEnd"/>
            <w:r w:rsidRPr="00FF1E05">
              <w:rPr>
                <w:rFonts w:eastAsia="Times New Roman" w:cs="Arial"/>
                <w:color w:val="000000"/>
                <w:sz w:val="18"/>
                <w:szCs w:val="18"/>
                <w:lang w:val="en-GB" w:eastAsia="en-GB"/>
              </w:rPr>
              <w:t xml:space="preserve"> (RSS-1, DSS-1, RSS-2); RSS-2 also tested as basal barrier</w:t>
            </w:r>
          </w:p>
        </w:tc>
        <w:tc>
          <w:tcPr>
            <w:tcW w:w="1073" w:type="dxa"/>
            <w:tcBorders>
              <w:top w:val="nil"/>
              <w:left w:val="nil"/>
              <w:bottom w:val="nil"/>
              <w:right w:val="nil"/>
            </w:tcBorders>
            <w:vAlign w:val="center"/>
            <w:hideMark/>
          </w:tcPr>
          <w:p w14:paraId="684BDE34"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 w/w</w:t>
            </w:r>
          </w:p>
        </w:tc>
        <w:tc>
          <w:tcPr>
            <w:tcW w:w="2188" w:type="dxa"/>
            <w:tcBorders>
              <w:top w:val="nil"/>
              <w:left w:val="nil"/>
              <w:bottom w:val="nil"/>
              <w:right w:val="nil"/>
            </w:tcBorders>
            <w:vAlign w:val="center"/>
            <w:hideMark/>
          </w:tcPr>
          <w:p w14:paraId="41984CAE"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Temporal leachate PFAS concentration at true-replicate dates</w:t>
            </w:r>
          </w:p>
        </w:tc>
      </w:tr>
      <w:tr w:rsidR="004A2332" w:rsidRPr="00FF1E05" w14:paraId="29E493A1" w14:textId="77777777" w:rsidTr="004A2332">
        <w:trPr>
          <w:trHeight w:val="686"/>
        </w:trPr>
        <w:tc>
          <w:tcPr>
            <w:tcW w:w="1119" w:type="dxa"/>
            <w:tcBorders>
              <w:top w:val="nil"/>
              <w:left w:val="nil"/>
              <w:right w:val="nil"/>
            </w:tcBorders>
            <w:vAlign w:val="center"/>
            <w:hideMark/>
          </w:tcPr>
          <w:p w14:paraId="4A69EE86"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Zhang &amp; Liang (2022b)</w:t>
            </w:r>
          </w:p>
        </w:tc>
        <w:tc>
          <w:tcPr>
            <w:tcW w:w="2132" w:type="dxa"/>
            <w:tcBorders>
              <w:top w:val="nil"/>
              <w:left w:val="nil"/>
              <w:right w:val="nil"/>
            </w:tcBorders>
            <w:vAlign w:val="center"/>
            <w:hideMark/>
          </w:tcPr>
          <w:p w14:paraId="5CF06DF5"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Replicated greenhouse pot/plant experiment in PFAS-spiked biosolids-amended sandy-loam soil</w:t>
            </w:r>
          </w:p>
        </w:tc>
        <w:tc>
          <w:tcPr>
            <w:tcW w:w="2289" w:type="dxa"/>
            <w:tcBorders>
              <w:top w:val="nil"/>
              <w:left w:val="nil"/>
              <w:right w:val="nil"/>
            </w:tcBorders>
            <w:vAlign w:val="center"/>
            <w:hideMark/>
          </w:tcPr>
          <w:p w14:paraId="0EB743B2"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Albany sandy loam + vermiculite; PFAS-spiked biosolids applied at 0.17 kg biosolids/kg dry soil</w:t>
            </w:r>
          </w:p>
        </w:tc>
        <w:tc>
          <w:tcPr>
            <w:tcW w:w="2100" w:type="dxa"/>
            <w:tcBorders>
              <w:top w:val="nil"/>
              <w:left w:val="nil"/>
              <w:right w:val="nil"/>
            </w:tcBorders>
            <w:vAlign w:val="center"/>
            <w:hideMark/>
          </w:tcPr>
          <w:p w14:paraId="27ACC886"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10 PFAS (</w:t>
            </w:r>
            <w:proofErr w:type="spellStart"/>
            <w:r w:rsidRPr="00FF1E05">
              <w:rPr>
                <w:rFonts w:eastAsia="Times New Roman" w:cs="Arial"/>
                <w:color w:val="000000"/>
                <w:sz w:val="18"/>
                <w:szCs w:val="18"/>
                <w:lang w:val="en-GB" w:eastAsia="en-GB"/>
              </w:rPr>
              <w:t>PFHxA</w:t>
            </w:r>
            <w:proofErr w:type="spellEnd"/>
            <w:r w:rsidRPr="00FF1E05">
              <w:rPr>
                <w:rFonts w:eastAsia="Times New Roman" w:cs="Arial"/>
                <w:color w:val="000000"/>
                <w:sz w:val="18"/>
                <w:szCs w:val="18"/>
                <w:lang w:val="en-GB" w:eastAsia="en-GB"/>
              </w:rPr>
              <w:t xml:space="preserve">, </w:t>
            </w:r>
            <w:proofErr w:type="spellStart"/>
            <w:r w:rsidRPr="00FF1E05">
              <w:rPr>
                <w:rFonts w:eastAsia="Times New Roman" w:cs="Arial"/>
                <w:color w:val="000000"/>
                <w:sz w:val="18"/>
                <w:szCs w:val="18"/>
                <w:lang w:val="en-GB" w:eastAsia="en-GB"/>
              </w:rPr>
              <w:t>PFHpA</w:t>
            </w:r>
            <w:proofErr w:type="spellEnd"/>
            <w:r w:rsidRPr="00FF1E05">
              <w:rPr>
                <w:rFonts w:eastAsia="Times New Roman" w:cs="Arial"/>
                <w:color w:val="000000"/>
                <w:sz w:val="18"/>
                <w:szCs w:val="18"/>
                <w:lang w:val="en-GB" w:eastAsia="en-GB"/>
              </w:rPr>
              <w:t xml:space="preserve">, PFOA, PFNA, PFDA, </w:t>
            </w:r>
            <w:proofErr w:type="spellStart"/>
            <w:r w:rsidRPr="00FF1E05">
              <w:rPr>
                <w:rFonts w:eastAsia="Times New Roman" w:cs="Arial"/>
                <w:color w:val="000000"/>
                <w:sz w:val="18"/>
                <w:szCs w:val="18"/>
                <w:lang w:val="en-GB" w:eastAsia="en-GB"/>
              </w:rPr>
              <w:t>PFUnDA</w:t>
            </w:r>
            <w:proofErr w:type="spellEnd"/>
            <w:r w:rsidRPr="00FF1E05">
              <w:rPr>
                <w:rFonts w:eastAsia="Times New Roman" w:cs="Arial"/>
                <w:color w:val="000000"/>
                <w:sz w:val="18"/>
                <w:szCs w:val="18"/>
                <w:lang w:val="en-GB" w:eastAsia="en-GB"/>
              </w:rPr>
              <w:t xml:space="preserve">, PFBS, </w:t>
            </w:r>
            <w:proofErr w:type="spellStart"/>
            <w:r w:rsidRPr="00FF1E05">
              <w:rPr>
                <w:rFonts w:eastAsia="Times New Roman" w:cs="Arial"/>
                <w:color w:val="000000"/>
                <w:sz w:val="18"/>
                <w:szCs w:val="18"/>
                <w:lang w:val="en-GB" w:eastAsia="en-GB"/>
              </w:rPr>
              <w:t>PFHxS</w:t>
            </w:r>
            <w:proofErr w:type="spellEnd"/>
            <w:r w:rsidRPr="00FF1E05">
              <w:rPr>
                <w:rFonts w:eastAsia="Times New Roman" w:cs="Arial"/>
                <w:color w:val="000000"/>
                <w:sz w:val="18"/>
                <w:szCs w:val="18"/>
                <w:lang w:val="en-GB" w:eastAsia="en-GB"/>
              </w:rPr>
              <w:t>, PFOS, GenX) + ΣPFAS</w:t>
            </w:r>
          </w:p>
        </w:tc>
        <w:tc>
          <w:tcPr>
            <w:tcW w:w="2133" w:type="dxa"/>
            <w:tcBorders>
              <w:top w:val="nil"/>
              <w:left w:val="nil"/>
              <w:right w:val="nil"/>
            </w:tcBorders>
            <w:vAlign w:val="center"/>
            <w:hideMark/>
          </w:tcPr>
          <w:p w14:paraId="2A9593BF"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Commercial forest-wood-waste biochar (Biochar Supreme; &gt;85% organic C; ~800 m²/g)</w:t>
            </w:r>
          </w:p>
        </w:tc>
        <w:tc>
          <w:tcPr>
            <w:tcW w:w="1073" w:type="dxa"/>
            <w:tcBorders>
              <w:top w:val="nil"/>
              <w:left w:val="nil"/>
              <w:right w:val="nil"/>
            </w:tcBorders>
            <w:vAlign w:val="center"/>
            <w:hideMark/>
          </w:tcPr>
          <w:p w14:paraId="4751E2C6"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0.2% and 2% w/w</w:t>
            </w:r>
          </w:p>
        </w:tc>
        <w:tc>
          <w:tcPr>
            <w:tcW w:w="2188" w:type="dxa"/>
            <w:tcBorders>
              <w:top w:val="nil"/>
              <w:left w:val="nil"/>
              <w:right w:val="nil"/>
            </w:tcBorders>
            <w:vAlign w:val="center"/>
            <w:hideMark/>
          </w:tcPr>
          <w:p w14:paraId="2B759E59"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Day-80 SPLP-leachable PFAS (% of spiked mass)</w:t>
            </w:r>
          </w:p>
        </w:tc>
      </w:tr>
      <w:tr w:rsidR="004A2332" w:rsidRPr="00FF1E05" w14:paraId="58E270CB" w14:textId="77777777" w:rsidTr="004A2332">
        <w:trPr>
          <w:trHeight w:val="858"/>
        </w:trPr>
        <w:tc>
          <w:tcPr>
            <w:tcW w:w="1119" w:type="dxa"/>
            <w:tcBorders>
              <w:top w:val="nil"/>
              <w:left w:val="nil"/>
              <w:bottom w:val="single" w:sz="4" w:space="0" w:color="auto"/>
              <w:right w:val="nil"/>
            </w:tcBorders>
            <w:vAlign w:val="center"/>
            <w:hideMark/>
          </w:tcPr>
          <w:p w14:paraId="41004E98"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lastRenderedPageBreak/>
              <w:t>Xin et al. (2025)</w:t>
            </w:r>
          </w:p>
        </w:tc>
        <w:tc>
          <w:tcPr>
            <w:tcW w:w="2132" w:type="dxa"/>
            <w:tcBorders>
              <w:top w:val="nil"/>
              <w:left w:val="nil"/>
              <w:bottom w:val="single" w:sz="4" w:space="0" w:color="auto"/>
              <w:right w:val="nil"/>
            </w:tcBorders>
            <w:vAlign w:val="center"/>
            <w:hideMark/>
          </w:tcPr>
          <w:p w14:paraId="43D40585"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Batch soil adsorption plus aged PFAS–metal-oxyanion co-contaminated soil remediation/washing experiments</w:t>
            </w:r>
          </w:p>
        </w:tc>
        <w:tc>
          <w:tcPr>
            <w:tcW w:w="2289" w:type="dxa"/>
            <w:tcBorders>
              <w:top w:val="nil"/>
              <w:left w:val="nil"/>
              <w:bottom w:val="single" w:sz="4" w:space="0" w:color="auto"/>
              <w:right w:val="nil"/>
            </w:tcBorders>
            <w:vAlign w:val="center"/>
            <w:hideMark/>
          </w:tcPr>
          <w:p w14:paraId="37E49329"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Yunnan, Guangdong and Ningxia soils; PFAS + heavy-metal oxyanion co-contamination</w:t>
            </w:r>
          </w:p>
        </w:tc>
        <w:tc>
          <w:tcPr>
            <w:tcW w:w="2100" w:type="dxa"/>
            <w:tcBorders>
              <w:top w:val="nil"/>
              <w:left w:val="nil"/>
              <w:bottom w:val="single" w:sz="4" w:space="0" w:color="auto"/>
              <w:right w:val="nil"/>
            </w:tcBorders>
            <w:vAlign w:val="center"/>
            <w:hideMark/>
          </w:tcPr>
          <w:p w14:paraId="56EE6F8C" w14:textId="4F932409"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14 PFAS in adsorption work; PFOA/PFNA/PFDA </w:t>
            </w:r>
            <w:r w:rsidR="008601C8" w:rsidRPr="00FF1E05">
              <w:rPr>
                <w:rFonts w:eastAsia="Times New Roman" w:cs="Arial"/>
                <w:color w:val="000000"/>
                <w:sz w:val="18"/>
                <w:szCs w:val="18"/>
                <w:lang w:val="en-GB" w:eastAsia="en-GB"/>
              </w:rPr>
              <w:t>emphasised</w:t>
            </w:r>
            <w:r w:rsidRPr="00FF1E05">
              <w:rPr>
                <w:rFonts w:eastAsia="Times New Roman" w:cs="Arial"/>
                <w:color w:val="000000"/>
                <w:sz w:val="18"/>
                <w:szCs w:val="18"/>
                <w:lang w:val="en-GB" w:eastAsia="en-GB"/>
              </w:rPr>
              <w:t xml:space="preserve"> in aged-soil remediation</w:t>
            </w:r>
          </w:p>
        </w:tc>
        <w:tc>
          <w:tcPr>
            <w:tcW w:w="2133" w:type="dxa"/>
            <w:tcBorders>
              <w:top w:val="nil"/>
              <w:left w:val="nil"/>
              <w:bottom w:val="single" w:sz="4" w:space="0" w:color="auto"/>
              <w:right w:val="nil"/>
            </w:tcBorders>
            <w:vAlign w:val="center"/>
            <w:hideMark/>
          </w:tcPr>
          <w:p w14:paraId="143A3E08"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Walnut-, coconut- and apricot-shell </w:t>
            </w:r>
            <w:proofErr w:type="spellStart"/>
            <w:r w:rsidRPr="00FF1E05">
              <w:rPr>
                <w:rFonts w:eastAsia="Times New Roman" w:cs="Arial"/>
                <w:color w:val="000000"/>
                <w:sz w:val="18"/>
                <w:szCs w:val="18"/>
                <w:lang w:val="en-GB" w:eastAsia="en-GB"/>
              </w:rPr>
              <w:t>biochars</w:t>
            </w:r>
            <w:proofErr w:type="spellEnd"/>
            <w:r w:rsidRPr="00FF1E05">
              <w:rPr>
                <w:rFonts w:eastAsia="Times New Roman" w:cs="Arial"/>
                <w:color w:val="000000"/>
                <w:sz w:val="18"/>
                <w:szCs w:val="18"/>
                <w:lang w:val="en-GB" w:eastAsia="en-GB"/>
              </w:rPr>
              <w:t xml:space="preserve"> (HTK/YK/XK)</w:t>
            </w:r>
          </w:p>
        </w:tc>
        <w:tc>
          <w:tcPr>
            <w:tcW w:w="1073" w:type="dxa"/>
            <w:tcBorders>
              <w:top w:val="nil"/>
              <w:left w:val="nil"/>
              <w:bottom w:val="single" w:sz="4" w:space="0" w:color="auto"/>
              <w:right w:val="nil"/>
            </w:tcBorders>
            <w:vAlign w:val="center"/>
            <w:hideMark/>
          </w:tcPr>
          <w:p w14:paraId="196A692A"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 and 5% w/w</w:t>
            </w:r>
          </w:p>
        </w:tc>
        <w:tc>
          <w:tcPr>
            <w:tcW w:w="2188" w:type="dxa"/>
            <w:tcBorders>
              <w:top w:val="nil"/>
              <w:left w:val="nil"/>
              <w:bottom w:val="single" w:sz="4" w:space="0" w:color="auto"/>
              <w:right w:val="nil"/>
            </w:tcBorders>
            <w:vAlign w:val="center"/>
            <w:hideMark/>
          </w:tcPr>
          <w:p w14:paraId="225122D6" w14:textId="77777777" w:rsidR="004A2332" w:rsidRPr="00FF1E05" w:rsidRDefault="004A2332" w:rsidP="00D70034">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No defensible single primary meta-analytic endpoint; retained for mechanistic synthesis.</w:t>
            </w:r>
          </w:p>
        </w:tc>
      </w:tr>
    </w:tbl>
    <w:p w14:paraId="10057CEF" w14:textId="77777777" w:rsidR="007E3CBC" w:rsidRPr="00FF1E05" w:rsidRDefault="007E3CBC" w:rsidP="0072319D">
      <w:pPr>
        <w:jc w:val="both"/>
        <w:rPr>
          <w:rFonts w:cs="Arial"/>
          <w:color w:val="000000" w:themeColor="text1"/>
          <w:sz w:val="22"/>
        </w:rPr>
        <w:sectPr w:rsidR="007E3CBC" w:rsidRPr="00FF1E05" w:rsidSect="0072319D">
          <w:pgSz w:w="16838" w:h="11906" w:orient="landscape"/>
          <w:pgMar w:top="907" w:right="1700" w:bottom="907" w:left="1560" w:header="720" w:footer="720" w:gutter="0"/>
          <w:cols w:space="720"/>
          <w:docGrid w:linePitch="360"/>
        </w:sectPr>
      </w:pPr>
    </w:p>
    <w:p w14:paraId="6A34CCFE" w14:textId="5D7CA6F6" w:rsidR="007F0C34" w:rsidRPr="00FF1E05" w:rsidRDefault="00ED14B9" w:rsidP="008671CE">
      <w:pPr>
        <w:keepNext/>
        <w:jc w:val="both"/>
        <w:rPr>
          <w:rFonts w:cs="Arial"/>
          <w:color w:val="000000" w:themeColor="text1"/>
          <w:sz w:val="18"/>
          <w:szCs w:val="18"/>
        </w:rPr>
      </w:pPr>
      <w:r w:rsidRPr="00FF1E05">
        <w:rPr>
          <w:rFonts w:cs="Arial"/>
          <w:color w:val="000000" w:themeColor="text1"/>
          <w:sz w:val="18"/>
          <w:szCs w:val="18"/>
        </w:rPr>
        <w:lastRenderedPageBreak/>
        <w:t>Table S3. Experimental-unit and variance-provenance audit.</w:t>
      </w:r>
    </w:p>
    <w:tbl>
      <w:tblPr>
        <w:tblW w:w="10348" w:type="dxa"/>
        <w:tblInd w:w="108" w:type="dxa"/>
        <w:tblLook w:val="04A0" w:firstRow="1" w:lastRow="0" w:firstColumn="1" w:lastColumn="0" w:noHBand="0" w:noVBand="1"/>
      </w:tblPr>
      <w:tblGrid>
        <w:gridCol w:w="2268"/>
        <w:gridCol w:w="1560"/>
        <w:gridCol w:w="6520"/>
      </w:tblGrid>
      <w:tr w:rsidR="008671CE" w:rsidRPr="00FF1E05" w14:paraId="1CD5832C" w14:textId="77777777" w:rsidTr="0077137F">
        <w:trPr>
          <w:trHeight w:val="285"/>
        </w:trPr>
        <w:tc>
          <w:tcPr>
            <w:tcW w:w="2268" w:type="dxa"/>
            <w:tcBorders>
              <w:top w:val="nil"/>
              <w:left w:val="nil"/>
              <w:bottom w:val="nil"/>
              <w:right w:val="nil"/>
            </w:tcBorders>
            <w:shd w:val="clear" w:color="000000" w:fill="EDEDED"/>
            <w:vAlign w:val="center"/>
            <w:hideMark/>
          </w:tcPr>
          <w:p w14:paraId="788C5880"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Study</w:t>
            </w:r>
          </w:p>
        </w:tc>
        <w:tc>
          <w:tcPr>
            <w:tcW w:w="1560" w:type="dxa"/>
            <w:tcBorders>
              <w:top w:val="nil"/>
              <w:left w:val="nil"/>
              <w:bottom w:val="nil"/>
              <w:right w:val="nil"/>
            </w:tcBorders>
            <w:shd w:val="clear" w:color="000000" w:fill="EDEDED"/>
            <w:vAlign w:val="center"/>
            <w:hideMark/>
          </w:tcPr>
          <w:p w14:paraId="3B2C2F8B"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Independent replication n</w:t>
            </w:r>
          </w:p>
        </w:tc>
        <w:tc>
          <w:tcPr>
            <w:tcW w:w="6520" w:type="dxa"/>
            <w:tcBorders>
              <w:top w:val="nil"/>
              <w:left w:val="nil"/>
              <w:bottom w:val="nil"/>
              <w:right w:val="nil"/>
            </w:tcBorders>
            <w:shd w:val="clear" w:color="000000" w:fill="EDEDED"/>
            <w:vAlign w:val="center"/>
            <w:hideMark/>
          </w:tcPr>
          <w:p w14:paraId="2928C9E1"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Quantitative role</w:t>
            </w:r>
          </w:p>
        </w:tc>
      </w:tr>
      <w:tr w:rsidR="008671CE" w:rsidRPr="00FF1E05" w14:paraId="620FE4F4" w14:textId="77777777" w:rsidTr="0077137F">
        <w:trPr>
          <w:trHeight w:val="495"/>
        </w:trPr>
        <w:tc>
          <w:tcPr>
            <w:tcW w:w="2268" w:type="dxa"/>
            <w:tcBorders>
              <w:top w:val="nil"/>
              <w:left w:val="nil"/>
              <w:bottom w:val="nil"/>
              <w:right w:val="nil"/>
            </w:tcBorders>
            <w:vAlign w:val="center"/>
            <w:hideMark/>
          </w:tcPr>
          <w:p w14:paraId="4615FEEF" w14:textId="77777777" w:rsidR="008671CE" w:rsidRPr="00FF1E05" w:rsidRDefault="008671CE" w:rsidP="008671CE">
            <w:pPr>
              <w:spacing w:after="0" w:line="240" w:lineRule="auto"/>
              <w:rPr>
                <w:rFonts w:eastAsia="Times New Roman" w:cs="Arial"/>
                <w:color w:val="000000"/>
                <w:sz w:val="18"/>
                <w:szCs w:val="18"/>
                <w:lang w:val="en-GB" w:eastAsia="en-GB"/>
              </w:rPr>
            </w:pPr>
            <w:proofErr w:type="spellStart"/>
            <w:r w:rsidRPr="00FF1E05">
              <w:rPr>
                <w:rFonts w:eastAsia="Times New Roman" w:cs="Arial"/>
                <w:color w:val="000000"/>
                <w:sz w:val="18"/>
                <w:szCs w:val="18"/>
                <w:lang w:val="en-GB" w:eastAsia="en-GB"/>
              </w:rPr>
              <w:t>Kupryianchyk</w:t>
            </w:r>
            <w:proofErr w:type="spellEnd"/>
            <w:r w:rsidRPr="00FF1E05">
              <w:rPr>
                <w:rFonts w:eastAsia="Times New Roman" w:cs="Arial"/>
                <w:color w:val="000000"/>
                <w:sz w:val="18"/>
                <w:szCs w:val="18"/>
                <w:lang w:val="en-GB" w:eastAsia="en-GB"/>
              </w:rPr>
              <w:t xml:space="preserve"> et al. (2016)</w:t>
            </w:r>
          </w:p>
        </w:tc>
        <w:tc>
          <w:tcPr>
            <w:tcW w:w="1560" w:type="dxa"/>
            <w:tcBorders>
              <w:top w:val="nil"/>
              <w:left w:val="nil"/>
              <w:bottom w:val="nil"/>
              <w:right w:val="nil"/>
            </w:tcBorders>
            <w:vAlign w:val="center"/>
            <w:hideMark/>
          </w:tcPr>
          <w:p w14:paraId="54E1E965"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3</w:t>
            </w:r>
          </w:p>
        </w:tc>
        <w:tc>
          <w:tcPr>
            <w:tcW w:w="6520" w:type="dxa"/>
            <w:tcBorders>
              <w:top w:val="nil"/>
              <w:left w:val="nil"/>
              <w:bottom w:val="nil"/>
              <w:right w:val="nil"/>
            </w:tcBorders>
            <w:vAlign w:val="center"/>
            <w:hideMark/>
          </w:tcPr>
          <w:p w14:paraId="79C3A7F9"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Missing-variance sensitivity + all-evidence mobility synthesis.</w:t>
            </w:r>
          </w:p>
        </w:tc>
      </w:tr>
      <w:tr w:rsidR="008671CE" w:rsidRPr="00FF1E05" w14:paraId="66E2D9DD" w14:textId="77777777" w:rsidTr="0077137F">
        <w:trPr>
          <w:trHeight w:val="285"/>
        </w:trPr>
        <w:tc>
          <w:tcPr>
            <w:tcW w:w="2268" w:type="dxa"/>
            <w:tcBorders>
              <w:top w:val="nil"/>
              <w:left w:val="nil"/>
              <w:bottom w:val="nil"/>
              <w:right w:val="nil"/>
            </w:tcBorders>
            <w:vAlign w:val="center"/>
            <w:hideMark/>
          </w:tcPr>
          <w:p w14:paraId="16CF5B41"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Silvani et al. (2019)</w:t>
            </w:r>
          </w:p>
        </w:tc>
        <w:tc>
          <w:tcPr>
            <w:tcW w:w="1560" w:type="dxa"/>
            <w:tcBorders>
              <w:top w:val="nil"/>
              <w:left w:val="nil"/>
              <w:bottom w:val="nil"/>
              <w:right w:val="nil"/>
            </w:tcBorders>
            <w:vAlign w:val="center"/>
            <w:hideMark/>
          </w:tcPr>
          <w:p w14:paraId="2BEC94B2"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3</w:t>
            </w:r>
          </w:p>
        </w:tc>
        <w:tc>
          <w:tcPr>
            <w:tcW w:w="6520" w:type="dxa"/>
            <w:tcBorders>
              <w:top w:val="nil"/>
              <w:left w:val="nil"/>
              <w:bottom w:val="nil"/>
              <w:right w:val="nil"/>
            </w:tcBorders>
            <w:vAlign w:val="center"/>
            <w:hideMark/>
          </w:tcPr>
          <w:p w14:paraId="2E114077"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Variance-supported mobility + all-evidence synthesis.</w:t>
            </w:r>
          </w:p>
        </w:tc>
      </w:tr>
      <w:tr w:rsidR="008671CE" w:rsidRPr="00FF1E05" w14:paraId="353BA50B" w14:textId="77777777" w:rsidTr="0077137F">
        <w:trPr>
          <w:trHeight w:val="339"/>
        </w:trPr>
        <w:tc>
          <w:tcPr>
            <w:tcW w:w="2268" w:type="dxa"/>
            <w:tcBorders>
              <w:top w:val="nil"/>
              <w:left w:val="nil"/>
              <w:bottom w:val="nil"/>
              <w:right w:val="nil"/>
            </w:tcBorders>
            <w:vAlign w:val="center"/>
            <w:hideMark/>
          </w:tcPr>
          <w:p w14:paraId="27CCDBD0"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Askeland et al. (2020)</w:t>
            </w:r>
          </w:p>
        </w:tc>
        <w:tc>
          <w:tcPr>
            <w:tcW w:w="1560" w:type="dxa"/>
            <w:tcBorders>
              <w:top w:val="nil"/>
              <w:left w:val="nil"/>
              <w:bottom w:val="nil"/>
              <w:right w:val="nil"/>
            </w:tcBorders>
            <w:vAlign w:val="center"/>
            <w:hideMark/>
          </w:tcPr>
          <w:p w14:paraId="79197CF2"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3</w:t>
            </w:r>
          </w:p>
        </w:tc>
        <w:tc>
          <w:tcPr>
            <w:tcW w:w="6520" w:type="dxa"/>
            <w:tcBorders>
              <w:top w:val="nil"/>
              <w:left w:val="nil"/>
              <w:bottom w:val="nil"/>
              <w:right w:val="nil"/>
            </w:tcBorders>
            <w:vAlign w:val="center"/>
            <w:hideMark/>
          </w:tcPr>
          <w:p w14:paraId="61DB4D91"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Variance-supported mobility + all-evidence synthesis.</w:t>
            </w:r>
          </w:p>
        </w:tc>
      </w:tr>
      <w:tr w:rsidR="008671CE" w:rsidRPr="00FF1E05" w14:paraId="7FAB1D53" w14:textId="77777777" w:rsidTr="0077137F">
        <w:trPr>
          <w:trHeight w:val="285"/>
        </w:trPr>
        <w:tc>
          <w:tcPr>
            <w:tcW w:w="2268" w:type="dxa"/>
            <w:tcBorders>
              <w:top w:val="nil"/>
              <w:left w:val="nil"/>
              <w:bottom w:val="nil"/>
              <w:right w:val="nil"/>
            </w:tcBorders>
            <w:vAlign w:val="center"/>
            <w:hideMark/>
          </w:tcPr>
          <w:p w14:paraId="4C376A04"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Sørmo et al. (2021)</w:t>
            </w:r>
          </w:p>
        </w:tc>
        <w:tc>
          <w:tcPr>
            <w:tcW w:w="1560" w:type="dxa"/>
            <w:tcBorders>
              <w:top w:val="nil"/>
              <w:left w:val="nil"/>
              <w:bottom w:val="nil"/>
              <w:right w:val="nil"/>
            </w:tcBorders>
            <w:vAlign w:val="center"/>
            <w:hideMark/>
          </w:tcPr>
          <w:p w14:paraId="04EAFF30"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3</w:t>
            </w:r>
          </w:p>
        </w:tc>
        <w:tc>
          <w:tcPr>
            <w:tcW w:w="6520" w:type="dxa"/>
            <w:tcBorders>
              <w:top w:val="nil"/>
              <w:left w:val="nil"/>
              <w:bottom w:val="nil"/>
              <w:right w:val="nil"/>
            </w:tcBorders>
            <w:vAlign w:val="center"/>
            <w:hideMark/>
          </w:tcPr>
          <w:p w14:paraId="464C7ED9"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All-evidence mobility synthesis.</w:t>
            </w:r>
          </w:p>
        </w:tc>
      </w:tr>
      <w:tr w:rsidR="008671CE" w:rsidRPr="00FF1E05" w14:paraId="38BC011C" w14:textId="77777777" w:rsidTr="0077137F">
        <w:trPr>
          <w:trHeight w:val="285"/>
        </w:trPr>
        <w:tc>
          <w:tcPr>
            <w:tcW w:w="2268" w:type="dxa"/>
            <w:tcBorders>
              <w:top w:val="nil"/>
              <w:left w:val="nil"/>
              <w:bottom w:val="nil"/>
              <w:right w:val="nil"/>
            </w:tcBorders>
            <w:vAlign w:val="center"/>
            <w:hideMark/>
          </w:tcPr>
          <w:p w14:paraId="6290F8D4"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Zhang &amp; Liang (2022a)</w:t>
            </w:r>
          </w:p>
        </w:tc>
        <w:tc>
          <w:tcPr>
            <w:tcW w:w="1560" w:type="dxa"/>
            <w:tcBorders>
              <w:top w:val="nil"/>
              <w:left w:val="nil"/>
              <w:bottom w:val="nil"/>
              <w:right w:val="nil"/>
            </w:tcBorders>
            <w:vAlign w:val="center"/>
            <w:hideMark/>
          </w:tcPr>
          <w:p w14:paraId="6EA6CAA2"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NA</w:t>
            </w:r>
          </w:p>
        </w:tc>
        <w:tc>
          <w:tcPr>
            <w:tcW w:w="6520" w:type="dxa"/>
            <w:tcBorders>
              <w:top w:val="nil"/>
              <w:left w:val="nil"/>
              <w:bottom w:val="nil"/>
              <w:right w:val="nil"/>
            </w:tcBorders>
            <w:vAlign w:val="center"/>
            <w:hideMark/>
          </w:tcPr>
          <w:p w14:paraId="0FB89F17"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All-evidence mobility synthesis.</w:t>
            </w:r>
          </w:p>
        </w:tc>
      </w:tr>
      <w:tr w:rsidR="008671CE" w:rsidRPr="00FF1E05" w14:paraId="6D1BAB25" w14:textId="77777777" w:rsidTr="0077137F">
        <w:trPr>
          <w:trHeight w:val="285"/>
        </w:trPr>
        <w:tc>
          <w:tcPr>
            <w:tcW w:w="2268" w:type="dxa"/>
            <w:tcBorders>
              <w:top w:val="nil"/>
              <w:left w:val="nil"/>
              <w:bottom w:val="nil"/>
              <w:right w:val="nil"/>
            </w:tcBorders>
            <w:vAlign w:val="center"/>
            <w:hideMark/>
          </w:tcPr>
          <w:p w14:paraId="1F835B27"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Navarro et al. (2023)</w:t>
            </w:r>
          </w:p>
        </w:tc>
        <w:tc>
          <w:tcPr>
            <w:tcW w:w="1560" w:type="dxa"/>
            <w:tcBorders>
              <w:top w:val="nil"/>
              <w:left w:val="nil"/>
              <w:bottom w:val="nil"/>
              <w:right w:val="nil"/>
            </w:tcBorders>
            <w:vAlign w:val="center"/>
            <w:hideMark/>
          </w:tcPr>
          <w:p w14:paraId="0D4CA1B1"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3</w:t>
            </w:r>
          </w:p>
        </w:tc>
        <w:tc>
          <w:tcPr>
            <w:tcW w:w="6520" w:type="dxa"/>
            <w:tcBorders>
              <w:top w:val="nil"/>
              <w:left w:val="nil"/>
              <w:bottom w:val="nil"/>
              <w:right w:val="nil"/>
            </w:tcBorders>
            <w:vAlign w:val="center"/>
            <w:hideMark/>
          </w:tcPr>
          <w:p w14:paraId="4FE3B175"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All-evidence mobility synthesis.</w:t>
            </w:r>
          </w:p>
        </w:tc>
      </w:tr>
      <w:tr w:rsidR="008671CE" w:rsidRPr="00FF1E05" w14:paraId="17D894A9" w14:textId="77777777" w:rsidTr="0077137F">
        <w:trPr>
          <w:trHeight w:val="285"/>
        </w:trPr>
        <w:tc>
          <w:tcPr>
            <w:tcW w:w="2268" w:type="dxa"/>
            <w:tcBorders>
              <w:top w:val="nil"/>
              <w:left w:val="nil"/>
              <w:bottom w:val="nil"/>
              <w:right w:val="nil"/>
            </w:tcBorders>
            <w:vAlign w:val="center"/>
            <w:hideMark/>
          </w:tcPr>
          <w:p w14:paraId="59819BE2"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Kabiri et al. (2023)</w:t>
            </w:r>
          </w:p>
        </w:tc>
        <w:tc>
          <w:tcPr>
            <w:tcW w:w="1560" w:type="dxa"/>
            <w:tcBorders>
              <w:top w:val="nil"/>
              <w:left w:val="nil"/>
              <w:bottom w:val="nil"/>
              <w:right w:val="nil"/>
            </w:tcBorders>
            <w:vAlign w:val="center"/>
            <w:hideMark/>
          </w:tcPr>
          <w:p w14:paraId="5C46073D"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3</w:t>
            </w:r>
          </w:p>
        </w:tc>
        <w:tc>
          <w:tcPr>
            <w:tcW w:w="6520" w:type="dxa"/>
            <w:tcBorders>
              <w:top w:val="nil"/>
              <w:left w:val="nil"/>
              <w:bottom w:val="nil"/>
              <w:right w:val="nil"/>
            </w:tcBorders>
            <w:vAlign w:val="center"/>
            <w:hideMark/>
          </w:tcPr>
          <w:p w14:paraId="05909CB6"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Interval-censored all-evidence mobility synthesis.</w:t>
            </w:r>
          </w:p>
        </w:tc>
      </w:tr>
      <w:tr w:rsidR="008671CE" w:rsidRPr="00FF1E05" w14:paraId="27D86645" w14:textId="77777777" w:rsidTr="0077137F">
        <w:trPr>
          <w:trHeight w:val="285"/>
        </w:trPr>
        <w:tc>
          <w:tcPr>
            <w:tcW w:w="2268" w:type="dxa"/>
            <w:tcBorders>
              <w:top w:val="nil"/>
              <w:left w:val="nil"/>
              <w:bottom w:val="nil"/>
              <w:right w:val="nil"/>
            </w:tcBorders>
            <w:vAlign w:val="center"/>
            <w:hideMark/>
          </w:tcPr>
          <w:p w14:paraId="6ACBE71E"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Sørmo et al. (2024)</w:t>
            </w:r>
          </w:p>
        </w:tc>
        <w:tc>
          <w:tcPr>
            <w:tcW w:w="1560" w:type="dxa"/>
            <w:tcBorders>
              <w:top w:val="nil"/>
              <w:left w:val="nil"/>
              <w:bottom w:val="nil"/>
              <w:right w:val="nil"/>
            </w:tcBorders>
            <w:vAlign w:val="center"/>
            <w:hideMark/>
          </w:tcPr>
          <w:p w14:paraId="2B6E4DEE" w14:textId="777FE512"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Replication varied</w:t>
            </w:r>
          </w:p>
        </w:tc>
        <w:tc>
          <w:tcPr>
            <w:tcW w:w="6520" w:type="dxa"/>
            <w:tcBorders>
              <w:top w:val="nil"/>
              <w:left w:val="nil"/>
              <w:bottom w:val="nil"/>
              <w:right w:val="nil"/>
            </w:tcBorders>
            <w:vAlign w:val="center"/>
            <w:hideMark/>
          </w:tcPr>
          <w:p w14:paraId="41B069D2"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All-evidence mobility synthesis.</w:t>
            </w:r>
          </w:p>
        </w:tc>
      </w:tr>
      <w:tr w:rsidR="008671CE" w:rsidRPr="00FF1E05" w14:paraId="793E8D9D" w14:textId="77777777" w:rsidTr="0077137F">
        <w:trPr>
          <w:trHeight w:val="285"/>
        </w:trPr>
        <w:tc>
          <w:tcPr>
            <w:tcW w:w="2268" w:type="dxa"/>
            <w:tcBorders>
              <w:top w:val="nil"/>
              <w:left w:val="nil"/>
              <w:bottom w:val="nil"/>
              <w:right w:val="nil"/>
            </w:tcBorders>
            <w:vAlign w:val="center"/>
            <w:hideMark/>
          </w:tcPr>
          <w:p w14:paraId="33D83BC2"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Holly et al. (2024)</w:t>
            </w:r>
          </w:p>
        </w:tc>
        <w:tc>
          <w:tcPr>
            <w:tcW w:w="1560" w:type="dxa"/>
            <w:tcBorders>
              <w:top w:val="nil"/>
              <w:left w:val="nil"/>
              <w:bottom w:val="nil"/>
              <w:right w:val="nil"/>
            </w:tcBorders>
            <w:vAlign w:val="center"/>
            <w:hideMark/>
          </w:tcPr>
          <w:p w14:paraId="09796163" w14:textId="26AA0F4A"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Replication varied</w:t>
            </w:r>
          </w:p>
        </w:tc>
        <w:tc>
          <w:tcPr>
            <w:tcW w:w="6520" w:type="dxa"/>
            <w:tcBorders>
              <w:top w:val="nil"/>
              <w:left w:val="nil"/>
              <w:bottom w:val="nil"/>
              <w:right w:val="nil"/>
            </w:tcBorders>
            <w:vAlign w:val="center"/>
            <w:hideMark/>
          </w:tcPr>
          <w:p w14:paraId="1099D9A0"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Variance-supported mobility + all-evidence synthesis.</w:t>
            </w:r>
          </w:p>
        </w:tc>
      </w:tr>
      <w:tr w:rsidR="008671CE" w:rsidRPr="00FF1E05" w14:paraId="0FCDD982" w14:textId="77777777" w:rsidTr="0077137F">
        <w:trPr>
          <w:trHeight w:val="285"/>
        </w:trPr>
        <w:tc>
          <w:tcPr>
            <w:tcW w:w="2268" w:type="dxa"/>
            <w:tcBorders>
              <w:top w:val="nil"/>
              <w:left w:val="nil"/>
              <w:bottom w:val="nil"/>
              <w:right w:val="nil"/>
            </w:tcBorders>
            <w:vAlign w:val="center"/>
            <w:hideMark/>
          </w:tcPr>
          <w:p w14:paraId="6FCBAC9B" w14:textId="77777777" w:rsidR="008671CE" w:rsidRPr="00FF1E05" w:rsidRDefault="008671CE" w:rsidP="008671CE">
            <w:pPr>
              <w:spacing w:after="0" w:line="240" w:lineRule="auto"/>
              <w:rPr>
                <w:rFonts w:eastAsia="Times New Roman" w:cs="Arial"/>
                <w:color w:val="000000"/>
                <w:sz w:val="18"/>
                <w:szCs w:val="18"/>
                <w:lang w:val="en-GB" w:eastAsia="en-GB"/>
              </w:rPr>
            </w:pPr>
            <w:proofErr w:type="spellStart"/>
            <w:r w:rsidRPr="00FF1E05">
              <w:rPr>
                <w:rFonts w:eastAsia="Times New Roman" w:cs="Arial"/>
                <w:color w:val="000000"/>
                <w:sz w:val="18"/>
                <w:szCs w:val="18"/>
                <w:lang w:val="en-GB" w:eastAsia="en-GB"/>
              </w:rPr>
              <w:t>Openiyi</w:t>
            </w:r>
            <w:proofErr w:type="spellEnd"/>
            <w:r w:rsidRPr="00FF1E05">
              <w:rPr>
                <w:rFonts w:eastAsia="Times New Roman" w:cs="Arial"/>
                <w:color w:val="000000"/>
                <w:sz w:val="18"/>
                <w:szCs w:val="18"/>
                <w:lang w:val="en-GB" w:eastAsia="en-GB"/>
              </w:rPr>
              <w:t xml:space="preserve"> et al. (2025)</w:t>
            </w:r>
          </w:p>
        </w:tc>
        <w:tc>
          <w:tcPr>
            <w:tcW w:w="1560" w:type="dxa"/>
            <w:tcBorders>
              <w:top w:val="nil"/>
              <w:left w:val="nil"/>
              <w:bottom w:val="nil"/>
              <w:right w:val="nil"/>
            </w:tcBorders>
            <w:vAlign w:val="center"/>
            <w:hideMark/>
          </w:tcPr>
          <w:p w14:paraId="73A997CA"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3</w:t>
            </w:r>
          </w:p>
        </w:tc>
        <w:tc>
          <w:tcPr>
            <w:tcW w:w="6520" w:type="dxa"/>
            <w:tcBorders>
              <w:top w:val="nil"/>
              <w:left w:val="nil"/>
              <w:bottom w:val="nil"/>
              <w:right w:val="nil"/>
            </w:tcBorders>
            <w:vAlign w:val="center"/>
            <w:hideMark/>
          </w:tcPr>
          <w:p w14:paraId="4C31065C"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Missing-variance sensitivity + all-evidence mobility synthesis.</w:t>
            </w:r>
          </w:p>
        </w:tc>
      </w:tr>
      <w:tr w:rsidR="008671CE" w:rsidRPr="00FF1E05" w14:paraId="418AA5FD" w14:textId="77777777" w:rsidTr="0077137F">
        <w:trPr>
          <w:trHeight w:val="428"/>
        </w:trPr>
        <w:tc>
          <w:tcPr>
            <w:tcW w:w="2268" w:type="dxa"/>
            <w:tcBorders>
              <w:top w:val="nil"/>
              <w:left w:val="nil"/>
              <w:bottom w:val="nil"/>
              <w:right w:val="nil"/>
            </w:tcBorders>
            <w:vAlign w:val="center"/>
            <w:hideMark/>
          </w:tcPr>
          <w:p w14:paraId="671DFAC9"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Battisti et al. (2025)</w:t>
            </w:r>
          </w:p>
        </w:tc>
        <w:tc>
          <w:tcPr>
            <w:tcW w:w="1560" w:type="dxa"/>
            <w:tcBorders>
              <w:top w:val="nil"/>
              <w:left w:val="nil"/>
              <w:bottom w:val="nil"/>
              <w:right w:val="nil"/>
            </w:tcBorders>
            <w:vAlign w:val="center"/>
            <w:hideMark/>
          </w:tcPr>
          <w:p w14:paraId="042AD175"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6</w:t>
            </w:r>
          </w:p>
        </w:tc>
        <w:tc>
          <w:tcPr>
            <w:tcW w:w="6520" w:type="dxa"/>
            <w:tcBorders>
              <w:top w:val="nil"/>
              <w:left w:val="nil"/>
              <w:bottom w:val="nil"/>
              <w:right w:val="nil"/>
            </w:tcBorders>
            <w:vAlign w:val="center"/>
            <w:hideMark/>
          </w:tcPr>
          <w:p w14:paraId="79B22036"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Direct secondary soil-retention estimate; plant evidence descriptive/sensitivity only.</w:t>
            </w:r>
          </w:p>
        </w:tc>
      </w:tr>
      <w:tr w:rsidR="008671CE" w:rsidRPr="00FF1E05" w14:paraId="5F8DF599" w14:textId="77777777" w:rsidTr="0077137F">
        <w:trPr>
          <w:trHeight w:val="285"/>
        </w:trPr>
        <w:tc>
          <w:tcPr>
            <w:tcW w:w="2268" w:type="dxa"/>
            <w:tcBorders>
              <w:top w:val="nil"/>
              <w:left w:val="nil"/>
              <w:bottom w:val="nil"/>
              <w:right w:val="nil"/>
            </w:tcBorders>
            <w:vAlign w:val="center"/>
            <w:hideMark/>
          </w:tcPr>
          <w:p w14:paraId="7F0EA3D0"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Jiang et al. (2025)</w:t>
            </w:r>
          </w:p>
        </w:tc>
        <w:tc>
          <w:tcPr>
            <w:tcW w:w="1560" w:type="dxa"/>
            <w:tcBorders>
              <w:top w:val="nil"/>
              <w:left w:val="nil"/>
              <w:bottom w:val="nil"/>
              <w:right w:val="nil"/>
            </w:tcBorders>
            <w:vAlign w:val="center"/>
            <w:hideMark/>
          </w:tcPr>
          <w:p w14:paraId="6FAF58A6"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NA</w:t>
            </w:r>
          </w:p>
        </w:tc>
        <w:tc>
          <w:tcPr>
            <w:tcW w:w="6520" w:type="dxa"/>
            <w:tcBorders>
              <w:top w:val="nil"/>
              <w:left w:val="nil"/>
              <w:bottom w:val="nil"/>
              <w:right w:val="nil"/>
            </w:tcBorders>
            <w:vAlign w:val="center"/>
            <w:hideMark/>
          </w:tcPr>
          <w:p w14:paraId="34E8BC56"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All-evidence mobility synthesis.</w:t>
            </w:r>
          </w:p>
        </w:tc>
      </w:tr>
      <w:tr w:rsidR="008671CE" w:rsidRPr="00FF1E05" w14:paraId="32B66FE8" w14:textId="77777777" w:rsidTr="0077137F">
        <w:trPr>
          <w:trHeight w:val="428"/>
        </w:trPr>
        <w:tc>
          <w:tcPr>
            <w:tcW w:w="2268" w:type="dxa"/>
            <w:tcBorders>
              <w:top w:val="nil"/>
              <w:left w:val="nil"/>
              <w:bottom w:val="nil"/>
              <w:right w:val="nil"/>
            </w:tcBorders>
            <w:vAlign w:val="center"/>
            <w:hideMark/>
          </w:tcPr>
          <w:p w14:paraId="6413DDEC"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Fu et al. (2025)</w:t>
            </w:r>
          </w:p>
        </w:tc>
        <w:tc>
          <w:tcPr>
            <w:tcW w:w="1560" w:type="dxa"/>
            <w:tcBorders>
              <w:top w:val="nil"/>
              <w:left w:val="nil"/>
              <w:bottom w:val="nil"/>
              <w:right w:val="nil"/>
            </w:tcBorders>
            <w:vAlign w:val="center"/>
            <w:hideMark/>
          </w:tcPr>
          <w:p w14:paraId="6935A3CA"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3</w:t>
            </w:r>
          </w:p>
        </w:tc>
        <w:tc>
          <w:tcPr>
            <w:tcW w:w="6520" w:type="dxa"/>
            <w:tcBorders>
              <w:top w:val="nil"/>
              <w:left w:val="nil"/>
              <w:bottom w:val="nil"/>
              <w:right w:val="nil"/>
            </w:tcBorders>
            <w:vAlign w:val="center"/>
            <w:hideMark/>
          </w:tcPr>
          <w:p w14:paraId="49D95C4A"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Variance-supported mobility + direct secondary retention/plant estimates.</w:t>
            </w:r>
          </w:p>
        </w:tc>
      </w:tr>
      <w:tr w:rsidR="008671CE" w:rsidRPr="00FF1E05" w14:paraId="52FBCF32" w14:textId="77777777" w:rsidTr="0077137F">
        <w:trPr>
          <w:trHeight w:val="285"/>
        </w:trPr>
        <w:tc>
          <w:tcPr>
            <w:tcW w:w="2268" w:type="dxa"/>
            <w:tcBorders>
              <w:top w:val="nil"/>
              <w:left w:val="nil"/>
              <w:bottom w:val="nil"/>
              <w:right w:val="nil"/>
            </w:tcBorders>
            <w:vAlign w:val="center"/>
            <w:hideMark/>
          </w:tcPr>
          <w:p w14:paraId="1BEFD5C6"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Hubert et al. (2025)</w:t>
            </w:r>
          </w:p>
        </w:tc>
        <w:tc>
          <w:tcPr>
            <w:tcW w:w="1560" w:type="dxa"/>
            <w:tcBorders>
              <w:top w:val="nil"/>
              <w:left w:val="nil"/>
              <w:bottom w:val="nil"/>
              <w:right w:val="nil"/>
            </w:tcBorders>
            <w:vAlign w:val="center"/>
            <w:hideMark/>
          </w:tcPr>
          <w:p w14:paraId="5AE8D323"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w:t>
            </w:r>
          </w:p>
        </w:tc>
        <w:tc>
          <w:tcPr>
            <w:tcW w:w="6520" w:type="dxa"/>
            <w:tcBorders>
              <w:top w:val="nil"/>
              <w:left w:val="nil"/>
              <w:bottom w:val="nil"/>
              <w:right w:val="nil"/>
            </w:tcBorders>
            <w:vAlign w:val="center"/>
            <w:hideMark/>
          </w:tcPr>
          <w:p w14:paraId="30F8C71F"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All-evidence mobility synthesis.</w:t>
            </w:r>
          </w:p>
        </w:tc>
      </w:tr>
      <w:tr w:rsidR="008671CE" w:rsidRPr="00FF1E05" w14:paraId="312DF904" w14:textId="77777777" w:rsidTr="0077137F">
        <w:trPr>
          <w:trHeight w:val="285"/>
        </w:trPr>
        <w:tc>
          <w:tcPr>
            <w:tcW w:w="2268" w:type="dxa"/>
            <w:tcBorders>
              <w:top w:val="nil"/>
              <w:left w:val="nil"/>
              <w:bottom w:val="nil"/>
              <w:right w:val="nil"/>
            </w:tcBorders>
            <w:vAlign w:val="center"/>
            <w:hideMark/>
          </w:tcPr>
          <w:p w14:paraId="21489053"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Kabiri et al. (2026)</w:t>
            </w:r>
          </w:p>
        </w:tc>
        <w:tc>
          <w:tcPr>
            <w:tcW w:w="1560" w:type="dxa"/>
            <w:tcBorders>
              <w:top w:val="nil"/>
              <w:left w:val="nil"/>
              <w:bottom w:val="nil"/>
              <w:right w:val="nil"/>
            </w:tcBorders>
            <w:vAlign w:val="center"/>
            <w:hideMark/>
          </w:tcPr>
          <w:p w14:paraId="77D58DDA"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3</w:t>
            </w:r>
          </w:p>
        </w:tc>
        <w:tc>
          <w:tcPr>
            <w:tcW w:w="6520" w:type="dxa"/>
            <w:tcBorders>
              <w:top w:val="nil"/>
              <w:left w:val="nil"/>
              <w:bottom w:val="nil"/>
              <w:right w:val="nil"/>
            </w:tcBorders>
            <w:vAlign w:val="center"/>
            <w:hideMark/>
          </w:tcPr>
          <w:p w14:paraId="56AFCBE5"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Narrative/mechanistic synthesis only.</w:t>
            </w:r>
          </w:p>
        </w:tc>
      </w:tr>
      <w:tr w:rsidR="008671CE" w:rsidRPr="00FF1E05" w14:paraId="72A1D907" w14:textId="77777777" w:rsidTr="0077137F">
        <w:trPr>
          <w:trHeight w:val="285"/>
        </w:trPr>
        <w:tc>
          <w:tcPr>
            <w:tcW w:w="2268" w:type="dxa"/>
            <w:tcBorders>
              <w:top w:val="nil"/>
              <w:left w:val="nil"/>
              <w:bottom w:val="nil"/>
              <w:right w:val="nil"/>
            </w:tcBorders>
            <w:vAlign w:val="center"/>
            <w:hideMark/>
          </w:tcPr>
          <w:p w14:paraId="4BB6ECB6"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Zhang et al. (2026)</w:t>
            </w:r>
          </w:p>
        </w:tc>
        <w:tc>
          <w:tcPr>
            <w:tcW w:w="1560" w:type="dxa"/>
            <w:tcBorders>
              <w:top w:val="nil"/>
              <w:left w:val="nil"/>
              <w:bottom w:val="nil"/>
              <w:right w:val="nil"/>
            </w:tcBorders>
            <w:vAlign w:val="center"/>
            <w:hideMark/>
          </w:tcPr>
          <w:p w14:paraId="43A3EF4A"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6</w:t>
            </w:r>
          </w:p>
        </w:tc>
        <w:tc>
          <w:tcPr>
            <w:tcW w:w="6520" w:type="dxa"/>
            <w:tcBorders>
              <w:top w:val="nil"/>
              <w:left w:val="nil"/>
              <w:bottom w:val="nil"/>
              <w:right w:val="nil"/>
            </w:tcBorders>
            <w:vAlign w:val="center"/>
            <w:hideMark/>
          </w:tcPr>
          <w:p w14:paraId="031FB650"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All-evidence mobility synthesis.</w:t>
            </w:r>
          </w:p>
        </w:tc>
      </w:tr>
      <w:tr w:rsidR="008671CE" w:rsidRPr="00FF1E05" w14:paraId="2374A159" w14:textId="77777777" w:rsidTr="0077137F">
        <w:trPr>
          <w:trHeight w:val="428"/>
        </w:trPr>
        <w:tc>
          <w:tcPr>
            <w:tcW w:w="2268" w:type="dxa"/>
            <w:tcBorders>
              <w:top w:val="nil"/>
              <w:left w:val="nil"/>
              <w:bottom w:val="nil"/>
              <w:right w:val="nil"/>
            </w:tcBorders>
            <w:vAlign w:val="center"/>
            <w:hideMark/>
          </w:tcPr>
          <w:p w14:paraId="460FC3B4"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Hu et al. (2026)</w:t>
            </w:r>
          </w:p>
        </w:tc>
        <w:tc>
          <w:tcPr>
            <w:tcW w:w="1560" w:type="dxa"/>
            <w:tcBorders>
              <w:top w:val="nil"/>
              <w:left w:val="nil"/>
              <w:bottom w:val="nil"/>
              <w:right w:val="nil"/>
            </w:tcBorders>
            <w:vAlign w:val="center"/>
            <w:hideMark/>
          </w:tcPr>
          <w:p w14:paraId="65D398FF"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3</w:t>
            </w:r>
          </w:p>
        </w:tc>
        <w:tc>
          <w:tcPr>
            <w:tcW w:w="6520" w:type="dxa"/>
            <w:tcBorders>
              <w:top w:val="nil"/>
              <w:left w:val="nil"/>
              <w:bottom w:val="nil"/>
              <w:right w:val="nil"/>
            </w:tcBorders>
            <w:vAlign w:val="center"/>
            <w:hideMark/>
          </w:tcPr>
          <w:p w14:paraId="01A148DB"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Mechanistic synthesis + secondary retention sensitivity only.</w:t>
            </w:r>
          </w:p>
        </w:tc>
      </w:tr>
      <w:tr w:rsidR="008671CE" w:rsidRPr="00FF1E05" w14:paraId="170AE2A3" w14:textId="77777777" w:rsidTr="0077137F">
        <w:trPr>
          <w:trHeight w:val="285"/>
        </w:trPr>
        <w:tc>
          <w:tcPr>
            <w:tcW w:w="2268" w:type="dxa"/>
            <w:tcBorders>
              <w:top w:val="nil"/>
              <w:left w:val="nil"/>
              <w:bottom w:val="nil"/>
              <w:right w:val="nil"/>
            </w:tcBorders>
            <w:vAlign w:val="center"/>
            <w:hideMark/>
          </w:tcPr>
          <w:p w14:paraId="4C5E981E" w14:textId="77777777" w:rsidR="008671CE" w:rsidRPr="00FF1E05" w:rsidRDefault="008671CE" w:rsidP="008671CE">
            <w:pPr>
              <w:spacing w:after="0" w:line="240" w:lineRule="auto"/>
              <w:rPr>
                <w:rFonts w:eastAsia="Times New Roman" w:cs="Arial"/>
                <w:color w:val="000000"/>
                <w:sz w:val="18"/>
                <w:szCs w:val="18"/>
                <w:lang w:val="en-GB" w:eastAsia="en-GB"/>
              </w:rPr>
            </w:pPr>
            <w:proofErr w:type="spellStart"/>
            <w:r w:rsidRPr="00FF1E05">
              <w:rPr>
                <w:rFonts w:eastAsia="Times New Roman" w:cs="Arial"/>
                <w:color w:val="000000"/>
                <w:sz w:val="18"/>
                <w:szCs w:val="18"/>
                <w:lang w:val="en-GB" w:eastAsia="en-GB"/>
              </w:rPr>
              <w:t>Skjennum</w:t>
            </w:r>
            <w:proofErr w:type="spellEnd"/>
            <w:r w:rsidRPr="00FF1E05">
              <w:rPr>
                <w:rFonts w:eastAsia="Times New Roman" w:cs="Arial"/>
                <w:color w:val="000000"/>
                <w:sz w:val="18"/>
                <w:szCs w:val="18"/>
                <w:lang w:val="en-GB" w:eastAsia="en-GB"/>
              </w:rPr>
              <w:t xml:space="preserve"> et al. (2026)</w:t>
            </w:r>
          </w:p>
        </w:tc>
        <w:tc>
          <w:tcPr>
            <w:tcW w:w="1560" w:type="dxa"/>
            <w:tcBorders>
              <w:top w:val="nil"/>
              <w:left w:val="nil"/>
              <w:bottom w:val="nil"/>
              <w:right w:val="nil"/>
            </w:tcBorders>
            <w:vAlign w:val="center"/>
            <w:hideMark/>
          </w:tcPr>
          <w:p w14:paraId="63FE927F"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3</w:t>
            </w:r>
          </w:p>
        </w:tc>
        <w:tc>
          <w:tcPr>
            <w:tcW w:w="6520" w:type="dxa"/>
            <w:tcBorders>
              <w:top w:val="nil"/>
              <w:left w:val="nil"/>
              <w:bottom w:val="nil"/>
              <w:right w:val="nil"/>
            </w:tcBorders>
            <w:vAlign w:val="center"/>
            <w:hideMark/>
          </w:tcPr>
          <w:p w14:paraId="38470155"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Variance-supported mobility + all-evidence synthesis.</w:t>
            </w:r>
          </w:p>
        </w:tc>
      </w:tr>
      <w:tr w:rsidR="008671CE" w:rsidRPr="00FF1E05" w14:paraId="04147FCA" w14:textId="77777777" w:rsidTr="0077137F">
        <w:trPr>
          <w:trHeight w:val="285"/>
        </w:trPr>
        <w:tc>
          <w:tcPr>
            <w:tcW w:w="2268" w:type="dxa"/>
            <w:tcBorders>
              <w:top w:val="nil"/>
              <w:left w:val="nil"/>
              <w:bottom w:val="nil"/>
              <w:right w:val="nil"/>
            </w:tcBorders>
            <w:vAlign w:val="center"/>
            <w:hideMark/>
          </w:tcPr>
          <w:p w14:paraId="17A54901"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Zhang &amp; Liang (2022b)</w:t>
            </w:r>
          </w:p>
        </w:tc>
        <w:tc>
          <w:tcPr>
            <w:tcW w:w="1560" w:type="dxa"/>
            <w:tcBorders>
              <w:top w:val="nil"/>
              <w:left w:val="nil"/>
              <w:bottom w:val="nil"/>
              <w:right w:val="nil"/>
            </w:tcBorders>
            <w:vAlign w:val="center"/>
            <w:hideMark/>
          </w:tcPr>
          <w:p w14:paraId="3AEE7146"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3</w:t>
            </w:r>
          </w:p>
        </w:tc>
        <w:tc>
          <w:tcPr>
            <w:tcW w:w="6520" w:type="dxa"/>
            <w:tcBorders>
              <w:top w:val="nil"/>
              <w:left w:val="nil"/>
              <w:bottom w:val="nil"/>
              <w:right w:val="nil"/>
            </w:tcBorders>
            <w:vAlign w:val="center"/>
            <w:hideMark/>
          </w:tcPr>
          <w:p w14:paraId="687C4FF6"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Variance-supported mobility + direct plant-transfer estimate.</w:t>
            </w:r>
          </w:p>
        </w:tc>
      </w:tr>
      <w:tr w:rsidR="008671CE" w:rsidRPr="00FF1E05" w14:paraId="79CCA13C" w14:textId="77777777" w:rsidTr="0077137F">
        <w:trPr>
          <w:trHeight w:val="285"/>
        </w:trPr>
        <w:tc>
          <w:tcPr>
            <w:tcW w:w="2268" w:type="dxa"/>
            <w:tcBorders>
              <w:top w:val="nil"/>
              <w:left w:val="nil"/>
              <w:bottom w:val="nil"/>
              <w:right w:val="nil"/>
            </w:tcBorders>
            <w:vAlign w:val="center"/>
            <w:hideMark/>
          </w:tcPr>
          <w:p w14:paraId="21771FAF"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Xin et al. (2025)</w:t>
            </w:r>
          </w:p>
        </w:tc>
        <w:tc>
          <w:tcPr>
            <w:tcW w:w="1560" w:type="dxa"/>
            <w:tcBorders>
              <w:top w:val="nil"/>
              <w:left w:val="nil"/>
              <w:bottom w:val="nil"/>
              <w:right w:val="nil"/>
            </w:tcBorders>
            <w:vAlign w:val="center"/>
            <w:hideMark/>
          </w:tcPr>
          <w:p w14:paraId="720731FF"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3</w:t>
            </w:r>
          </w:p>
        </w:tc>
        <w:tc>
          <w:tcPr>
            <w:tcW w:w="6520" w:type="dxa"/>
            <w:tcBorders>
              <w:top w:val="nil"/>
              <w:left w:val="nil"/>
              <w:bottom w:val="nil"/>
              <w:right w:val="nil"/>
            </w:tcBorders>
            <w:vAlign w:val="center"/>
            <w:hideMark/>
          </w:tcPr>
          <w:p w14:paraId="1915F109" w14:textId="77777777" w:rsidR="008671CE" w:rsidRPr="00FF1E05" w:rsidRDefault="008671CE" w:rsidP="008671CE">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Narrative/mechanistic synthesis only.</w:t>
            </w:r>
          </w:p>
        </w:tc>
      </w:tr>
    </w:tbl>
    <w:p w14:paraId="76AE17F9" w14:textId="77777777" w:rsidR="00D70034" w:rsidRPr="00FF1E05" w:rsidRDefault="00D70034" w:rsidP="0072319D">
      <w:pPr>
        <w:jc w:val="both"/>
        <w:rPr>
          <w:rFonts w:cs="Arial"/>
          <w:color w:val="000000" w:themeColor="text1"/>
          <w:sz w:val="22"/>
        </w:rPr>
        <w:sectPr w:rsidR="00D70034" w:rsidRPr="00FF1E05" w:rsidSect="0072319D">
          <w:pgSz w:w="16838" w:h="11906" w:orient="landscape"/>
          <w:pgMar w:top="907" w:right="1700" w:bottom="907" w:left="1560" w:header="720" w:footer="720" w:gutter="0"/>
          <w:cols w:space="720"/>
          <w:docGrid w:linePitch="360"/>
        </w:sectPr>
      </w:pPr>
    </w:p>
    <w:p w14:paraId="16DD66DE" w14:textId="25A5B7FF" w:rsidR="007F0C34" w:rsidRPr="00FF1E05" w:rsidRDefault="00ED14B9" w:rsidP="00730526">
      <w:pPr>
        <w:keepNext/>
        <w:jc w:val="both"/>
        <w:rPr>
          <w:rFonts w:cs="Arial"/>
          <w:color w:val="000000" w:themeColor="text1"/>
          <w:sz w:val="18"/>
          <w:szCs w:val="18"/>
        </w:rPr>
      </w:pPr>
      <w:r w:rsidRPr="00FF1E05">
        <w:rPr>
          <w:rFonts w:cs="Arial"/>
          <w:color w:val="000000" w:themeColor="text1"/>
          <w:sz w:val="18"/>
          <w:szCs w:val="18"/>
        </w:rPr>
        <w:lastRenderedPageBreak/>
        <w:t xml:space="preserve">Table S4. </w:t>
      </w:r>
      <w:r w:rsidR="00041377" w:rsidRPr="00FF1E05">
        <w:rPr>
          <w:rFonts w:cs="Arial"/>
          <w:color w:val="000000" w:themeColor="text1"/>
          <w:sz w:val="18"/>
          <w:szCs w:val="18"/>
        </w:rPr>
        <w:t>Quantitative synthesis architecture and evidence coverage</w:t>
      </w:r>
    </w:p>
    <w:tbl>
      <w:tblPr>
        <w:tblW w:w="8685" w:type="dxa"/>
        <w:tblInd w:w="108" w:type="dxa"/>
        <w:tblLook w:val="04A0" w:firstRow="1" w:lastRow="0" w:firstColumn="1" w:lastColumn="0" w:noHBand="0" w:noVBand="1"/>
      </w:tblPr>
      <w:tblGrid>
        <w:gridCol w:w="1940"/>
        <w:gridCol w:w="1217"/>
        <w:gridCol w:w="2825"/>
        <w:gridCol w:w="2703"/>
      </w:tblGrid>
      <w:tr w:rsidR="00006017" w:rsidRPr="00FF1E05" w14:paraId="56948116" w14:textId="77777777" w:rsidTr="00EA3112">
        <w:trPr>
          <w:trHeight w:val="603"/>
        </w:trPr>
        <w:tc>
          <w:tcPr>
            <w:tcW w:w="2011" w:type="dxa"/>
            <w:tcBorders>
              <w:top w:val="single" w:sz="4" w:space="0" w:color="auto"/>
              <w:left w:val="nil"/>
              <w:bottom w:val="single" w:sz="4" w:space="0" w:color="auto"/>
              <w:right w:val="nil"/>
            </w:tcBorders>
            <w:shd w:val="clear" w:color="000000" w:fill="EDEDED"/>
            <w:vAlign w:val="center"/>
            <w:hideMark/>
          </w:tcPr>
          <w:p w14:paraId="279A8651"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Evidence set</w:t>
            </w:r>
          </w:p>
        </w:tc>
        <w:tc>
          <w:tcPr>
            <w:tcW w:w="917" w:type="dxa"/>
            <w:tcBorders>
              <w:top w:val="single" w:sz="4" w:space="0" w:color="auto"/>
              <w:left w:val="nil"/>
              <w:bottom w:val="single" w:sz="4" w:space="0" w:color="auto"/>
              <w:right w:val="nil"/>
            </w:tcBorders>
            <w:shd w:val="clear" w:color="000000" w:fill="EDEDED"/>
            <w:vAlign w:val="center"/>
            <w:hideMark/>
          </w:tcPr>
          <w:p w14:paraId="6E1F929C"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Independent studies (k)</w:t>
            </w:r>
          </w:p>
        </w:tc>
        <w:tc>
          <w:tcPr>
            <w:tcW w:w="2910" w:type="dxa"/>
            <w:tcBorders>
              <w:top w:val="single" w:sz="4" w:space="0" w:color="auto"/>
              <w:left w:val="nil"/>
              <w:bottom w:val="single" w:sz="4" w:space="0" w:color="auto"/>
              <w:right w:val="nil"/>
            </w:tcBorders>
            <w:shd w:val="clear" w:color="000000" w:fill="EDEDED"/>
            <w:vAlign w:val="center"/>
            <w:hideMark/>
          </w:tcPr>
          <w:p w14:paraId="4C486BEC"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Definition</w:t>
            </w:r>
          </w:p>
        </w:tc>
        <w:tc>
          <w:tcPr>
            <w:tcW w:w="2847" w:type="dxa"/>
            <w:tcBorders>
              <w:top w:val="single" w:sz="4" w:space="0" w:color="auto"/>
              <w:left w:val="nil"/>
              <w:bottom w:val="single" w:sz="4" w:space="0" w:color="auto"/>
              <w:right w:val="nil"/>
            </w:tcBorders>
            <w:shd w:val="clear" w:color="000000" w:fill="EDEDED"/>
            <w:vAlign w:val="center"/>
            <w:hideMark/>
          </w:tcPr>
          <w:p w14:paraId="11612350"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Use in synthesis</w:t>
            </w:r>
          </w:p>
        </w:tc>
      </w:tr>
      <w:tr w:rsidR="00006017" w:rsidRPr="00FF1E05" w14:paraId="5ACC46DC" w14:textId="77777777" w:rsidTr="00EA3112">
        <w:trPr>
          <w:trHeight w:val="603"/>
        </w:trPr>
        <w:tc>
          <w:tcPr>
            <w:tcW w:w="2011" w:type="dxa"/>
            <w:tcBorders>
              <w:top w:val="single" w:sz="4" w:space="0" w:color="auto"/>
              <w:left w:val="nil"/>
              <w:bottom w:val="nil"/>
              <w:right w:val="nil"/>
            </w:tcBorders>
            <w:vAlign w:val="center"/>
            <w:hideMark/>
          </w:tcPr>
          <w:p w14:paraId="1A291EB5"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Systematic review corpus</w:t>
            </w:r>
          </w:p>
        </w:tc>
        <w:tc>
          <w:tcPr>
            <w:tcW w:w="917" w:type="dxa"/>
            <w:tcBorders>
              <w:top w:val="single" w:sz="4" w:space="0" w:color="auto"/>
              <w:left w:val="nil"/>
              <w:bottom w:val="nil"/>
              <w:right w:val="nil"/>
            </w:tcBorders>
            <w:vAlign w:val="center"/>
            <w:hideMark/>
          </w:tcPr>
          <w:p w14:paraId="368BC6F1"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20</w:t>
            </w:r>
          </w:p>
        </w:tc>
        <w:tc>
          <w:tcPr>
            <w:tcW w:w="2910" w:type="dxa"/>
            <w:tcBorders>
              <w:top w:val="single" w:sz="4" w:space="0" w:color="auto"/>
              <w:left w:val="nil"/>
              <w:bottom w:val="nil"/>
              <w:right w:val="nil"/>
            </w:tcBorders>
            <w:vAlign w:val="center"/>
            <w:hideMark/>
          </w:tcPr>
          <w:p w14:paraId="2B5BE671"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All eligible primary soil and soil–plant studies</w:t>
            </w:r>
          </w:p>
        </w:tc>
        <w:tc>
          <w:tcPr>
            <w:tcW w:w="2847" w:type="dxa"/>
            <w:tcBorders>
              <w:top w:val="single" w:sz="4" w:space="0" w:color="auto"/>
              <w:left w:val="nil"/>
              <w:bottom w:val="nil"/>
              <w:right w:val="nil"/>
            </w:tcBorders>
            <w:vAlign w:val="center"/>
            <w:hideMark/>
          </w:tcPr>
          <w:p w14:paraId="7FA43D30"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Systematic review</w:t>
            </w:r>
          </w:p>
        </w:tc>
      </w:tr>
      <w:tr w:rsidR="00006017" w:rsidRPr="00FF1E05" w14:paraId="1BC026E7" w14:textId="77777777" w:rsidTr="00EA3112">
        <w:trPr>
          <w:trHeight w:val="603"/>
        </w:trPr>
        <w:tc>
          <w:tcPr>
            <w:tcW w:w="2011" w:type="dxa"/>
            <w:tcBorders>
              <w:top w:val="nil"/>
              <w:left w:val="nil"/>
              <w:bottom w:val="nil"/>
              <w:right w:val="nil"/>
            </w:tcBorders>
            <w:vAlign w:val="center"/>
            <w:hideMark/>
          </w:tcPr>
          <w:p w14:paraId="69C73977"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Quantitative evidence base</w:t>
            </w:r>
          </w:p>
        </w:tc>
        <w:tc>
          <w:tcPr>
            <w:tcW w:w="917" w:type="dxa"/>
            <w:tcBorders>
              <w:top w:val="nil"/>
              <w:left w:val="nil"/>
              <w:bottom w:val="nil"/>
              <w:right w:val="nil"/>
            </w:tcBorders>
            <w:vAlign w:val="center"/>
            <w:hideMark/>
          </w:tcPr>
          <w:p w14:paraId="1AF47861"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18</w:t>
            </w:r>
          </w:p>
        </w:tc>
        <w:tc>
          <w:tcPr>
            <w:tcW w:w="2910" w:type="dxa"/>
            <w:tcBorders>
              <w:top w:val="nil"/>
              <w:left w:val="nil"/>
              <w:bottom w:val="nil"/>
              <w:right w:val="nil"/>
            </w:tcBorders>
            <w:vAlign w:val="center"/>
            <w:hideMark/>
          </w:tcPr>
          <w:p w14:paraId="2FBAD52A"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Studies contributing a quantitatively usable primary or secondary endpoint</w:t>
            </w:r>
          </w:p>
        </w:tc>
        <w:tc>
          <w:tcPr>
            <w:tcW w:w="2847" w:type="dxa"/>
            <w:tcBorders>
              <w:top w:val="nil"/>
              <w:left w:val="nil"/>
              <w:bottom w:val="nil"/>
              <w:right w:val="nil"/>
            </w:tcBorders>
            <w:vAlign w:val="center"/>
            <w:hideMark/>
          </w:tcPr>
          <w:p w14:paraId="2D908161"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Quantitative analyses</w:t>
            </w:r>
          </w:p>
        </w:tc>
      </w:tr>
      <w:tr w:rsidR="00006017" w:rsidRPr="00FF1E05" w14:paraId="58C62708" w14:textId="77777777" w:rsidTr="00EA3112">
        <w:trPr>
          <w:trHeight w:val="603"/>
        </w:trPr>
        <w:tc>
          <w:tcPr>
            <w:tcW w:w="2011" w:type="dxa"/>
            <w:tcBorders>
              <w:top w:val="nil"/>
              <w:left w:val="nil"/>
              <w:bottom w:val="nil"/>
              <w:right w:val="nil"/>
            </w:tcBorders>
            <w:vAlign w:val="center"/>
            <w:hideMark/>
          </w:tcPr>
          <w:p w14:paraId="35A13C64"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Broad mobility synthesis</w:t>
            </w:r>
          </w:p>
        </w:tc>
        <w:tc>
          <w:tcPr>
            <w:tcW w:w="917" w:type="dxa"/>
            <w:tcBorders>
              <w:top w:val="nil"/>
              <w:left w:val="nil"/>
              <w:bottom w:val="nil"/>
              <w:right w:val="nil"/>
            </w:tcBorders>
            <w:vAlign w:val="center"/>
            <w:hideMark/>
          </w:tcPr>
          <w:p w14:paraId="0596A551"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16</w:t>
            </w:r>
          </w:p>
        </w:tc>
        <w:tc>
          <w:tcPr>
            <w:tcW w:w="2910" w:type="dxa"/>
            <w:tcBorders>
              <w:top w:val="nil"/>
              <w:left w:val="nil"/>
              <w:bottom w:val="nil"/>
              <w:right w:val="nil"/>
            </w:tcBorders>
            <w:vAlign w:val="center"/>
            <w:hideMark/>
          </w:tcPr>
          <w:p w14:paraId="7F50D7DC"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15 exact study-level estimates plus one interval-censored estimate</w:t>
            </w:r>
          </w:p>
        </w:tc>
        <w:tc>
          <w:tcPr>
            <w:tcW w:w="2847" w:type="dxa"/>
            <w:tcBorders>
              <w:top w:val="nil"/>
              <w:left w:val="nil"/>
              <w:bottom w:val="nil"/>
              <w:right w:val="nil"/>
            </w:tcBorders>
            <w:vAlign w:val="center"/>
            <w:hideMark/>
          </w:tcPr>
          <w:p w14:paraId="5B75FF0B"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Primary overall mobility synthesis</w:t>
            </w:r>
          </w:p>
        </w:tc>
      </w:tr>
      <w:tr w:rsidR="00006017" w:rsidRPr="00FF1E05" w14:paraId="6831FFE1" w14:textId="77777777" w:rsidTr="00EA3112">
        <w:trPr>
          <w:trHeight w:val="603"/>
        </w:trPr>
        <w:tc>
          <w:tcPr>
            <w:tcW w:w="2011" w:type="dxa"/>
            <w:tcBorders>
              <w:top w:val="nil"/>
              <w:left w:val="nil"/>
              <w:bottom w:val="nil"/>
              <w:right w:val="nil"/>
            </w:tcBorders>
            <w:vAlign w:val="center"/>
            <w:hideMark/>
          </w:tcPr>
          <w:p w14:paraId="44D4362C"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Exact-point mobility synthesis</w:t>
            </w:r>
          </w:p>
        </w:tc>
        <w:tc>
          <w:tcPr>
            <w:tcW w:w="917" w:type="dxa"/>
            <w:tcBorders>
              <w:top w:val="nil"/>
              <w:left w:val="nil"/>
              <w:bottom w:val="nil"/>
              <w:right w:val="nil"/>
            </w:tcBorders>
            <w:vAlign w:val="center"/>
            <w:hideMark/>
          </w:tcPr>
          <w:p w14:paraId="1C2F0EC7"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15</w:t>
            </w:r>
          </w:p>
        </w:tc>
        <w:tc>
          <w:tcPr>
            <w:tcW w:w="2910" w:type="dxa"/>
            <w:tcBorders>
              <w:top w:val="nil"/>
              <w:left w:val="nil"/>
              <w:bottom w:val="nil"/>
              <w:right w:val="nil"/>
            </w:tcBorders>
            <w:vAlign w:val="center"/>
            <w:hideMark/>
          </w:tcPr>
          <w:p w14:paraId="5456A522"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One exact study-level mobility estimate per study</w:t>
            </w:r>
          </w:p>
        </w:tc>
        <w:tc>
          <w:tcPr>
            <w:tcW w:w="2847" w:type="dxa"/>
            <w:tcBorders>
              <w:top w:val="nil"/>
              <w:left w:val="nil"/>
              <w:bottom w:val="nil"/>
              <w:right w:val="nil"/>
            </w:tcBorders>
            <w:vAlign w:val="center"/>
            <w:hideMark/>
          </w:tcPr>
          <w:p w14:paraId="1B09F613"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Sensitivity analysis</w:t>
            </w:r>
          </w:p>
        </w:tc>
      </w:tr>
      <w:tr w:rsidR="00006017" w:rsidRPr="00FF1E05" w14:paraId="15442EF5" w14:textId="77777777" w:rsidTr="00EA3112">
        <w:trPr>
          <w:trHeight w:val="603"/>
        </w:trPr>
        <w:tc>
          <w:tcPr>
            <w:tcW w:w="2011" w:type="dxa"/>
            <w:tcBorders>
              <w:top w:val="nil"/>
              <w:left w:val="nil"/>
              <w:bottom w:val="nil"/>
              <w:right w:val="nil"/>
            </w:tcBorders>
            <w:vAlign w:val="center"/>
            <w:hideMark/>
          </w:tcPr>
          <w:p w14:paraId="613257CB"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Variance-supported mobility subset</w:t>
            </w:r>
          </w:p>
        </w:tc>
        <w:tc>
          <w:tcPr>
            <w:tcW w:w="917" w:type="dxa"/>
            <w:tcBorders>
              <w:top w:val="nil"/>
              <w:left w:val="nil"/>
              <w:bottom w:val="nil"/>
              <w:right w:val="nil"/>
            </w:tcBorders>
            <w:vAlign w:val="center"/>
            <w:hideMark/>
          </w:tcPr>
          <w:p w14:paraId="635EE6A7"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6</w:t>
            </w:r>
          </w:p>
        </w:tc>
        <w:tc>
          <w:tcPr>
            <w:tcW w:w="2910" w:type="dxa"/>
            <w:tcBorders>
              <w:top w:val="nil"/>
              <w:left w:val="nil"/>
              <w:bottom w:val="nil"/>
              <w:right w:val="nil"/>
            </w:tcBorders>
            <w:vAlign w:val="center"/>
            <w:hideMark/>
          </w:tcPr>
          <w:p w14:paraId="4AC381B0"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Studies with observed or recoverable experimental-unit sampling variance</w:t>
            </w:r>
          </w:p>
        </w:tc>
        <w:tc>
          <w:tcPr>
            <w:tcW w:w="2847" w:type="dxa"/>
            <w:tcBorders>
              <w:top w:val="nil"/>
              <w:left w:val="nil"/>
              <w:bottom w:val="nil"/>
              <w:right w:val="nil"/>
            </w:tcBorders>
            <w:vAlign w:val="center"/>
            <w:hideMark/>
          </w:tcPr>
          <w:p w14:paraId="495321CA"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Random-effects sensitivity analyses</w:t>
            </w:r>
          </w:p>
        </w:tc>
      </w:tr>
      <w:tr w:rsidR="00006017" w:rsidRPr="00FF1E05" w14:paraId="5C05B246" w14:textId="77777777" w:rsidTr="00EA3112">
        <w:trPr>
          <w:trHeight w:val="603"/>
        </w:trPr>
        <w:tc>
          <w:tcPr>
            <w:tcW w:w="2011" w:type="dxa"/>
            <w:tcBorders>
              <w:top w:val="nil"/>
              <w:left w:val="nil"/>
              <w:bottom w:val="nil"/>
              <w:right w:val="nil"/>
            </w:tcBorders>
            <w:vAlign w:val="center"/>
            <w:hideMark/>
          </w:tcPr>
          <w:p w14:paraId="73CA280B"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Missing-variance sensitivity</w:t>
            </w:r>
          </w:p>
        </w:tc>
        <w:tc>
          <w:tcPr>
            <w:tcW w:w="917" w:type="dxa"/>
            <w:tcBorders>
              <w:top w:val="nil"/>
              <w:left w:val="nil"/>
              <w:bottom w:val="nil"/>
              <w:right w:val="nil"/>
            </w:tcBorders>
            <w:vAlign w:val="center"/>
            <w:hideMark/>
          </w:tcPr>
          <w:p w14:paraId="2D6F334C"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8</w:t>
            </w:r>
          </w:p>
        </w:tc>
        <w:tc>
          <w:tcPr>
            <w:tcW w:w="2910" w:type="dxa"/>
            <w:tcBorders>
              <w:top w:val="nil"/>
              <w:left w:val="nil"/>
              <w:bottom w:val="nil"/>
              <w:right w:val="nil"/>
            </w:tcBorders>
            <w:vAlign w:val="center"/>
            <w:hideMark/>
          </w:tcPr>
          <w:p w14:paraId="1E0FA37B"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Variance-supported subset plus two independently replicated studies with imputed sampling variance</w:t>
            </w:r>
          </w:p>
        </w:tc>
        <w:tc>
          <w:tcPr>
            <w:tcW w:w="2847" w:type="dxa"/>
            <w:tcBorders>
              <w:top w:val="nil"/>
              <w:left w:val="nil"/>
              <w:bottom w:val="nil"/>
              <w:right w:val="nil"/>
            </w:tcBorders>
            <w:vAlign w:val="center"/>
            <w:hideMark/>
          </w:tcPr>
          <w:p w14:paraId="58FF7A5A"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Variance sensitivity analysis</w:t>
            </w:r>
          </w:p>
        </w:tc>
      </w:tr>
      <w:tr w:rsidR="00006017" w:rsidRPr="00FF1E05" w14:paraId="506991AC" w14:textId="77777777" w:rsidTr="00EA3112">
        <w:trPr>
          <w:trHeight w:val="603"/>
        </w:trPr>
        <w:tc>
          <w:tcPr>
            <w:tcW w:w="2011" w:type="dxa"/>
            <w:tcBorders>
              <w:top w:val="nil"/>
              <w:left w:val="nil"/>
              <w:bottom w:val="nil"/>
              <w:right w:val="nil"/>
            </w:tcBorders>
            <w:vAlign w:val="center"/>
            <w:hideMark/>
          </w:tcPr>
          <w:p w14:paraId="619510A1"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Compound-resolved mobility dataset</w:t>
            </w:r>
          </w:p>
        </w:tc>
        <w:tc>
          <w:tcPr>
            <w:tcW w:w="917" w:type="dxa"/>
            <w:tcBorders>
              <w:top w:val="nil"/>
              <w:left w:val="nil"/>
              <w:bottom w:val="nil"/>
              <w:right w:val="nil"/>
            </w:tcBorders>
            <w:vAlign w:val="center"/>
            <w:hideMark/>
          </w:tcPr>
          <w:p w14:paraId="2EABCB3A"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14</w:t>
            </w:r>
          </w:p>
        </w:tc>
        <w:tc>
          <w:tcPr>
            <w:tcW w:w="2910" w:type="dxa"/>
            <w:tcBorders>
              <w:top w:val="nil"/>
              <w:left w:val="nil"/>
              <w:bottom w:val="nil"/>
              <w:right w:val="nil"/>
            </w:tcBorders>
            <w:vAlign w:val="center"/>
            <w:hideMark/>
          </w:tcPr>
          <w:p w14:paraId="0FA048A4"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598 exact terminal PFCA/PFSA biochar–control effect-size rows</w:t>
            </w:r>
          </w:p>
        </w:tc>
        <w:tc>
          <w:tcPr>
            <w:tcW w:w="2847" w:type="dxa"/>
            <w:tcBorders>
              <w:top w:val="nil"/>
              <w:left w:val="nil"/>
              <w:bottom w:val="nil"/>
              <w:right w:val="nil"/>
            </w:tcBorders>
            <w:vAlign w:val="center"/>
            <w:hideMark/>
          </w:tcPr>
          <w:p w14:paraId="130F6385"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Compound-specific and molecular-structure analyses</w:t>
            </w:r>
          </w:p>
        </w:tc>
      </w:tr>
      <w:tr w:rsidR="00006017" w:rsidRPr="00FF1E05" w14:paraId="3EEA5C7B" w14:textId="77777777" w:rsidTr="00EA3112">
        <w:trPr>
          <w:trHeight w:val="603"/>
        </w:trPr>
        <w:tc>
          <w:tcPr>
            <w:tcW w:w="2011" w:type="dxa"/>
            <w:tcBorders>
              <w:top w:val="nil"/>
              <w:left w:val="nil"/>
              <w:bottom w:val="nil"/>
              <w:right w:val="nil"/>
            </w:tcBorders>
            <w:vAlign w:val="center"/>
            <w:hideMark/>
          </w:tcPr>
          <w:p w14:paraId="7D0661B3"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Long- vs short-chain analysis</w:t>
            </w:r>
          </w:p>
        </w:tc>
        <w:tc>
          <w:tcPr>
            <w:tcW w:w="917" w:type="dxa"/>
            <w:tcBorders>
              <w:top w:val="nil"/>
              <w:left w:val="nil"/>
              <w:bottom w:val="nil"/>
              <w:right w:val="nil"/>
            </w:tcBorders>
            <w:vAlign w:val="center"/>
            <w:hideMark/>
          </w:tcPr>
          <w:p w14:paraId="78DF17A5"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12</w:t>
            </w:r>
          </w:p>
        </w:tc>
        <w:tc>
          <w:tcPr>
            <w:tcW w:w="2910" w:type="dxa"/>
            <w:tcBorders>
              <w:top w:val="nil"/>
              <w:left w:val="nil"/>
              <w:bottom w:val="nil"/>
              <w:right w:val="nil"/>
            </w:tcBorders>
            <w:vAlign w:val="center"/>
            <w:hideMark/>
          </w:tcPr>
          <w:p w14:paraId="219B0C74"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One paired long-minus-short contrast per independent study</w:t>
            </w:r>
          </w:p>
        </w:tc>
        <w:tc>
          <w:tcPr>
            <w:tcW w:w="2847" w:type="dxa"/>
            <w:tcBorders>
              <w:top w:val="nil"/>
              <w:left w:val="nil"/>
              <w:bottom w:val="nil"/>
              <w:right w:val="nil"/>
            </w:tcBorders>
            <w:vAlign w:val="center"/>
            <w:hideMark/>
          </w:tcPr>
          <w:p w14:paraId="54398D30"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Chain-class analysis</w:t>
            </w:r>
          </w:p>
        </w:tc>
      </w:tr>
      <w:tr w:rsidR="00006017" w:rsidRPr="00FF1E05" w14:paraId="6EA9B983" w14:textId="77777777" w:rsidTr="00EA3112">
        <w:trPr>
          <w:trHeight w:val="603"/>
        </w:trPr>
        <w:tc>
          <w:tcPr>
            <w:tcW w:w="2011" w:type="dxa"/>
            <w:tcBorders>
              <w:top w:val="nil"/>
              <w:left w:val="nil"/>
              <w:bottom w:val="nil"/>
              <w:right w:val="nil"/>
            </w:tcBorders>
            <w:vAlign w:val="center"/>
            <w:hideMark/>
          </w:tcPr>
          <w:p w14:paraId="3FEA9FB1"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Carbon-number analysis</w:t>
            </w:r>
          </w:p>
        </w:tc>
        <w:tc>
          <w:tcPr>
            <w:tcW w:w="917" w:type="dxa"/>
            <w:tcBorders>
              <w:top w:val="nil"/>
              <w:left w:val="nil"/>
              <w:bottom w:val="nil"/>
              <w:right w:val="nil"/>
            </w:tcBorders>
            <w:vAlign w:val="center"/>
            <w:hideMark/>
          </w:tcPr>
          <w:p w14:paraId="26FD2E4E"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12</w:t>
            </w:r>
          </w:p>
        </w:tc>
        <w:tc>
          <w:tcPr>
            <w:tcW w:w="2910" w:type="dxa"/>
            <w:tcBorders>
              <w:top w:val="nil"/>
              <w:left w:val="nil"/>
              <w:bottom w:val="nil"/>
              <w:right w:val="nil"/>
            </w:tcBorders>
            <w:vAlign w:val="center"/>
            <w:hideMark/>
          </w:tcPr>
          <w:p w14:paraId="59E63A7B"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One headgroup-adjusted carbon-number slope per independent study</w:t>
            </w:r>
          </w:p>
        </w:tc>
        <w:tc>
          <w:tcPr>
            <w:tcW w:w="2847" w:type="dxa"/>
            <w:tcBorders>
              <w:top w:val="nil"/>
              <w:left w:val="nil"/>
              <w:bottom w:val="nil"/>
              <w:right w:val="nil"/>
            </w:tcBorders>
            <w:vAlign w:val="center"/>
            <w:hideMark/>
          </w:tcPr>
          <w:p w14:paraId="705E59D8"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Continuous molecular-structure analysis</w:t>
            </w:r>
          </w:p>
        </w:tc>
      </w:tr>
      <w:tr w:rsidR="00006017" w:rsidRPr="00FF1E05" w14:paraId="568E82B3" w14:textId="77777777" w:rsidTr="00EA3112">
        <w:trPr>
          <w:trHeight w:val="603"/>
        </w:trPr>
        <w:tc>
          <w:tcPr>
            <w:tcW w:w="2011" w:type="dxa"/>
            <w:tcBorders>
              <w:top w:val="nil"/>
              <w:left w:val="nil"/>
              <w:right w:val="nil"/>
            </w:tcBorders>
            <w:vAlign w:val="center"/>
            <w:hideMark/>
          </w:tcPr>
          <w:p w14:paraId="003ED526"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PFSA vs PFCA analysis</w:t>
            </w:r>
          </w:p>
        </w:tc>
        <w:tc>
          <w:tcPr>
            <w:tcW w:w="917" w:type="dxa"/>
            <w:tcBorders>
              <w:top w:val="nil"/>
              <w:left w:val="nil"/>
              <w:right w:val="nil"/>
            </w:tcBorders>
            <w:vAlign w:val="center"/>
            <w:hideMark/>
          </w:tcPr>
          <w:p w14:paraId="0583BE58"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12</w:t>
            </w:r>
          </w:p>
        </w:tc>
        <w:tc>
          <w:tcPr>
            <w:tcW w:w="2910" w:type="dxa"/>
            <w:tcBorders>
              <w:top w:val="nil"/>
              <w:left w:val="nil"/>
              <w:right w:val="nil"/>
            </w:tcBorders>
            <w:vAlign w:val="center"/>
            <w:hideMark/>
          </w:tcPr>
          <w:p w14:paraId="2A29D78A"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One paired PFSA-minus-PFCA contrast per independent study</w:t>
            </w:r>
          </w:p>
        </w:tc>
        <w:tc>
          <w:tcPr>
            <w:tcW w:w="2847" w:type="dxa"/>
            <w:tcBorders>
              <w:top w:val="nil"/>
              <w:left w:val="nil"/>
              <w:right w:val="nil"/>
            </w:tcBorders>
            <w:vAlign w:val="center"/>
            <w:hideMark/>
          </w:tcPr>
          <w:p w14:paraId="223E995E"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Headgroup analysis</w:t>
            </w:r>
          </w:p>
        </w:tc>
      </w:tr>
      <w:tr w:rsidR="00006017" w:rsidRPr="00FF1E05" w14:paraId="6817BE7A" w14:textId="77777777" w:rsidTr="00EA3112">
        <w:trPr>
          <w:trHeight w:val="603"/>
        </w:trPr>
        <w:tc>
          <w:tcPr>
            <w:tcW w:w="2011" w:type="dxa"/>
            <w:tcBorders>
              <w:top w:val="nil"/>
              <w:left w:val="nil"/>
              <w:bottom w:val="single" w:sz="4" w:space="0" w:color="auto"/>
              <w:right w:val="nil"/>
            </w:tcBorders>
            <w:vAlign w:val="center"/>
            <w:hideMark/>
          </w:tcPr>
          <w:p w14:paraId="34390387"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Secondary outcomes</w:t>
            </w:r>
          </w:p>
        </w:tc>
        <w:tc>
          <w:tcPr>
            <w:tcW w:w="917" w:type="dxa"/>
            <w:tcBorders>
              <w:top w:val="nil"/>
              <w:left w:val="nil"/>
              <w:bottom w:val="single" w:sz="4" w:space="0" w:color="auto"/>
              <w:right w:val="nil"/>
            </w:tcBorders>
            <w:vAlign w:val="center"/>
            <w:hideMark/>
          </w:tcPr>
          <w:p w14:paraId="0A4922D2"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3</w:t>
            </w:r>
          </w:p>
        </w:tc>
        <w:tc>
          <w:tcPr>
            <w:tcW w:w="2910" w:type="dxa"/>
            <w:tcBorders>
              <w:top w:val="nil"/>
              <w:left w:val="nil"/>
              <w:bottom w:val="single" w:sz="4" w:space="0" w:color="auto"/>
              <w:right w:val="nil"/>
            </w:tcBorders>
            <w:vAlign w:val="center"/>
            <w:hideMark/>
          </w:tcPr>
          <w:p w14:paraId="32C97E6C"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Studies contributing quantitative soil-retention/accessibility and/or plant-transfer outcomes</w:t>
            </w:r>
          </w:p>
        </w:tc>
        <w:tc>
          <w:tcPr>
            <w:tcW w:w="2847" w:type="dxa"/>
            <w:tcBorders>
              <w:top w:val="nil"/>
              <w:left w:val="nil"/>
              <w:bottom w:val="single" w:sz="4" w:space="0" w:color="auto"/>
              <w:right w:val="nil"/>
            </w:tcBorders>
            <w:vAlign w:val="center"/>
            <w:hideMark/>
          </w:tcPr>
          <w:p w14:paraId="7703CE8C" w14:textId="77777777" w:rsidR="00006017" w:rsidRPr="00FF1E05" w:rsidRDefault="00006017"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Study-specific secondary analyses</w:t>
            </w:r>
          </w:p>
        </w:tc>
      </w:tr>
    </w:tbl>
    <w:p w14:paraId="07F06000" w14:textId="77777777" w:rsidR="00006017" w:rsidRPr="00FF1E05" w:rsidRDefault="00006017" w:rsidP="00730526">
      <w:pPr>
        <w:keepNext/>
        <w:jc w:val="both"/>
        <w:rPr>
          <w:rFonts w:cs="Arial"/>
          <w:color w:val="000000" w:themeColor="text1"/>
          <w:sz w:val="18"/>
          <w:szCs w:val="18"/>
        </w:rPr>
      </w:pPr>
    </w:p>
    <w:p w14:paraId="22685253" w14:textId="040BAD3B" w:rsidR="00006017" w:rsidRPr="00E43036" w:rsidRDefault="00006017" w:rsidP="00730526">
      <w:pPr>
        <w:keepNext/>
        <w:jc w:val="both"/>
        <w:rPr>
          <w:rFonts w:cs="Arial"/>
          <w:color w:val="000000" w:themeColor="text1"/>
          <w:sz w:val="18"/>
          <w:szCs w:val="18"/>
        </w:rPr>
      </w:pPr>
      <w:r w:rsidRPr="00E43036">
        <w:rPr>
          <w:rFonts w:cs="Arial"/>
          <w:color w:val="000000" w:themeColor="text1"/>
          <w:sz w:val="18"/>
          <w:szCs w:val="18"/>
          <w:lang w:val="nl-NL"/>
        </w:rPr>
        <w:t xml:space="preserve">Note: k denotes independent studies. </w:t>
      </w:r>
      <w:r w:rsidRPr="00E43036">
        <w:rPr>
          <w:rFonts w:cs="Arial"/>
          <w:color w:val="000000" w:themeColor="text1"/>
          <w:sz w:val="18"/>
          <w:szCs w:val="18"/>
        </w:rPr>
        <w:t>The 598 compound-resolved effect-size rows were collapsed within study before cross-study inference and were not treated as independent observations.</w:t>
      </w:r>
    </w:p>
    <w:p w14:paraId="79883831" w14:textId="77777777" w:rsidR="003E4704" w:rsidRPr="00FF1E05" w:rsidRDefault="003E4704" w:rsidP="0072319D">
      <w:pPr>
        <w:jc w:val="both"/>
        <w:rPr>
          <w:rFonts w:cs="Arial"/>
          <w:color w:val="000000" w:themeColor="text1"/>
          <w:sz w:val="22"/>
        </w:rPr>
        <w:sectPr w:rsidR="003E4704" w:rsidRPr="00FF1E05" w:rsidSect="0072319D">
          <w:pgSz w:w="11906" w:h="16838"/>
          <w:pgMar w:top="1134" w:right="1700" w:bottom="1134" w:left="1560" w:header="720" w:footer="720" w:gutter="0"/>
          <w:cols w:space="720"/>
          <w:docGrid w:linePitch="360"/>
        </w:sectPr>
      </w:pPr>
    </w:p>
    <w:p w14:paraId="79E09600" w14:textId="77777777" w:rsidR="007F0C34" w:rsidRPr="00FF1E05" w:rsidRDefault="00ED14B9" w:rsidP="0072319D">
      <w:pPr>
        <w:keepNext/>
        <w:jc w:val="both"/>
        <w:rPr>
          <w:rFonts w:cs="Arial"/>
          <w:color w:val="000000" w:themeColor="text1"/>
          <w:sz w:val="18"/>
          <w:szCs w:val="18"/>
        </w:rPr>
      </w:pPr>
      <w:r w:rsidRPr="00FF1E05">
        <w:rPr>
          <w:rFonts w:cs="Arial"/>
          <w:color w:val="000000" w:themeColor="text1"/>
          <w:sz w:val="18"/>
          <w:szCs w:val="18"/>
        </w:rPr>
        <w:lastRenderedPageBreak/>
        <w:t>Table S5. Variance-supported mobility analyses and robustness checks.</w:t>
      </w:r>
    </w:p>
    <w:tbl>
      <w:tblPr>
        <w:tblW w:w="10796" w:type="dxa"/>
        <w:tblInd w:w="108" w:type="dxa"/>
        <w:tblLook w:val="04A0" w:firstRow="1" w:lastRow="0" w:firstColumn="1" w:lastColumn="0" w:noHBand="0" w:noVBand="1"/>
      </w:tblPr>
      <w:tblGrid>
        <w:gridCol w:w="3849"/>
        <w:gridCol w:w="749"/>
        <w:gridCol w:w="1317"/>
        <w:gridCol w:w="1498"/>
        <w:gridCol w:w="1059"/>
        <w:gridCol w:w="852"/>
        <w:gridCol w:w="1472"/>
      </w:tblGrid>
      <w:tr w:rsidR="00283111" w:rsidRPr="00FF1E05" w14:paraId="6741E976" w14:textId="77777777" w:rsidTr="00283111">
        <w:trPr>
          <w:trHeight w:val="285"/>
        </w:trPr>
        <w:tc>
          <w:tcPr>
            <w:tcW w:w="3849" w:type="dxa"/>
            <w:tcBorders>
              <w:top w:val="single" w:sz="4" w:space="0" w:color="auto"/>
              <w:left w:val="nil"/>
              <w:bottom w:val="single" w:sz="4" w:space="0" w:color="auto"/>
              <w:right w:val="nil"/>
            </w:tcBorders>
            <w:shd w:val="clear" w:color="000000" w:fill="EDEDED"/>
            <w:vAlign w:val="center"/>
            <w:hideMark/>
          </w:tcPr>
          <w:p w14:paraId="24B0F17B"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Specification</w:t>
            </w:r>
          </w:p>
        </w:tc>
        <w:tc>
          <w:tcPr>
            <w:tcW w:w="749" w:type="dxa"/>
            <w:tcBorders>
              <w:top w:val="single" w:sz="4" w:space="0" w:color="auto"/>
              <w:left w:val="nil"/>
              <w:bottom w:val="single" w:sz="4" w:space="0" w:color="auto"/>
              <w:right w:val="nil"/>
            </w:tcBorders>
            <w:shd w:val="clear" w:color="000000" w:fill="EDEDED"/>
            <w:vAlign w:val="center"/>
            <w:hideMark/>
          </w:tcPr>
          <w:p w14:paraId="332CC976"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k</w:t>
            </w:r>
          </w:p>
        </w:tc>
        <w:tc>
          <w:tcPr>
            <w:tcW w:w="1317" w:type="dxa"/>
            <w:tcBorders>
              <w:top w:val="single" w:sz="4" w:space="0" w:color="auto"/>
              <w:left w:val="nil"/>
              <w:bottom w:val="single" w:sz="4" w:space="0" w:color="auto"/>
              <w:right w:val="nil"/>
            </w:tcBorders>
            <w:shd w:val="clear" w:color="000000" w:fill="EDEDED"/>
            <w:vAlign w:val="center"/>
            <w:hideMark/>
          </w:tcPr>
          <w:p w14:paraId="58397C2C"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Benefit </w:t>
            </w:r>
            <w:proofErr w:type="spellStart"/>
            <w:r w:rsidRPr="00FF1E05">
              <w:rPr>
                <w:rFonts w:eastAsia="Times New Roman" w:cs="Arial"/>
                <w:color w:val="000000"/>
                <w:sz w:val="18"/>
                <w:szCs w:val="18"/>
                <w:lang w:val="en-GB" w:eastAsia="en-GB"/>
              </w:rPr>
              <w:t>lnRR</w:t>
            </w:r>
            <w:proofErr w:type="spellEnd"/>
          </w:p>
        </w:tc>
        <w:tc>
          <w:tcPr>
            <w:tcW w:w="1498" w:type="dxa"/>
            <w:tcBorders>
              <w:top w:val="single" w:sz="4" w:space="0" w:color="auto"/>
              <w:left w:val="nil"/>
              <w:bottom w:val="single" w:sz="4" w:space="0" w:color="auto"/>
              <w:right w:val="nil"/>
            </w:tcBorders>
            <w:shd w:val="clear" w:color="000000" w:fill="EDEDED"/>
            <w:vAlign w:val="center"/>
            <w:hideMark/>
          </w:tcPr>
          <w:p w14:paraId="305D88B0"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95% CI</w:t>
            </w:r>
          </w:p>
        </w:tc>
        <w:tc>
          <w:tcPr>
            <w:tcW w:w="1059" w:type="dxa"/>
            <w:tcBorders>
              <w:top w:val="single" w:sz="4" w:space="0" w:color="auto"/>
              <w:left w:val="nil"/>
              <w:bottom w:val="single" w:sz="4" w:space="0" w:color="auto"/>
              <w:right w:val="nil"/>
            </w:tcBorders>
            <w:shd w:val="clear" w:color="000000" w:fill="EDEDED"/>
            <w:vAlign w:val="center"/>
            <w:hideMark/>
          </w:tcPr>
          <w:p w14:paraId="0F51A693"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tau²</w:t>
            </w:r>
          </w:p>
        </w:tc>
        <w:tc>
          <w:tcPr>
            <w:tcW w:w="852" w:type="dxa"/>
            <w:tcBorders>
              <w:top w:val="single" w:sz="4" w:space="0" w:color="auto"/>
              <w:left w:val="nil"/>
              <w:bottom w:val="single" w:sz="4" w:space="0" w:color="auto"/>
              <w:right w:val="nil"/>
            </w:tcBorders>
            <w:shd w:val="clear" w:color="000000" w:fill="EDEDED"/>
            <w:vAlign w:val="center"/>
            <w:hideMark/>
          </w:tcPr>
          <w:p w14:paraId="4A7018B0"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I² (%)</w:t>
            </w:r>
          </w:p>
        </w:tc>
        <w:tc>
          <w:tcPr>
            <w:tcW w:w="1472" w:type="dxa"/>
            <w:tcBorders>
              <w:top w:val="single" w:sz="4" w:space="0" w:color="auto"/>
              <w:left w:val="nil"/>
              <w:bottom w:val="single" w:sz="4" w:space="0" w:color="auto"/>
              <w:right w:val="nil"/>
            </w:tcBorders>
            <w:shd w:val="clear" w:color="000000" w:fill="EDEDED"/>
            <w:vAlign w:val="center"/>
            <w:hideMark/>
          </w:tcPr>
          <w:p w14:paraId="496FF61F"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Point reduction (%)</w:t>
            </w:r>
          </w:p>
        </w:tc>
      </w:tr>
      <w:tr w:rsidR="00283111" w:rsidRPr="00FF1E05" w14:paraId="28EEDE6B" w14:textId="77777777" w:rsidTr="00283111">
        <w:trPr>
          <w:trHeight w:val="865"/>
        </w:trPr>
        <w:tc>
          <w:tcPr>
            <w:tcW w:w="3849" w:type="dxa"/>
            <w:tcBorders>
              <w:top w:val="single" w:sz="4" w:space="0" w:color="auto"/>
              <w:left w:val="nil"/>
              <w:bottom w:val="nil"/>
              <w:right w:val="nil"/>
            </w:tcBorders>
            <w:vAlign w:val="center"/>
            <w:hideMark/>
          </w:tcPr>
          <w:p w14:paraId="66A64AC7" w14:textId="622BEDBB"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Study-level REML + Hartung-Knapp (</w:t>
            </w:r>
            <w:r w:rsidR="008B432A" w:rsidRPr="00FF1E05">
              <w:rPr>
                <w:sz w:val="18"/>
                <w:szCs w:val="18"/>
              </w:rPr>
              <w:t>ρ</w:t>
            </w:r>
            <w:r w:rsidRPr="00FF1E05">
              <w:rPr>
                <w:rFonts w:eastAsia="Times New Roman" w:cs="Arial"/>
                <w:color w:val="000000"/>
                <w:sz w:val="18"/>
                <w:szCs w:val="18"/>
                <w:lang w:val="en-GB" w:eastAsia="en-GB"/>
              </w:rPr>
              <w:t>=0.0)</w:t>
            </w:r>
          </w:p>
        </w:tc>
        <w:tc>
          <w:tcPr>
            <w:tcW w:w="749" w:type="dxa"/>
            <w:tcBorders>
              <w:top w:val="single" w:sz="4" w:space="0" w:color="auto"/>
              <w:left w:val="nil"/>
              <w:bottom w:val="nil"/>
              <w:right w:val="nil"/>
            </w:tcBorders>
            <w:vAlign w:val="center"/>
            <w:hideMark/>
          </w:tcPr>
          <w:p w14:paraId="148F9840"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6</w:t>
            </w:r>
          </w:p>
        </w:tc>
        <w:tc>
          <w:tcPr>
            <w:tcW w:w="1317" w:type="dxa"/>
            <w:tcBorders>
              <w:top w:val="single" w:sz="4" w:space="0" w:color="auto"/>
              <w:left w:val="nil"/>
              <w:bottom w:val="nil"/>
              <w:right w:val="nil"/>
            </w:tcBorders>
            <w:vAlign w:val="center"/>
            <w:hideMark/>
          </w:tcPr>
          <w:p w14:paraId="63D08E90"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2.351</w:t>
            </w:r>
          </w:p>
        </w:tc>
        <w:tc>
          <w:tcPr>
            <w:tcW w:w="1498" w:type="dxa"/>
            <w:tcBorders>
              <w:top w:val="single" w:sz="4" w:space="0" w:color="auto"/>
              <w:left w:val="nil"/>
              <w:bottom w:val="nil"/>
              <w:right w:val="nil"/>
            </w:tcBorders>
            <w:vAlign w:val="center"/>
            <w:hideMark/>
          </w:tcPr>
          <w:p w14:paraId="52FA16CF"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-0.460 to 5.162</w:t>
            </w:r>
          </w:p>
        </w:tc>
        <w:tc>
          <w:tcPr>
            <w:tcW w:w="1059" w:type="dxa"/>
            <w:tcBorders>
              <w:top w:val="single" w:sz="4" w:space="0" w:color="auto"/>
              <w:left w:val="nil"/>
              <w:bottom w:val="nil"/>
              <w:right w:val="nil"/>
            </w:tcBorders>
            <w:vAlign w:val="center"/>
            <w:hideMark/>
          </w:tcPr>
          <w:p w14:paraId="5F49DDA3"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7.13</w:t>
            </w:r>
          </w:p>
        </w:tc>
        <w:tc>
          <w:tcPr>
            <w:tcW w:w="852" w:type="dxa"/>
            <w:tcBorders>
              <w:top w:val="single" w:sz="4" w:space="0" w:color="auto"/>
              <w:left w:val="nil"/>
              <w:bottom w:val="nil"/>
              <w:right w:val="nil"/>
            </w:tcBorders>
            <w:vAlign w:val="center"/>
            <w:hideMark/>
          </w:tcPr>
          <w:p w14:paraId="2FC89945"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100</w:t>
            </w:r>
          </w:p>
        </w:tc>
        <w:tc>
          <w:tcPr>
            <w:tcW w:w="1472" w:type="dxa"/>
            <w:tcBorders>
              <w:top w:val="single" w:sz="4" w:space="0" w:color="auto"/>
              <w:left w:val="nil"/>
              <w:bottom w:val="nil"/>
              <w:right w:val="nil"/>
            </w:tcBorders>
            <w:vAlign w:val="center"/>
            <w:hideMark/>
          </w:tcPr>
          <w:p w14:paraId="3DACCADA"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90.5</w:t>
            </w:r>
          </w:p>
        </w:tc>
      </w:tr>
      <w:tr w:rsidR="00283111" w:rsidRPr="00FF1E05" w14:paraId="35B25E0A" w14:textId="77777777" w:rsidTr="00283111">
        <w:trPr>
          <w:trHeight w:val="346"/>
        </w:trPr>
        <w:tc>
          <w:tcPr>
            <w:tcW w:w="3849" w:type="dxa"/>
            <w:tcBorders>
              <w:top w:val="nil"/>
              <w:left w:val="nil"/>
              <w:bottom w:val="nil"/>
              <w:right w:val="nil"/>
            </w:tcBorders>
            <w:vAlign w:val="center"/>
            <w:hideMark/>
          </w:tcPr>
          <w:p w14:paraId="6ED784D0" w14:textId="612043C1"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Study-level REML + Hartung-Knapp (</w:t>
            </w:r>
            <w:r w:rsidR="008B432A" w:rsidRPr="00FF1E05">
              <w:rPr>
                <w:sz w:val="18"/>
                <w:szCs w:val="18"/>
              </w:rPr>
              <w:t>ρ</w:t>
            </w:r>
            <w:r w:rsidRPr="00FF1E05">
              <w:rPr>
                <w:rFonts w:eastAsia="Times New Roman" w:cs="Arial"/>
                <w:color w:val="000000"/>
                <w:sz w:val="18"/>
                <w:szCs w:val="18"/>
                <w:lang w:val="en-GB" w:eastAsia="en-GB"/>
              </w:rPr>
              <w:t>=0.3)</w:t>
            </w:r>
          </w:p>
        </w:tc>
        <w:tc>
          <w:tcPr>
            <w:tcW w:w="749" w:type="dxa"/>
            <w:tcBorders>
              <w:top w:val="nil"/>
              <w:left w:val="nil"/>
              <w:bottom w:val="nil"/>
              <w:right w:val="nil"/>
            </w:tcBorders>
            <w:vAlign w:val="center"/>
            <w:hideMark/>
          </w:tcPr>
          <w:p w14:paraId="5D0F0683"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6</w:t>
            </w:r>
          </w:p>
        </w:tc>
        <w:tc>
          <w:tcPr>
            <w:tcW w:w="1317" w:type="dxa"/>
            <w:tcBorders>
              <w:top w:val="nil"/>
              <w:left w:val="nil"/>
              <w:bottom w:val="nil"/>
              <w:right w:val="nil"/>
            </w:tcBorders>
            <w:vAlign w:val="center"/>
            <w:hideMark/>
          </w:tcPr>
          <w:p w14:paraId="2479BF9C"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2.351</w:t>
            </w:r>
          </w:p>
        </w:tc>
        <w:tc>
          <w:tcPr>
            <w:tcW w:w="1498" w:type="dxa"/>
            <w:tcBorders>
              <w:top w:val="nil"/>
              <w:left w:val="nil"/>
              <w:bottom w:val="nil"/>
              <w:right w:val="nil"/>
            </w:tcBorders>
            <w:vAlign w:val="center"/>
            <w:hideMark/>
          </w:tcPr>
          <w:p w14:paraId="6DB88C5A"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-0.461 to 5.162</w:t>
            </w:r>
          </w:p>
        </w:tc>
        <w:tc>
          <w:tcPr>
            <w:tcW w:w="1059" w:type="dxa"/>
            <w:tcBorders>
              <w:top w:val="nil"/>
              <w:left w:val="nil"/>
              <w:bottom w:val="nil"/>
              <w:right w:val="nil"/>
            </w:tcBorders>
            <w:vAlign w:val="center"/>
            <w:hideMark/>
          </w:tcPr>
          <w:p w14:paraId="5BED39E0"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7.11</w:t>
            </w:r>
          </w:p>
        </w:tc>
        <w:tc>
          <w:tcPr>
            <w:tcW w:w="852" w:type="dxa"/>
            <w:tcBorders>
              <w:top w:val="nil"/>
              <w:left w:val="nil"/>
              <w:bottom w:val="nil"/>
              <w:right w:val="nil"/>
            </w:tcBorders>
            <w:vAlign w:val="center"/>
            <w:hideMark/>
          </w:tcPr>
          <w:p w14:paraId="36D236D8"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99.9</w:t>
            </w:r>
          </w:p>
        </w:tc>
        <w:tc>
          <w:tcPr>
            <w:tcW w:w="1472" w:type="dxa"/>
            <w:tcBorders>
              <w:top w:val="nil"/>
              <w:left w:val="nil"/>
              <w:bottom w:val="nil"/>
              <w:right w:val="nil"/>
            </w:tcBorders>
            <w:vAlign w:val="center"/>
            <w:hideMark/>
          </w:tcPr>
          <w:p w14:paraId="398EC899"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90.5</w:t>
            </w:r>
          </w:p>
        </w:tc>
      </w:tr>
      <w:tr w:rsidR="00283111" w:rsidRPr="00FF1E05" w14:paraId="7DA1B63F" w14:textId="77777777" w:rsidTr="00283111">
        <w:trPr>
          <w:trHeight w:val="769"/>
        </w:trPr>
        <w:tc>
          <w:tcPr>
            <w:tcW w:w="3849" w:type="dxa"/>
            <w:tcBorders>
              <w:top w:val="nil"/>
              <w:left w:val="nil"/>
              <w:bottom w:val="nil"/>
              <w:right w:val="nil"/>
            </w:tcBorders>
            <w:vAlign w:val="center"/>
            <w:hideMark/>
          </w:tcPr>
          <w:p w14:paraId="16CE71EA" w14:textId="3E590373"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Study-level REML + Hartung-Knapp (</w:t>
            </w:r>
            <w:r w:rsidR="008B432A" w:rsidRPr="00FF1E05">
              <w:rPr>
                <w:sz w:val="18"/>
                <w:szCs w:val="18"/>
              </w:rPr>
              <w:t>ρ</w:t>
            </w:r>
            <w:r w:rsidRPr="00FF1E05">
              <w:rPr>
                <w:rFonts w:eastAsia="Times New Roman" w:cs="Arial"/>
                <w:color w:val="000000"/>
                <w:sz w:val="18"/>
                <w:szCs w:val="18"/>
                <w:lang w:val="en-GB" w:eastAsia="en-GB"/>
              </w:rPr>
              <w:t>=0.5)</w:t>
            </w:r>
          </w:p>
        </w:tc>
        <w:tc>
          <w:tcPr>
            <w:tcW w:w="749" w:type="dxa"/>
            <w:tcBorders>
              <w:top w:val="nil"/>
              <w:left w:val="nil"/>
              <w:bottom w:val="nil"/>
              <w:right w:val="nil"/>
            </w:tcBorders>
            <w:vAlign w:val="center"/>
            <w:hideMark/>
          </w:tcPr>
          <w:p w14:paraId="08F4CE0A"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6</w:t>
            </w:r>
          </w:p>
        </w:tc>
        <w:tc>
          <w:tcPr>
            <w:tcW w:w="1317" w:type="dxa"/>
            <w:tcBorders>
              <w:top w:val="nil"/>
              <w:left w:val="nil"/>
              <w:bottom w:val="nil"/>
              <w:right w:val="nil"/>
            </w:tcBorders>
            <w:vAlign w:val="center"/>
            <w:hideMark/>
          </w:tcPr>
          <w:p w14:paraId="329119AB"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2.35</w:t>
            </w:r>
          </w:p>
        </w:tc>
        <w:tc>
          <w:tcPr>
            <w:tcW w:w="1498" w:type="dxa"/>
            <w:tcBorders>
              <w:top w:val="nil"/>
              <w:left w:val="nil"/>
              <w:bottom w:val="nil"/>
              <w:right w:val="nil"/>
            </w:tcBorders>
            <w:vAlign w:val="center"/>
            <w:hideMark/>
          </w:tcPr>
          <w:p w14:paraId="03928C44"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-0.461 to 5.162</w:t>
            </w:r>
          </w:p>
        </w:tc>
        <w:tc>
          <w:tcPr>
            <w:tcW w:w="1059" w:type="dxa"/>
            <w:tcBorders>
              <w:top w:val="nil"/>
              <w:left w:val="nil"/>
              <w:bottom w:val="nil"/>
              <w:right w:val="nil"/>
            </w:tcBorders>
            <w:vAlign w:val="center"/>
            <w:hideMark/>
          </w:tcPr>
          <w:p w14:paraId="281BC9B2"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7.09</w:t>
            </w:r>
          </w:p>
        </w:tc>
        <w:tc>
          <w:tcPr>
            <w:tcW w:w="852" w:type="dxa"/>
            <w:tcBorders>
              <w:top w:val="nil"/>
              <w:left w:val="nil"/>
              <w:bottom w:val="nil"/>
              <w:right w:val="nil"/>
            </w:tcBorders>
            <w:vAlign w:val="center"/>
            <w:hideMark/>
          </w:tcPr>
          <w:p w14:paraId="4D1585F5"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99.8</w:t>
            </w:r>
          </w:p>
        </w:tc>
        <w:tc>
          <w:tcPr>
            <w:tcW w:w="1472" w:type="dxa"/>
            <w:tcBorders>
              <w:top w:val="nil"/>
              <w:left w:val="nil"/>
              <w:bottom w:val="nil"/>
              <w:right w:val="nil"/>
            </w:tcBorders>
            <w:vAlign w:val="center"/>
            <w:hideMark/>
          </w:tcPr>
          <w:p w14:paraId="4DC0EF1B"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90.5</w:t>
            </w:r>
          </w:p>
        </w:tc>
      </w:tr>
      <w:tr w:rsidR="00283111" w:rsidRPr="00FF1E05" w14:paraId="1ACEBB9B" w14:textId="77777777" w:rsidTr="00283111">
        <w:trPr>
          <w:trHeight w:val="346"/>
        </w:trPr>
        <w:tc>
          <w:tcPr>
            <w:tcW w:w="3849" w:type="dxa"/>
            <w:tcBorders>
              <w:top w:val="nil"/>
              <w:left w:val="nil"/>
              <w:bottom w:val="nil"/>
              <w:right w:val="nil"/>
            </w:tcBorders>
            <w:vAlign w:val="center"/>
            <w:hideMark/>
          </w:tcPr>
          <w:p w14:paraId="3FD98E1E" w14:textId="5416BD66"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Study-level REML + Hartung-Knapp (</w:t>
            </w:r>
            <w:r w:rsidR="008B432A" w:rsidRPr="00FF1E05">
              <w:rPr>
                <w:sz w:val="18"/>
                <w:szCs w:val="18"/>
              </w:rPr>
              <w:t>ρ</w:t>
            </w:r>
            <w:r w:rsidRPr="00FF1E05">
              <w:rPr>
                <w:rFonts w:eastAsia="Times New Roman" w:cs="Arial"/>
                <w:color w:val="000000"/>
                <w:sz w:val="18"/>
                <w:szCs w:val="18"/>
                <w:lang w:val="en-GB" w:eastAsia="en-GB"/>
              </w:rPr>
              <w:t>=0.8)</w:t>
            </w:r>
          </w:p>
        </w:tc>
        <w:tc>
          <w:tcPr>
            <w:tcW w:w="749" w:type="dxa"/>
            <w:tcBorders>
              <w:top w:val="nil"/>
              <w:left w:val="nil"/>
              <w:bottom w:val="nil"/>
              <w:right w:val="nil"/>
            </w:tcBorders>
            <w:vAlign w:val="center"/>
            <w:hideMark/>
          </w:tcPr>
          <w:p w14:paraId="182DD8DC"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6</w:t>
            </w:r>
          </w:p>
        </w:tc>
        <w:tc>
          <w:tcPr>
            <w:tcW w:w="1317" w:type="dxa"/>
            <w:tcBorders>
              <w:top w:val="nil"/>
              <w:left w:val="nil"/>
              <w:bottom w:val="nil"/>
              <w:right w:val="nil"/>
            </w:tcBorders>
            <w:vAlign w:val="center"/>
            <w:hideMark/>
          </w:tcPr>
          <w:p w14:paraId="31E54019"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2.35</w:t>
            </w:r>
          </w:p>
        </w:tc>
        <w:tc>
          <w:tcPr>
            <w:tcW w:w="1498" w:type="dxa"/>
            <w:tcBorders>
              <w:top w:val="nil"/>
              <w:left w:val="nil"/>
              <w:bottom w:val="nil"/>
              <w:right w:val="nil"/>
            </w:tcBorders>
            <w:vAlign w:val="center"/>
            <w:hideMark/>
          </w:tcPr>
          <w:p w14:paraId="42D8C032"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-0.462 to 5.162</w:t>
            </w:r>
          </w:p>
        </w:tc>
        <w:tc>
          <w:tcPr>
            <w:tcW w:w="1059" w:type="dxa"/>
            <w:tcBorders>
              <w:top w:val="nil"/>
              <w:left w:val="nil"/>
              <w:bottom w:val="nil"/>
              <w:right w:val="nil"/>
            </w:tcBorders>
            <w:vAlign w:val="center"/>
            <w:hideMark/>
          </w:tcPr>
          <w:p w14:paraId="10521216"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7.07</w:t>
            </w:r>
          </w:p>
        </w:tc>
        <w:tc>
          <w:tcPr>
            <w:tcW w:w="852" w:type="dxa"/>
            <w:tcBorders>
              <w:top w:val="nil"/>
              <w:left w:val="nil"/>
              <w:bottom w:val="nil"/>
              <w:right w:val="nil"/>
            </w:tcBorders>
            <w:vAlign w:val="center"/>
            <w:hideMark/>
          </w:tcPr>
          <w:p w14:paraId="378C9A41"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99.8</w:t>
            </w:r>
          </w:p>
        </w:tc>
        <w:tc>
          <w:tcPr>
            <w:tcW w:w="1472" w:type="dxa"/>
            <w:tcBorders>
              <w:top w:val="nil"/>
              <w:left w:val="nil"/>
              <w:bottom w:val="nil"/>
              <w:right w:val="nil"/>
            </w:tcBorders>
            <w:vAlign w:val="center"/>
            <w:hideMark/>
          </w:tcPr>
          <w:p w14:paraId="2806754C"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90.5</w:t>
            </w:r>
          </w:p>
        </w:tc>
      </w:tr>
      <w:tr w:rsidR="00283111" w:rsidRPr="00FF1E05" w14:paraId="4D34252B" w14:textId="77777777" w:rsidTr="00283111">
        <w:trPr>
          <w:trHeight w:val="346"/>
        </w:trPr>
        <w:tc>
          <w:tcPr>
            <w:tcW w:w="3849" w:type="dxa"/>
            <w:tcBorders>
              <w:top w:val="nil"/>
              <w:left w:val="nil"/>
              <w:bottom w:val="nil"/>
              <w:right w:val="nil"/>
            </w:tcBorders>
            <w:vAlign w:val="center"/>
            <w:hideMark/>
          </w:tcPr>
          <w:p w14:paraId="07FFD85E"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Four-level REML + study-clustered CR2</w:t>
            </w:r>
          </w:p>
        </w:tc>
        <w:tc>
          <w:tcPr>
            <w:tcW w:w="749" w:type="dxa"/>
            <w:tcBorders>
              <w:top w:val="nil"/>
              <w:left w:val="nil"/>
              <w:bottom w:val="nil"/>
              <w:right w:val="nil"/>
            </w:tcBorders>
            <w:vAlign w:val="center"/>
            <w:hideMark/>
          </w:tcPr>
          <w:p w14:paraId="7D1C4451"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6</w:t>
            </w:r>
          </w:p>
        </w:tc>
        <w:tc>
          <w:tcPr>
            <w:tcW w:w="1317" w:type="dxa"/>
            <w:tcBorders>
              <w:top w:val="nil"/>
              <w:left w:val="nil"/>
              <w:bottom w:val="nil"/>
              <w:right w:val="nil"/>
            </w:tcBorders>
            <w:vAlign w:val="center"/>
            <w:hideMark/>
          </w:tcPr>
          <w:p w14:paraId="4075E424"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2.431</w:t>
            </w:r>
          </w:p>
        </w:tc>
        <w:tc>
          <w:tcPr>
            <w:tcW w:w="1498" w:type="dxa"/>
            <w:tcBorders>
              <w:top w:val="nil"/>
              <w:left w:val="nil"/>
              <w:bottom w:val="nil"/>
              <w:right w:val="nil"/>
            </w:tcBorders>
            <w:vAlign w:val="center"/>
            <w:hideMark/>
          </w:tcPr>
          <w:p w14:paraId="05BE17B7"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-0.337 to 5.199</w:t>
            </w:r>
          </w:p>
        </w:tc>
        <w:tc>
          <w:tcPr>
            <w:tcW w:w="1059" w:type="dxa"/>
            <w:tcBorders>
              <w:top w:val="nil"/>
              <w:left w:val="nil"/>
              <w:bottom w:val="nil"/>
              <w:right w:val="nil"/>
            </w:tcBorders>
            <w:vAlign w:val="center"/>
            <w:hideMark/>
          </w:tcPr>
          <w:p w14:paraId="68A08AC4"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11.88</w:t>
            </w:r>
          </w:p>
        </w:tc>
        <w:tc>
          <w:tcPr>
            <w:tcW w:w="852" w:type="dxa"/>
            <w:tcBorders>
              <w:top w:val="nil"/>
              <w:left w:val="nil"/>
              <w:bottom w:val="nil"/>
              <w:right w:val="nil"/>
            </w:tcBorders>
            <w:vAlign w:val="center"/>
            <w:hideMark/>
          </w:tcPr>
          <w:p w14:paraId="71F85F63"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w:t>
            </w:r>
          </w:p>
        </w:tc>
        <w:tc>
          <w:tcPr>
            <w:tcW w:w="1472" w:type="dxa"/>
            <w:tcBorders>
              <w:top w:val="nil"/>
              <w:left w:val="nil"/>
              <w:bottom w:val="nil"/>
              <w:right w:val="nil"/>
            </w:tcBorders>
            <w:vAlign w:val="center"/>
            <w:hideMark/>
          </w:tcPr>
          <w:p w14:paraId="60703F2A"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91.2</w:t>
            </w:r>
          </w:p>
        </w:tc>
      </w:tr>
      <w:tr w:rsidR="00283111" w:rsidRPr="00FF1E05" w14:paraId="27163DB5" w14:textId="77777777" w:rsidTr="00283111">
        <w:trPr>
          <w:trHeight w:val="346"/>
        </w:trPr>
        <w:tc>
          <w:tcPr>
            <w:tcW w:w="3849" w:type="dxa"/>
            <w:tcBorders>
              <w:top w:val="nil"/>
              <w:left w:val="nil"/>
              <w:bottom w:val="nil"/>
              <w:right w:val="nil"/>
            </w:tcBorders>
            <w:vAlign w:val="center"/>
            <w:hideMark/>
          </w:tcPr>
          <w:p w14:paraId="6482C693"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Three-level REML + study-clustered CR2</w:t>
            </w:r>
          </w:p>
        </w:tc>
        <w:tc>
          <w:tcPr>
            <w:tcW w:w="749" w:type="dxa"/>
            <w:tcBorders>
              <w:top w:val="nil"/>
              <w:left w:val="nil"/>
              <w:bottom w:val="nil"/>
              <w:right w:val="nil"/>
            </w:tcBorders>
            <w:vAlign w:val="center"/>
            <w:hideMark/>
          </w:tcPr>
          <w:p w14:paraId="0808DB15"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6</w:t>
            </w:r>
          </w:p>
        </w:tc>
        <w:tc>
          <w:tcPr>
            <w:tcW w:w="1317" w:type="dxa"/>
            <w:tcBorders>
              <w:top w:val="nil"/>
              <w:left w:val="nil"/>
              <w:bottom w:val="nil"/>
              <w:right w:val="nil"/>
            </w:tcBorders>
            <w:vAlign w:val="center"/>
            <w:hideMark/>
          </w:tcPr>
          <w:p w14:paraId="56C97AC3"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w:t>
            </w:r>
          </w:p>
        </w:tc>
        <w:tc>
          <w:tcPr>
            <w:tcW w:w="1498" w:type="dxa"/>
            <w:tcBorders>
              <w:top w:val="nil"/>
              <w:left w:val="nil"/>
              <w:bottom w:val="nil"/>
              <w:right w:val="nil"/>
            </w:tcBorders>
            <w:vAlign w:val="center"/>
            <w:hideMark/>
          </w:tcPr>
          <w:p w14:paraId="0A776548"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-0.437 to 4.437</w:t>
            </w:r>
          </w:p>
        </w:tc>
        <w:tc>
          <w:tcPr>
            <w:tcW w:w="1059" w:type="dxa"/>
            <w:tcBorders>
              <w:top w:val="nil"/>
              <w:left w:val="nil"/>
              <w:bottom w:val="nil"/>
              <w:right w:val="nil"/>
            </w:tcBorders>
            <w:vAlign w:val="center"/>
            <w:hideMark/>
          </w:tcPr>
          <w:p w14:paraId="217537DA"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10.13</w:t>
            </w:r>
          </w:p>
        </w:tc>
        <w:tc>
          <w:tcPr>
            <w:tcW w:w="852" w:type="dxa"/>
            <w:tcBorders>
              <w:top w:val="nil"/>
              <w:left w:val="nil"/>
              <w:bottom w:val="nil"/>
              <w:right w:val="nil"/>
            </w:tcBorders>
            <w:vAlign w:val="center"/>
            <w:hideMark/>
          </w:tcPr>
          <w:p w14:paraId="28EC5E9E"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w:t>
            </w:r>
          </w:p>
        </w:tc>
        <w:tc>
          <w:tcPr>
            <w:tcW w:w="1472" w:type="dxa"/>
            <w:tcBorders>
              <w:top w:val="nil"/>
              <w:left w:val="nil"/>
              <w:bottom w:val="nil"/>
              <w:right w:val="nil"/>
            </w:tcBorders>
            <w:vAlign w:val="center"/>
            <w:hideMark/>
          </w:tcPr>
          <w:p w14:paraId="0EF6A4A0"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86.5</w:t>
            </w:r>
          </w:p>
        </w:tc>
      </w:tr>
      <w:tr w:rsidR="00283111" w:rsidRPr="00FF1E05" w14:paraId="4093770A" w14:textId="77777777" w:rsidTr="00283111">
        <w:trPr>
          <w:trHeight w:val="346"/>
        </w:trPr>
        <w:tc>
          <w:tcPr>
            <w:tcW w:w="3849" w:type="dxa"/>
            <w:tcBorders>
              <w:top w:val="nil"/>
              <w:left w:val="nil"/>
              <w:right w:val="nil"/>
            </w:tcBorders>
            <w:vAlign w:val="center"/>
            <w:hideMark/>
          </w:tcPr>
          <w:p w14:paraId="1B4A0958"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Askeland et al. (2020): reported ± treated as SD</w:t>
            </w:r>
          </w:p>
        </w:tc>
        <w:tc>
          <w:tcPr>
            <w:tcW w:w="749" w:type="dxa"/>
            <w:tcBorders>
              <w:top w:val="nil"/>
              <w:left w:val="nil"/>
              <w:right w:val="nil"/>
            </w:tcBorders>
            <w:vAlign w:val="center"/>
            <w:hideMark/>
          </w:tcPr>
          <w:p w14:paraId="02553E7A"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6</w:t>
            </w:r>
          </w:p>
        </w:tc>
        <w:tc>
          <w:tcPr>
            <w:tcW w:w="1317" w:type="dxa"/>
            <w:tcBorders>
              <w:top w:val="nil"/>
              <w:left w:val="nil"/>
              <w:right w:val="nil"/>
            </w:tcBorders>
            <w:vAlign w:val="center"/>
            <w:hideMark/>
          </w:tcPr>
          <w:p w14:paraId="1B4A8911"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2.431</w:t>
            </w:r>
          </w:p>
        </w:tc>
        <w:tc>
          <w:tcPr>
            <w:tcW w:w="1498" w:type="dxa"/>
            <w:tcBorders>
              <w:top w:val="nil"/>
              <w:left w:val="nil"/>
              <w:right w:val="nil"/>
            </w:tcBorders>
            <w:vAlign w:val="center"/>
            <w:hideMark/>
          </w:tcPr>
          <w:p w14:paraId="1579143E"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-0.337 to 5.199</w:t>
            </w:r>
          </w:p>
        </w:tc>
        <w:tc>
          <w:tcPr>
            <w:tcW w:w="1059" w:type="dxa"/>
            <w:tcBorders>
              <w:top w:val="nil"/>
              <w:left w:val="nil"/>
              <w:right w:val="nil"/>
            </w:tcBorders>
            <w:vAlign w:val="center"/>
            <w:hideMark/>
          </w:tcPr>
          <w:p w14:paraId="610A4871"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11.88</w:t>
            </w:r>
          </w:p>
        </w:tc>
        <w:tc>
          <w:tcPr>
            <w:tcW w:w="852" w:type="dxa"/>
            <w:tcBorders>
              <w:top w:val="nil"/>
              <w:left w:val="nil"/>
              <w:right w:val="nil"/>
            </w:tcBorders>
            <w:vAlign w:val="center"/>
            <w:hideMark/>
          </w:tcPr>
          <w:p w14:paraId="628A008C"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w:t>
            </w:r>
          </w:p>
        </w:tc>
        <w:tc>
          <w:tcPr>
            <w:tcW w:w="1472" w:type="dxa"/>
            <w:tcBorders>
              <w:top w:val="nil"/>
              <w:left w:val="nil"/>
              <w:right w:val="nil"/>
            </w:tcBorders>
            <w:vAlign w:val="center"/>
            <w:hideMark/>
          </w:tcPr>
          <w:p w14:paraId="6343F178"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91.2</w:t>
            </w:r>
          </w:p>
        </w:tc>
      </w:tr>
      <w:tr w:rsidR="00283111" w:rsidRPr="00FF1E05" w14:paraId="3B2B2EA3" w14:textId="77777777" w:rsidTr="00283111">
        <w:trPr>
          <w:trHeight w:val="346"/>
        </w:trPr>
        <w:tc>
          <w:tcPr>
            <w:tcW w:w="3849" w:type="dxa"/>
            <w:tcBorders>
              <w:top w:val="nil"/>
              <w:left w:val="nil"/>
              <w:bottom w:val="single" w:sz="4" w:space="0" w:color="auto"/>
              <w:right w:val="nil"/>
            </w:tcBorders>
            <w:vAlign w:val="center"/>
            <w:hideMark/>
          </w:tcPr>
          <w:p w14:paraId="744A8A6E"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Askeland et al. (2020): reported ± treated as SE</w:t>
            </w:r>
          </w:p>
        </w:tc>
        <w:tc>
          <w:tcPr>
            <w:tcW w:w="749" w:type="dxa"/>
            <w:tcBorders>
              <w:top w:val="nil"/>
              <w:left w:val="nil"/>
              <w:bottom w:val="single" w:sz="4" w:space="0" w:color="auto"/>
              <w:right w:val="nil"/>
            </w:tcBorders>
            <w:vAlign w:val="center"/>
            <w:hideMark/>
          </w:tcPr>
          <w:p w14:paraId="6AAD88F5"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6</w:t>
            </w:r>
          </w:p>
        </w:tc>
        <w:tc>
          <w:tcPr>
            <w:tcW w:w="1317" w:type="dxa"/>
            <w:tcBorders>
              <w:top w:val="nil"/>
              <w:left w:val="nil"/>
              <w:bottom w:val="single" w:sz="4" w:space="0" w:color="auto"/>
              <w:right w:val="nil"/>
            </w:tcBorders>
            <w:vAlign w:val="center"/>
            <w:hideMark/>
          </w:tcPr>
          <w:p w14:paraId="1E6C0788"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2.431</w:t>
            </w:r>
          </w:p>
        </w:tc>
        <w:tc>
          <w:tcPr>
            <w:tcW w:w="1498" w:type="dxa"/>
            <w:tcBorders>
              <w:top w:val="nil"/>
              <w:left w:val="nil"/>
              <w:bottom w:val="single" w:sz="4" w:space="0" w:color="auto"/>
              <w:right w:val="nil"/>
            </w:tcBorders>
            <w:vAlign w:val="center"/>
            <w:hideMark/>
          </w:tcPr>
          <w:p w14:paraId="3169AECB"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-0.337 to 5.199</w:t>
            </w:r>
          </w:p>
        </w:tc>
        <w:tc>
          <w:tcPr>
            <w:tcW w:w="1059" w:type="dxa"/>
            <w:tcBorders>
              <w:top w:val="nil"/>
              <w:left w:val="nil"/>
              <w:bottom w:val="single" w:sz="4" w:space="0" w:color="auto"/>
              <w:right w:val="nil"/>
            </w:tcBorders>
            <w:vAlign w:val="center"/>
            <w:hideMark/>
          </w:tcPr>
          <w:p w14:paraId="3E63790A"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11.88</w:t>
            </w:r>
          </w:p>
        </w:tc>
        <w:tc>
          <w:tcPr>
            <w:tcW w:w="852" w:type="dxa"/>
            <w:tcBorders>
              <w:top w:val="nil"/>
              <w:left w:val="nil"/>
              <w:bottom w:val="single" w:sz="4" w:space="0" w:color="auto"/>
              <w:right w:val="nil"/>
            </w:tcBorders>
            <w:vAlign w:val="center"/>
            <w:hideMark/>
          </w:tcPr>
          <w:p w14:paraId="09273F91"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w:t>
            </w:r>
          </w:p>
        </w:tc>
        <w:tc>
          <w:tcPr>
            <w:tcW w:w="1472" w:type="dxa"/>
            <w:tcBorders>
              <w:top w:val="nil"/>
              <w:left w:val="nil"/>
              <w:bottom w:val="single" w:sz="4" w:space="0" w:color="auto"/>
              <w:right w:val="nil"/>
            </w:tcBorders>
            <w:vAlign w:val="center"/>
            <w:hideMark/>
          </w:tcPr>
          <w:p w14:paraId="41BE435D" w14:textId="77777777" w:rsidR="00283111" w:rsidRPr="00FF1E05" w:rsidRDefault="00283111" w:rsidP="00283111">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91.2</w:t>
            </w:r>
          </w:p>
        </w:tc>
      </w:tr>
    </w:tbl>
    <w:p w14:paraId="41042AA5" w14:textId="77777777" w:rsidR="00D72E55" w:rsidRPr="00FF1E05" w:rsidRDefault="00D72E55" w:rsidP="0072319D">
      <w:pPr>
        <w:jc w:val="both"/>
        <w:rPr>
          <w:rFonts w:cs="Arial"/>
          <w:iCs/>
          <w:color w:val="000000" w:themeColor="text1"/>
          <w:sz w:val="18"/>
          <w:szCs w:val="18"/>
        </w:rPr>
      </w:pPr>
    </w:p>
    <w:p w14:paraId="31261FE7" w14:textId="7EEA4205" w:rsidR="007F0C34" w:rsidRPr="00E43036" w:rsidRDefault="007F56D9" w:rsidP="0072319D">
      <w:pPr>
        <w:jc w:val="both"/>
        <w:rPr>
          <w:rFonts w:cs="Arial"/>
          <w:color w:val="000000" w:themeColor="text1"/>
          <w:sz w:val="18"/>
          <w:szCs w:val="18"/>
        </w:rPr>
      </w:pPr>
      <w:r w:rsidRPr="00E43036">
        <w:rPr>
          <w:rFonts w:cs="Arial"/>
          <w:color w:val="000000" w:themeColor="text1"/>
          <w:sz w:val="18"/>
          <w:szCs w:val="18"/>
          <w:lang w:val="en-GB"/>
        </w:rPr>
        <w:t xml:space="preserve">Note: </w:t>
      </w:r>
      <w:r w:rsidR="00ED14B9" w:rsidRPr="00E43036">
        <w:rPr>
          <w:rFonts w:cs="Arial"/>
          <w:color w:val="000000" w:themeColor="text1"/>
          <w:sz w:val="18"/>
          <w:szCs w:val="18"/>
        </w:rPr>
        <w:t>The study-level Hartung-Knapp model uses one aggregated effect per independent study. The multilevel CR2 model uses the effect-level dataset with study-clustered inference. These are sensitivity analyses; the broad study-level median synthesis is the primary overall result.</w:t>
      </w:r>
    </w:p>
    <w:p w14:paraId="1EA2B896" w14:textId="77777777" w:rsidR="007F0C34" w:rsidRPr="00FF1E05" w:rsidRDefault="007F0C34" w:rsidP="0072319D">
      <w:pPr>
        <w:jc w:val="both"/>
        <w:rPr>
          <w:rFonts w:cs="Arial"/>
          <w:color w:val="000000" w:themeColor="text1"/>
          <w:sz w:val="22"/>
        </w:rPr>
        <w:sectPr w:rsidR="007F0C34" w:rsidRPr="00FF1E05" w:rsidSect="009B66B9">
          <w:pgSz w:w="16838" w:h="11906" w:orient="landscape"/>
          <w:pgMar w:top="907" w:right="1700" w:bottom="907" w:left="1560" w:header="720" w:footer="720" w:gutter="0"/>
          <w:cols w:space="720"/>
          <w:docGrid w:linePitch="360"/>
        </w:sectPr>
      </w:pPr>
    </w:p>
    <w:p w14:paraId="639019E6" w14:textId="77777777" w:rsidR="007F0C34" w:rsidRPr="00FF1E05" w:rsidRDefault="00ED14B9" w:rsidP="0072319D">
      <w:pPr>
        <w:keepNext/>
        <w:jc w:val="both"/>
        <w:rPr>
          <w:rFonts w:cs="Arial"/>
          <w:color w:val="000000" w:themeColor="text1"/>
          <w:sz w:val="18"/>
          <w:szCs w:val="18"/>
        </w:rPr>
      </w:pPr>
      <w:r w:rsidRPr="00FF1E05">
        <w:rPr>
          <w:rFonts w:cs="Arial"/>
          <w:color w:val="000000" w:themeColor="text1"/>
          <w:sz w:val="18"/>
          <w:szCs w:val="18"/>
        </w:rPr>
        <w:lastRenderedPageBreak/>
        <w:t>Table S6. Missing-variance expansion to eight independently replicated studies.</w:t>
      </w:r>
    </w:p>
    <w:tbl>
      <w:tblPr>
        <w:tblW w:w="6640" w:type="dxa"/>
        <w:tblInd w:w="108" w:type="dxa"/>
        <w:tblLook w:val="04A0" w:firstRow="1" w:lastRow="0" w:firstColumn="1" w:lastColumn="0" w:noHBand="0" w:noVBand="1"/>
      </w:tblPr>
      <w:tblGrid>
        <w:gridCol w:w="1608"/>
        <w:gridCol w:w="559"/>
        <w:gridCol w:w="1000"/>
        <w:gridCol w:w="1120"/>
        <w:gridCol w:w="957"/>
        <w:gridCol w:w="652"/>
        <w:gridCol w:w="744"/>
      </w:tblGrid>
      <w:tr w:rsidR="00096E98" w:rsidRPr="00FF1E05" w14:paraId="1CDF1D84" w14:textId="77777777" w:rsidTr="00096E98">
        <w:trPr>
          <w:trHeight w:val="515"/>
        </w:trPr>
        <w:tc>
          <w:tcPr>
            <w:tcW w:w="1640" w:type="dxa"/>
            <w:tcBorders>
              <w:top w:val="single" w:sz="4" w:space="0" w:color="auto"/>
              <w:left w:val="nil"/>
              <w:bottom w:val="single" w:sz="4" w:space="0" w:color="auto"/>
              <w:right w:val="nil"/>
            </w:tcBorders>
            <w:shd w:val="clear" w:color="000000" w:fill="EDEDED"/>
            <w:vAlign w:val="center"/>
            <w:hideMark/>
          </w:tcPr>
          <w:p w14:paraId="6D992192"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Specification</w:t>
            </w:r>
          </w:p>
        </w:tc>
        <w:tc>
          <w:tcPr>
            <w:tcW w:w="580" w:type="dxa"/>
            <w:tcBorders>
              <w:top w:val="single" w:sz="4" w:space="0" w:color="auto"/>
              <w:left w:val="nil"/>
              <w:bottom w:val="single" w:sz="4" w:space="0" w:color="auto"/>
              <w:right w:val="nil"/>
            </w:tcBorders>
            <w:shd w:val="clear" w:color="000000" w:fill="EDEDED"/>
            <w:vAlign w:val="center"/>
            <w:hideMark/>
          </w:tcPr>
          <w:p w14:paraId="26A9C7B1"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k</w:t>
            </w:r>
          </w:p>
        </w:tc>
        <w:tc>
          <w:tcPr>
            <w:tcW w:w="1020" w:type="dxa"/>
            <w:tcBorders>
              <w:top w:val="single" w:sz="4" w:space="0" w:color="auto"/>
              <w:left w:val="nil"/>
              <w:bottom w:val="single" w:sz="4" w:space="0" w:color="auto"/>
              <w:right w:val="nil"/>
            </w:tcBorders>
            <w:shd w:val="clear" w:color="000000" w:fill="EDEDED"/>
            <w:vAlign w:val="center"/>
            <w:hideMark/>
          </w:tcPr>
          <w:p w14:paraId="5A5E8945"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Benefit </w:t>
            </w:r>
            <w:proofErr w:type="spellStart"/>
            <w:r w:rsidRPr="00FF1E05">
              <w:rPr>
                <w:rFonts w:eastAsia="Times New Roman" w:cs="Arial"/>
                <w:color w:val="000000"/>
                <w:sz w:val="18"/>
                <w:szCs w:val="18"/>
                <w:lang w:val="en-GB" w:eastAsia="en-GB"/>
              </w:rPr>
              <w:t>lnRR</w:t>
            </w:r>
            <w:proofErr w:type="spellEnd"/>
          </w:p>
        </w:tc>
        <w:tc>
          <w:tcPr>
            <w:tcW w:w="1160" w:type="dxa"/>
            <w:tcBorders>
              <w:top w:val="single" w:sz="4" w:space="0" w:color="auto"/>
              <w:left w:val="nil"/>
              <w:bottom w:val="single" w:sz="4" w:space="0" w:color="auto"/>
              <w:right w:val="nil"/>
            </w:tcBorders>
            <w:shd w:val="clear" w:color="000000" w:fill="EDEDED"/>
            <w:vAlign w:val="center"/>
            <w:hideMark/>
          </w:tcPr>
          <w:p w14:paraId="77C51034"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95% CI</w:t>
            </w:r>
          </w:p>
        </w:tc>
        <w:tc>
          <w:tcPr>
            <w:tcW w:w="820" w:type="dxa"/>
            <w:tcBorders>
              <w:top w:val="single" w:sz="4" w:space="0" w:color="auto"/>
              <w:left w:val="nil"/>
              <w:bottom w:val="single" w:sz="4" w:space="0" w:color="auto"/>
              <w:right w:val="nil"/>
            </w:tcBorders>
            <w:shd w:val="clear" w:color="000000" w:fill="EDEDED"/>
            <w:vAlign w:val="center"/>
            <w:hideMark/>
          </w:tcPr>
          <w:p w14:paraId="5E0B898F"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Point reduction (%)</w:t>
            </w:r>
          </w:p>
        </w:tc>
        <w:tc>
          <w:tcPr>
            <w:tcW w:w="660" w:type="dxa"/>
            <w:tcBorders>
              <w:top w:val="single" w:sz="4" w:space="0" w:color="auto"/>
              <w:left w:val="nil"/>
              <w:bottom w:val="single" w:sz="4" w:space="0" w:color="auto"/>
              <w:right w:val="nil"/>
            </w:tcBorders>
            <w:shd w:val="clear" w:color="000000" w:fill="EDEDED"/>
            <w:vAlign w:val="center"/>
            <w:hideMark/>
          </w:tcPr>
          <w:p w14:paraId="7BA917B9"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tau²</w:t>
            </w:r>
          </w:p>
        </w:tc>
        <w:tc>
          <w:tcPr>
            <w:tcW w:w="760" w:type="dxa"/>
            <w:tcBorders>
              <w:top w:val="single" w:sz="4" w:space="0" w:color="auto"/>
              <w:left w:val="nil"/>
              <w:bottom w:val="single" w:sz="4" w:space="0" w:color="auto"/>
              <w:right w:val="nil"/>
            </w:tcBorders>
            <w:shd w:val="clear" w:color="000000" w:fill="EDEDED"/>
            <w:vAlign w:val="center"/>
            <w:hideMark/>
          </w:tcPr>
          <w:p w14:paraId="2100202D"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I² (%)</w:t>
            </w:r>
          </w:p>
        </w:tc>
      </w:tr>
      <w:tr w:rsidR="00096E98" w:rsidRPr="00FF1E05" w14:paraId="65560A95" w14:textId="77777777" w:rsidTr="00096E98">
        <w:trPr>
          <w:trHeight w:val="858"/>
        </w:trPr>
        <w:tc>
          <w:tcPr>
            <w:tcW w:w="1640" w:type="dxa"/>
            <w:tcBorders>
              <w:top w:val="single" w:sz="4" w:space="0" w:color="auto"/>
              <w:left w:val="nil"/>
              <w:bottom w:val="nil"/>
              <w:right w:val="nil"/>
            </w:tcBorders>
            <w:vAlign w:val="center"/>
            <w:hideMark/>
          </w:tcPr>
          <w:p w14:paraId="367C0926"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5,000-imputation pooled estimate</w:t>
            </w:r>
          </w:p>
        </w:tc>
        <w:tc>
          <w:tcPr>
            <w:tcW w:w="580" w:type="dxa"/>
            <w:tcBorders>
              <w:top w:val="single" w:sz="4" w:space="0" w:color="auto"/>
              <w:left w:val="nil"/>
              <w:bottom w:val="nil"/>
              <w:right w:val="nil"/>
            </w:tcBorders>
            <w:vAlign w:val="center"/>
            <w:hideMark/>
          </w:tcPr>
          <w:p w14:paraId="4F77D97C"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8</w:t>
            </w:r>
          </w:p>
        </w:tc>
        <w:tc>
          <w:tcPr>
            <w:tcW w:w="1020" w:type="dxa"/>
            <w:tcBorders>
              <w:top w:val="single" w:sz="4" w:space="0" w:color="auto"/>
              <w:left w:val="nil"/>
              <w:bottom w:val="nil"/>
              <w:right w:val="nil"/>
            </w:tcBorders>
            <w:vAlign w:val="center"/>
            <w:hideMark/>
          </w:tcPr>
          <w:p w14:paraId="43DF4C5A"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1.847</w:t>
            </w:r>
          </w:p>
        </w:tc>
        <w:tc>
          <w:tcPr>
            <w:tcW w:w="1160" w:type="dxa"/>
            <w:tcBorders>
              <w:top w:val="single" w:sz="4" w:space="0" w:color="auto"/>
              <w:left w:val="nil"/>
              <w:bottom w:val="nil"/>
              <w:right w:val="nil"/>
            </w:tcBorders>
            <w:vAlign w:val="center"/>
            <w:hideMark/>
          </w:tcPr>
          <w:p w14:paraId="6880FE85"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-0.196 to 3.891</w:t>
            </w:r>
          </w:p>
        </w:tc>
        <w:tc>
          <w:tcPr>
            <w:tcW w:w="820" w:type="dxa"/>
            <w:tcBorders>
              <w:top w:val="single" w:sz="4" w:space="0" w:color="auto"/>
              <w:left w:val="nil"/>
              <w:bottom w:val="nil"/>
              <w:right w:val="nil"/>
            </w:tcBorders>
            <w:vAlign w:val="center"/>
            <w:hideMark/>
          </w:tcPr>
          <w:p w14:paraId="37B12EC0"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84.2</w:t>
            </w:r>
          </w:p>
        </w:tc>
        <w:tc>
          <w:tcPr>
            <w:tcW w:w="660" w:type="dxa"/>
            <w:tcBorders>
              <w:top w:val="single" w:sz="4" w:space="0" w:color="auto"/>
              <w:left w:val="nil"/>
              <w:bottom w:val="nil"/>
              <w:right w:val="nil"/>
            </w:tcBorders>
            <w:vAlign w:val="center"/>
            <w:hideMark/>
          </w:tcPr>
          <w:p w14:paraId="235B4DF3"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5.89</w:t>
            </w:r>
          </w:p>
        </w:tc>
        <w:tc>
          <w:tcPr>
            <w:tcW w:w="760" w:type="dxa"/>
            <w:tcBorders>
              <w:top w:val="single" w:sz="4" w:space="0" w:color="auto"/>
              <w:left w:val="nil"/>
              <w:bottom w:val="nil"/>
              <w:right w:val="nil"/>
            </w:tcBorders>
            <w:vAlign w:val="center"/>
            <w:hideMark/>
          </w:tcPr>
          <w:p w14:paraId="00CA20B9"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99.8</w:t>
            </w:r>
          </w:p>
        </w:tc>
      </w:tr>
      <w:tr w:rsidR="00096E98" w:rsidRPr="00FF1E05" w14:paraId="313A658A" w14:textId="77777777" w:rsidTr="00096E98">
        <w:trPr>
          <w:trHeight w:val="283"/>
        </w:trPr>
        <w:tc>
          <w:tcPr>
            <w:tcW w:w="1640" w:type="dxa"/>
            <w:tcBorders>
              <w:top w:val="nil"/>
              <w:left w:val="nil"/>
              <w:bottom w:val="nil"/>
              <w:right w:val="nil"/>
            </w:tcBorders>
            <w:vAlign w:val="center"/>
            <w:hideMark/>
          </w:tcPr>
          <w:p w14:paraId="30E0EADF"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Donor CV sensitivity: Q1</w:t>
            </w:r>
          </w:p>
        </w:tc>
        <w:tc>
          <w:tcPr>
            <w:tcW w:w="580" w:type="dxa"/>
            <w:tcBorders>
              <w:top w:val="nil"/>
              <w:left w:val="nil"/>
              <w:bottom w:val="nil"/>
              <w:right w:val="nil"/>
            </w:tcBorders>
            <w:vAlign w:val="center"/>
            <w:hideMark/>
          </w:tcPr>
          <w:p w14:paraId="3F9F2BCD"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8</w:t>
            </w:r>
          </w:p>
        </w:tc>
        <w:tc>
          <w:tcPr>
            <w:tcW w:w="1020" w:type="dxa"/>
            <w:tcBorders>
              <w:top w:val="nil"/>
              <w:left w:val="nil"/>
              <w:bottom w:val="nil"/>
              <w:right w:val="nil"/>
            </w:tcBorders>
            <w:vAlign w:val="center"/>
            <w:hideMark/>
          </w:tcPr>
          <w:p w14:paraId="5860398D"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1.845</w:t>
            </w:r>
          </w:p>
        </w:tc>
        <w:tc>
          <w:tcPr>
            <w:tcW w:w="1160" w:type="dxa"/>
            <w:tcBorders>
              <w:top w:val="nil"/>
              <w:left w:val="nil"/>
              <w:bottom w:val="nil"/>
              <w:right w:val="nil"/>
            </w:tcBorders>
            <w:vAlign w:val="center"/>
            <w:hideMark/>
          </w:tcPr>
          <w:p w14:paraId="7E8CCD81"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-0.197 to 3.888</w:t>
            </w:r>
          </w:p>
        </w:tc>
        <w:tc>
          <w:tcPr>
            <w:tcW w:w="820" w:type="dxa"/>
            <w:tcBorders>
              <w:top w:val="nil"/>
              <w:left w:val="nil"/>
              <w:bottom w:val="nil"/>
              <w:right w:val="nil"/>
            </w:tcBorders>
            <w:vAlign w:val="center"/>
            <w:hideMark/>
          </w:tcPr>
          <w:p w14:paraId="7AB4D4A8"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84.2</w:t>
            </w:r>
          </w:p>
        </w:tc>
        <w:tc>
          <w:tcPr>
            <w:tcW w:w="660" w:type="dxa"/>
            <w:tcBorders>
              <w:top w:val="nil"/>
              <w:left w:val="nil"/>
              <w:bottom w:val="nil"/>
              <w:right w:val="nil"/>
            </w:tcBorders>
            <w:vAlign w:val="center"/>
            <w:hideMark/>
          </w:tcPr>
          <w:p w14:paraId="064F288C"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5.89</w:t>
            </w:r>
          </w:p>
        </w:tc>
        <w:tc>
          <w:tcPr>
            <w:tcW w:w="760" w:type="dxa"/>
            <w:tcBorders>
              <w:top w:val="nil"/>
              <w:left w:val="nil"/>
              <w:bottom w:val="nil"/>
              <w:right w:val="nil"/>
            </w:tcBorders>
            <w:vAlign w:val="center"/>
            <w:hideMark/>
          </w:tcPr>
          <w:p w14:paraId="25D32B8C"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99.9</w:t>
            </w:r>
          </w:p>
        </w:tc>
      </w:tr>
      <w:tr w:rsidR="00096E98" w:rsidRPr="00FF1E05" w14:paraId="1F11F3AD" w14:textId="77777777" w:rsidTr="00096E98">
        <w:trPr>
          <w:trHeight w:val="763"/>
        </w:trPr>
        <w:tc>
          <w:tcPr>
            <w:tcW w:w="1640" w:type="dxa"/>
            <w:tcBorders>
              <w:top w:val="nil"/>
              <w:left w:val="nil"/>
              <w:right w:val="nil"/>
            </w:tcBorders>
            <w:vAlign w:val="center"/>
            <w:hideMark/>
          </w:tcPr>
          <w:p w14:paraId="28562425"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Donor CV sensitivity: Median</w:t>
            </w:r>
          </w:p>
        </w:tc>
        <w:tc>
          <w:tcPr>
            <w:tcW w:w="580" w:type="dxa"/>
            <w:tcBorders>
              <w:top w:val="nil"/>
              <w:left w:val="nil"/>
              <w:right w:val="nil"/>
            </w:tcBorders>
            <w:vAlign w:val="center"/>
            <w:hideMark/>
          </w:tcPr>
          <w:p w14:paraId="0BB55E16"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8</w:t>
            </w:r>
          </w:p>
        </w:tc>
        <w:tc>
          <w:tcPr>
            <w:tcW w:w="1020" w:type="dxa"/>
            <w:tcBorders>
              <w:top w:val="nil"/>
              <w:left w:val="nil"/>
              <w:right w:val="nil"/>
            </w:tcBorders>
            <w:vAlign w:val="center"/>
            <w:hideMark/>
          </w:tcPr>
          <w:p w14:paraId="47E71FC6"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1.846</w:t>
            </w:r>
          </w:p>
        </w:tc>
        <w:tc>
          <w:tcPr>
            <w:tcW w:w="1160" w:type="dxa"/>
            <w:tcBorders>
              <w:top w:val="nil"/>
              <w:left w:val="nil"/>
              <w:right w:val="nil"/>
            </w:tcBorders>
            <w:vAlign w:val="center"/>
            <w:hideMark/>
          </w:tcPr>
          <w:p w14:paraId="08BAC819"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-0.197 to 3.890</w:t>
            </w:r>
          </w:p>
        </w:tc>
        <w:tc>
          <w:tcPr>
            <w:tcW w:w="820" w:type="dxa"/>
            <w:tcBorders>
              <w:top w:val="nil"/>
              <w:left w:val="nil"/>
              <w:right w:val="nil"/>
            </w:tcBorders>
            <w:vAlign w:val="center"/>
            <w:hideMark/>
          </w:tcPr>
          <w:p w14:paraId="009B2068"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84.2</w:t>
            </w:r>
          </w:p>
        </w:tc>
        <w:tc>
          <w:tcPr>
            <w:tcW w:w="660" w:type="dxa"/>
            <w:tcBorders>
              <w:top w:val="nil"/>
              <w:left w:val="nil"/>
              <w:right w:val="nil"/>
            </w:tcBorders>
            <w:vAlign w:val="center"/>
            <w:hideMark/>
          </w:tcPr>
          <w:p w14:paraId="5A36E788"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5.89</w:t>
            </w:r>
          </w:p>
        </w:tc>
        <w:tc>
          <w:tcPr>
            <w:tcW w:w="760" w:type="dxa"/>
            <w:tcBorders>
              <w:top w:val="nil"/>
              <w:left w:val="nil"/>
              <w:right w:val="nil"/>
            </w:tcBorders>
            <w:vAlign w:val="center"/>
            <w:hideMark/>
          </w:tcPr>
          <w:p w14:paraId="075D3DA1"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99.8</w:t>
            </w:r>
          </w:p>
        </w:tc>
      </w:tr>
      <w:tr w:rsidR="00096E98" w:rsidRPr="00FF1E05" w14:paraId="36FD04DA" w14:textId="77777777" w:rsidTr="00096E98">
        <w:trPr>
          <w:trHeight w:val="283"/>
        </w:trPr>
        <w:tc>
          <w:tcPr>
            <w:tcW w:w="1640" w:type="dxa"/>
            <w:tcBorders>
              <w:top w:val="nil"/>
              <w:left w:val="nil"/>
              <w:bottom w:val="single" w:sz="4" w:space="0" w:color="auto"/>
              <w:right w:val="nil"/>
            </w:tcBorders>
            <w:vAlign w:val="center"/>
            <w:hideMark/>
          </w:tcPr>
          <w:p w14:paraId="0EBDF171"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Donor CV sensitivity: Q3</w:t>
            </w:r>
          </w:p>
        </w:tc>
        <w:tc>
          <w:tcPr>
            <w:tcW w:w="580" w:type="dxa"/>
            <w:tcBorders>
              <w:top w:val="nil"/>
              <w:left w:val="nil"/>
              <w:bottom w:val="single" w:sz="4" w:space="0" w:color="auto"/>
              <w:right w:val="nil"/>
            </w:tcBorders>
            <w:vAlign w:val="center"/>
            <w:hideMark/>
          </w:tcPr>
          <w:p w14:paraId="27E43B5E"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8</w:t>
            </w:r>
          </w:p>
        </w:tc>
        <w:tc>
          <w:tcPr>
            <w:tcW w:w="1020" w:type="dxa"/>
            <w:tcBorders>
              <w:top w:val="nil"/>
              <w:left w:val="nil"/>
              <w:bottom w:val="single" w:sz="4" w:space="0" w:color="auto"/>
              <w:right w:val="nil"/>
            </w:tcBorders>
            <w:vAlign w:val="center"/>
            <w:hideMark/>
          </w:tcPr>
          <w:p w14:paraId="79C64B47"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1.848</w:t>
            </w:r>
          </w:p>
        </w:tc>
        <w:tc>
          <w:tcPr>
            <w:tcW w:w="1160" w:type="dxa"/>
            <w:tcBorders>
              <w:top w:val="nil"/>
              <w:left w:val="nil"/>
              <w:bottom w:val="single" w:sz="4" w:space="0" w:color="auto"/>
              <w:right w:val="nil"/>
            </w:tcBorders>
            <w:vAlign w:val="center"/>
            <w:hideMark/>
          </w:tcPr>
          <w:p w14:paraId="4742E398"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-0.196 to 3.892</w:t>
            </w:r>
          </w:p>
        </w:tc>
        <w:tc>
          <w:tcPr>
            <w:tcW w:w="820" w:type="dxa"/>
            <w:tcBorders>
              <w:top w:val="nil"/>
              <w:left w:val="nil"/>
              <w:bottom w:val="single" w:sz="4" w:space="0" w:color="auto"/>
              <w:right w:val="nil"/>
            </w:tcBorders>
            <w:vAlign w:val="center"/>
            <w:hideMark/>
          </w:tcPr>
          <w:p w14:paraId="6C222159"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84.2</w:t>
            </w:r>
          </w:p>
        </w:tc>
        <w:tc>
          <w:tcPr>
            <w:tcW w:w="660" w:type="dxa"/>
            <w:tcBorders>
              <w:top w:val="nil"/>
              <w:left w:val="nil"/>
              <w:bottom w:val="single" w:sz="4" w:space="0" w:color="auto"/>
              <w:right w:val="nil"/>
            </w:tcBorders>
            <w:vAlign w:val="center"/>
            <w:hideMark/>
          </w:tcPr>
          <w:p w14:paraId="74663915"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5.89</w:t>
            </w:r>
          </w:p>
        </w:tc>
        <w:tc>
          <w:tcPr>
            <w:tcW w:w="760" w:type="dxa"/>
            <w:tcBorders>
              <w:top w:val="nil"/>
              <w:left w:val="nil"/>
              <w:bottom w:val="single" w:sz="4" w:space="0" w:color="auto"/>
              <w:right w:val="nil"/>
            </w:tcBorders>
            <w:vAlign w:val="center"/>
            <w:hideMark/>
          </w:tcPr>
          <w:p w14:paraId="10A8CE3F" w14:textId="77777777" w:rsidR="00096E98" w:rsidRPr="00FF1E05" w:rsidRDefault="00096E98" w:rsidP="00096E98">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99.8</w:t>
            </w:r>
          </w:p>
        </w:tc>
      </w:tr>
    </w:tbl>
    <w:p w14:paraId="1464CE5B" w14:textId="77777777" w:rsidR="00DF722C" w:rsidRPr="00FF1E05" w:rsidRDefault="00DF722C" w:rsidP="0072319D">
      <w:pPr>
        <w:jc w:val="both"/>
        <w:rPr>
          <w:rFonts w:cs="Arial"/>
          <w:i/>
          <w:color w:val="000000" w:themeColor="text1"/>
          <w:sz w:val="18"/>
          <w:szCs w:val="18"/>
        </w:rPr>
      </w:pPr>
    </w:p>
    <w:p w14:paraId="1418750F" w14:textId="7BF3C6C1" w:rsidR="007F0C34" w:rsidRPr="00E43036" w:rsidRDefault="007F56D9" w:rsidP="0072319D">
      <w:pPr>
        <w:jc w:val="both"/>
        <w:rPr>
          <w:rFonts w:cs="Arial"/>
          <w:color w:val="000000" w:themeColor="text1"/>
          <w:sz w:val="18"/>
          <w:szCs w:val="18"/>
        </w:rPr>
      </w:pPr>
      <w:r w:rsidRPr="00E43036">
        <w:rPr>
          <w:rFonts w:cs="Arial"/>
          <w:color w:val="000000" w:themeColor="text1"/>
          <w:sz w:val="18"/>
          <w:szCs w:val="18"/>
          <w:lang w:val="en-GB"/>
        </w:rPr>
        <w:t xml:space="preserve">Note: </w:t>
      </w:r>
      <w:r w:rsidR="00ED14B9" w:rsidRPr="00E43036">
        <w:rPr>
          <w:rFonts w:cs="Arial"/>
          <w:color w:val="000000" w:themeColor="text1"/>
          <w:sz w:val="18"/>
          <w:szCs w:val="18"/>
        </w:rPr>
        <w:t>Only sampling variance was imputed. Observed study point estimates were unchanged. Monte Carlo split-half estimates were identical to three decimals (1.847 in each half).</w:t>
      </w:r>
    </w:p>
    <w:p w14:paraId="162443AF" w14:textId="77777777" w:rsidR="007F0C34" w:rsidRPr="00FF1E05" w:rsidRDefault="007F0C34" w:rsidP="0072319D">
      <w:pPr>
        <w:jc w:val="both"/>
        <w:rPr>
          <w:rFonts w:cs="Arial"/>
          <w:color w:val="000000" w:themeColor="text1"/>
          <w:sz w:val="22"/>
        </w:rPr>
      </w:pPr>
    </w:p>
    <w:p w14:paraId="666FBFF3" w14:textId="74C2B570" w:rsidR="004953E0" w:rsidRPr="00FF1E05" w:rsidRDefault="004953E0" w:rsidP="004953E0">
      <w:pPr>
        <w:keepNext/>
        <w:jc w:val="both"/>
        <w:rPr>
          <w:rFonts w:cs="Arial"/>
          <w:color w:val="000000" w:themeColor="text1"/>
          <w:sz w:val="18"/>
          <w:szCs w:val="18"/>
        </w:rPr>
      </w:pPr>
      <w:r w:rsidRPr="00FF1E05">
        <w:rPr>
          <w:rFonts w:cs="Arial"/>
          <w:color w:val="000000" w:themeColor="text1"/>
          <w:sz w:val="18"/>
          <w:szCs w:val="18"/>
        </w:rPr>
        <w:t>Table S7. Study-level evidence used in the interval-aware all-evidence mobility synthesis.</w:t>
      </w:r>
    </w:p>
    <w:tbl>
      <w:tblPr>
        <w:tblW w:w="7088" w:type="dxa"/>
        <w:tblInd w:w="108" w:type="dxa"/>
        <w:tblLook w:val="04A0" w:firstRow="1" w:lastRow="0" w:firstColumn="1" w:lastColumn="0" w:noHBand="0" w:noVBand="1"/>
      </w:tblPr>
      <w:tblGrid>
        <w:gridCol w:w="1760"/>
        <w:gridCol w:w="900"/>
        <w:gridCol w:w="1120"/>
        <w:gridCol w:w="3308"/>
      </w:tblGrid>
      <w:tr w:rsidR="004953E0" w:rsidRPr="00FF1E05" w14:paraId="56F41AB5" w14:textId="77777777" w:rsidTr="00E43036">
        <w:trPr>
          <w:trHeight w:val="386"/>
        </w:trPr>
        <w:tc>
          <w:tcPr>
            <w:tcW w:w="1760" w:type="dxa"/>
            <w:tcBorders>
              <w:top w:val="single" w:sz="4" w:space="0" w:color="auto"/>
              <w:left w:val="nil"/>
              <w:bottom w:val="single" w:sz="4" w:space="0" w:color="auto"/>
              <w:right w:val="nil"/>
            </w:tcBorders>
            <w:shd w:val="clear" w:color="000000" w:fill="EDEDED"/>
            <w:vAlign w:val="center"/>
            <w:hideMark/>
          </w:tcPr>
          <w:p w14:paraId="6823C16A"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Study</w:t>
            </w:r>
          </w:p>
        </w:tc>
        <w:tc>
          <w:tcPr>
            <w:tcW w:w="900" w:type="dxa"/>
            <w:tcBorders>
              <w:top w:val="single" w:sz="4" w:space="0" w:color="auto"/>
              <w:left w:val="nil"/>
              <w:bottom w:val="single" w:sz="4" w:space="0" w:color="auto"/>
              <w:right w:val="nil"/>
            </w:tcBorders>
            <w:shd w:val="clear" w:color="000000" w:fill="EDEDED"/>
            <w:vAlign w:val="center"/>
            <w:hideMark/>
          </w:tcPr>
          <w:p w14:paraId="3EBFEE2D"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Study-level effect type</w:t>
            </w:r>
          </w:p>
        </w:tc>
        <w:tc>
          <w:tcPr>
            <w:tcW w:w="1120" w:type="dxa"/>
            <w:tcBorders>
              <w:top w:val="single" w:sz="4" w:space="0" w:color="auto"/>
              <w:left w:val="nil"/>
              <w:bottom w:val="single" w:sz="4" w:space="0" w:color="auto"/>
              <w:right w:val="nil"/>
            </w:tcBorders>
            <w:shd w:val="clear" w:color="000000" w:fill="EDEDED"/>
            <w:vAlign w:val="center"/>
            <w:hideMark/>
          </w:tcPr>
          <w:p w14:paraId="6421190D"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Benefit </w:t>
            </w:r>
            <w:proofErr w:type="spellStart"/>
            <w:r w:rsidRPr="00FF1E05">
              <w:rPr>
                <w:rFonts w:eastAsia="Times New Roman" w:cs="Arial"/>
                <w:color w:val="000000"/>
                <w:sz w:val="18"/>
                <w:szCs w:val="18"/>
                <w:lang w:val="en-GB" w:eastAsia="en-GB"/>
              </w:rPr>
              <w:t>lnRR</w:t>
            </w:r>
            <w:proofErr w:type="spellEnd"/>
          </w:p>
        </w:tc>
        <w:tc>
          <w:tcPr>
            <w:tcW w:w="3308" w:type="dxa"/>
            <w:tcBorders>
              <w:top w:val="single" w:sz="4" w:space="0" w:color="auto"/>
              <w:left w:val="nil"/>
              <w:bottom w:val="single" w:sz="4" w:space="0" w:color="auto"/>
              <w:right w:val="nil"/>
            </w:tcBorders>
            <w:shd w:val="clear" w:color="000000" w:fill="EDEDED"/>
            <w:vAlign w:val="center"/>
            <w:hideMark/>
          </w:tcPr>
          <w:p w14:paraId="64CAE65B"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Back-transformed interpretation</w:t>
            </w:r>
          </w:p>
        </w:tc>
      </w:tr>
      <w:tr w:rsidR="004953E0" w:rsidRPr="00FF1E05" w14:paraId="0FE81932" w14:textId="77777777" w:rsidTr="00E43036">
        <w:trPr>
          <w:trHeight w:val="343"/>
        </w:trPr>
        <w:tc>
          <w:tcPr>
            <w:tcW w:w="1760" w:type="dxa"/>
            <w:tcBorders>
              <w:top w:val="single" w:sz="4" w:space="0" w:color="auto"/>
              <w:left w:val="nil"/>
              <w:bottom w:val="nil"/>
              <w:right w:val="nil"/>
            </w:tcBorders>
            <w:vAlign w:val="center"/>
            <w:hideMark/>
          </w:tcPr>
          <w:p w14:paraId="6DB16FF0"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Kabiri et al. (2023)</w:t>
            </w:r>
          </w:p>
        </w:tc>
        <w:tc>
          <w:tcPr>
            <w:tcW w:w="900" w:type="dxa"/>
            <w:tcBorders>
              <w:top w:val="single" w:sz="4" w:space="0" w:color="auto"/>
              <w:left w:val="nil"/>
              <w:bottom w:val="nil"/>
              <w:right w:val="nil"/>
            </w:tcBorders>
            <w:vAlign w:val="center"/>
            <w:hideMark/>
          </w:tcPr>
          <w:p w14:paraId="4B203064"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interval</w:t>
            </w:r>
          </w:p>
        </w:tc>
        <w:tc>
          <w:tcPr>
            <w:tcW w:w="1120" w:type="dxa"/>
            <w:tcBorders>
              <w:top w:val="single" w:sz="4" w:space="0" w:color="auto"/>
              <w:left w:val="nil"/>
              <w:bottom w:val="nil"/>
              <w:right w:val="nil"/>
            </w:tcBorders>
            <w:vAlign w:val="center"/>
            <w:hideMark/>
          </w:tcPr>
          <w:p w14:paraId="2CED3CE1"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0.010 to 0.693</w:t>
            </w:r>
          </w:p>
        </w:tc>
        <w:tc>
          <w:tcPr>
            <w:tcW w:w="3308" w:type="dxa"/>
            <w:tcBorders>
              <w:top w:val="single" w:sz="4" w:space="0" w:color="auto"/>
              <w:left w:val="nil"/>
              <w:bottom w:val="nil"/>
              <w:right w:val="nil"/>
            </w:tcBorders>
            <w:vAlign w:val="center"/>
            <w:hideMark/>
          </w:tcPr>
          <w:p w14:paraId="24454155"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1.0-50.0% lower mobility (interval-censored)</w:t>
            </w:r>
          </w:p>
        </w:tc>
      </w:tr>
      <w:tr w:rsidR="004953E0" w:rsidRPr="00FF1E05" w14:paraId="5EFC3135" w14:textId="77777777" w:rsidTr="00E43036">
        <w:trPr>
          <w:trHeight w:val="343"/>
        </w:trPr>
        <w:tc>
          <w:tcPr>
            <w:tcW w:w="1760" w:type="dxa"/>
            <w:tcBorders>
              <w:top w:val="nil"/>
              <w:left w:val="nil"/>
              <w:bottom w:val="nil"/>
              <w:right w:val="nil"/>
            </w:tcBorders>
            <w:vAlign w:val="center"/>
            <w:hideMark/>
          </w:tcPr>
          <w:p w14:paraId="561B594C"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Zhang &amp; Liang (2022b)</w:t>
            </w:r>
          </w:p>
        </w:tc>
        <w:tc>
          <w:tcPr>
            <w:tcW w:w="900" w:type="dxa"/>
            <w:tcBorders>
              <w:top w:val="nil"/>
              <w:left w:val="nil"/>
              <w:bottom w:val="nil"/>
              <w:right w:val="nil"/>
            </w:tcBorders>
            <w:vAlign w:val="center"/>
            <w:hideMark/>
          </w:tcPr>
          <w:p w14:paraId="723D930C"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exact</w:t>
            </w:r>
          </w:p>
        </w:tc>
        <w:tc>
          <w:tcPr>
            <w:tcW w:w="1120" w:type="dxa"/>
            <w:tcBorders>
              <w:top w:val="nil"/>
              <w:left w:val="nil"/>
              <w:bottom w:val="nil"/>
              <w:right w:val="nil"/>
            </w:tcBorders>
            <w:vAlign w:val="center"/>
            <w:hideMark/>
          </w:tcPr>
          <w:p w14:paraId="3F3F166A"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0.119</w:t>
            </w:r>
          </w:p>
        </w:tc>
        <w:tc>
          <w:tcPr>
            <w:tcW w:w="3308" w:type="dxa"/>
            <w:tcBorders>
              <w:top w:val="nil"/>
              <w:left w:val="nil"/>
              <w:bottom w:val="nil"/>
              <w:right w:val="nil"/>
            </w:tcBorders>
            <w:vAlign w:val="center"/>
            <w:hideMark/>
          </w:tcPr>
          <w:p w14:paraId="724BBF70"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11.3% lower mobility</w:t>
            </w:r>
          </w:p>
        </w:tc>
      </w:tr>
      <w:tr w:rsidR="004953E0" w:rsidRPr="00FF1E05" w14:paraId="57A2442D" w14:textId="77777777" w:rsidTr="00E43036">
        <w:trPr>
          <w:trHeight w:val="343"/>
        </w:trPr>
        <w:tc>
          <w:tcPr>
            <w:tcW w:w="1760" w:type="dxa"/>
            <w:tcBorders>
              <w:top w:val="nil"/>
              <w:left w:val="nil"/>
              <w:bottom w:val="nil"/>
              <w:right w:val="nil"/>
            </w:tcBorders>
            <w:vAlign w:val="center"/>
            <w:hideMark/>
          </w:tcPr>
          <w:p w14:paraId="0BF8B279" w14:textId="77777777" w:rsidR="004953E0" w:rsidRPr="00FF1E05" w:rsidRDefault="004953E0" w:rsidP="00EA3112">
            <w:pPr>
              <w:spacing w:after="0" w:line="240" w:lineRule="auto"/>
              <w:rPr>
                <w:rFonts w:eastAsia="Times New Roman" w:cs="Arial"/>
                <w:color w:val="000000"/>
                <w:sz w:val="18"/>
                <w:szCs w:val="18"/>
                <w:lang w:val="en-GB" w:eastAsia="en-GB"/>
              </w:rPr>
            </w:pPr>
            <w:proofErr w:type="spellStart"/>
            <w:r w:rsidRPr="00FF1E05">
              <w:rPr>
                <w:rFonts w:eastAsia="Times New Roman" w:cs="Arial"/>
                <w:color w:val="000000"/>
                <w:sz w:val="18"/>
                <w:szCs w:val="18"/>
                <w:lang w:val="en-GB" w:eastAsia="en-GB"/>
              </w:rPr>
              <w:t>Kupryianchyk</w:t>
            </w:r>
            <w:proofErr w:type="spellEnd"/>
            <w:r w:rsidRPr="00FF1E05">
              <w:rPr>
                <w:rFonts w:eastAsia="Times New Roman" w:cs="Arial"/>
                <w:color w:val="000000"/>
                <w:sz w:val="18"/>
                <w:szCs w:val="18"/>
                <w:lang w:val="en-GB" w:eastAsia="en-GB"/>
              </w:rPr>
              <w:t xml:space="preserve"> et al. (2016)</w:t>
            </w:r>
          </w:p>
        </w:tc>
        <w:tc>
          <w:tcPr>
            <w:tcW w:w="900" w:type="dxa"/>
            <w:tcBorders>
              <w:top w:val="nil"/>
              <w:left w:val="nil"/>
              <w:bottom w:val="nil"/>
              <w:right w:val="nil"/>
            </w:tcBorders>
            <w:vAlign w:val="center"/>
            <w:hideMark/>
          </w:tcPr>
          <w:p w14:paraId="5EE374DE"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exact</w:t>
            </w:r>
          </w:p>
        </w:tc>
        <w:tc>
          <w:tcPr>
            <w:tcW w:w="1120" w:type="dxa"/>
            <w:tcBorders>
              <w:top w:val="nil"/>
              <w:left w:val="nil"/>
              <w:bottom w:val="nil"/>
              <w:right w:val="nil"/>
            </w:tcBorders>
            <w:vAlign w:val="center"/>
            <w:hideMark/>
          </w:tcPr>
          <w:p w14:paraId="5707493B"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0.288</w:t>
            </w:r>
          </w:p>
        </w:tc>
        <w:tc>
          <w:tcPr>
            <w:tcW w:w="3308" w:type="dxa"/>
            <w:tcBorders>
              <w:top w:val="nil"/>
              <w:left w:val="nil"/>
              <w:bottom w:val="nil"/>
              <w:right w:val="nil"/>
            </w:tcBorders>
            <w:vAlign w:val="center"/>
            <w:hideMark/>
          </w:tcPr>
          <w:p w14:paraId="4D913B71"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25.0% lower mobility</w:t>
            </w:r>
          </w:p>
        </w:tc>
      </w:tr>
      <w:tr w:rsidR="004953E0" w:rsidRPr="00FF1E05" w14:paraId="620FFFBD" w14:textId="77777777" w:rsidTr="00E43036">
        <w:trPr>
          <w:trHeight w:val="343"/>
        </w:trPr>
        <w:tc>
          <w:tcPr>
            <w:tcW w:w="1760" w:type="dxa"/>
            <w:tcBorders>
              <w:top w:val="nil"/>
              <w:left w:val="nil"/>
              <w:bottom w:val="nil"/>
              <w:right w:val="nil"/>
            </w:tcBorders>
            <w:vAlign w:val="center"/>
            <w:hideMark/>
          </w:tcPr>
          <w:p w14:paraId="071E624B" w14:textId="77777777" w:rsidR="004953E0" w:rsidRPr="00FF1E05" w:rsidRDefault="004953E0" w:rsidP="00EA3112">
            <w:pPr>
              <w:spacing w:after="0" w:line="240" w:lineRule="auto"/>
              <w:rPr>
                <w:rFonts w:eastAsia="Times New Roman" w:cs="Arial"/>
                <w:color w:val="000000"/>
                <w:sz w:val="18"/>
                <w:szCs w:val="18"/>
                <w:lang w:val="en-GB" w:eastAsia="en-GB"/>
              </w:rPr>
            </w:pPr>
            <w:proofErr w:type="spellStart"/>
            <w:r w:rsidRPr="00FF1E05">
              <w:rPr>
                <w:rFonts w:eastAsia="Times New Roman" w:cs="Arial"/>
                <w:color w:val="000000"/>
                <w:sz w:val="18"/>
                <w:szCs w:val="18"/>
                <w:lang w:val="en-GB" w:eastAsia="en-GB"/>
              </w:rPr>
              <w:t>Openiyi</w:t>
            </w:r>
            <w:proofErr w:type="spellEnd"/>
            <w:r w:rsidRPr="00FF1E05">
              <w:rPr>
                <w:rFonts w:eastAsia="Times New Roman" w:cs="Arial"/>
                <w:color w:val="000000"/>
                <w:sz w:val="18"/>
                <w:szCs w:val="18"/>
                <w:lang w:val="en-GB" w:eastAsia="en-GB"/>
              </w:rPr>
              <w:t xml:space="preserve"> et al. (2025)</w:t>
            </w:r>
          </w:p>
        </w:tc>
        <w:tc>
          <w:tcPr>
            <w:tcW w:w="900" w:type="dxa"/>
            <w:tcBorders>
              <w:top w:val="nil"/>
              <w:left w:val="nil"/>
              <w:bottom w:val="nil"/>
              <w:right w:val="nil"/>
            </w:tcBorders>
            <w:vAlign w:val="center"/>
            <w:hideMark/>
          </w:tcPr>
          <w:p w14:paraId="33AD98F6"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exact</w:t>
            </w:r>
          </w:p>
        </w:tc>
        <w:tc>
          <w:tcPr>
            <w:tcW w:w="1120" w:type="dxa"/>
            <w:tcBorders>
              <w:top w:val="nil"/>
              <w:left w:val="nil"/>
              <w:bottom w:val="nil"/>
              <w:right w:val="nil"/>
            </w:tcBorders>
            <w:vAlign w:val="center"/>
            <w:hideMark/>
          </w:tcPr>
          <w:p w14:paraId="25D1D44F"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0.426</w:t>
            </w:r>
          </w:p>
        </w:tc>
        <w:tc>
          <w:tcPr>
            <w:tcW w:w="3308" w:type="dxa"/>
            <w:tcBorders>
              <w:top w:val="nil"/>
              <w:left w:val="nil"/>
              <w:bottom w:val="nil"/>
              <w:right w:val="nil"/>
            </w:tcBorders>
            <w:vAlign w:val="center"/>
            <w:hideMark/>
          </w:tcPr>
          <w:p w14:paraId="7DCAA45A"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34.7% lower mobility</w:t>
            </w:r>
          </w:p>
        </w:tc>
      </w:tr>
      <w:tr w:rsidR="004953E0" w:rsidRPr="00FF1E05" w14:paraId="1EC0571A" w14:textId="77777777" w:rsidTr="00E43036">
        <w:trPr>
          <w:trHeight w:val="343"/>
        </w:trPr>
        <w:tc>
          <w:tcPr>
            <w:tcW w:w="1760" w:type="dxa"/>
            <w:tcBorders>
              <w:top w:val="nil"/>
              <w:left w:val="nil"/>
              <w:bottom w:val="nil"/>
              <w:right w:val="nil"/>
            </w:tcBorders>
            <w:vAlign w:val="center"/>
            <w:hideMark/>
          </w:tcPr>
          <w:p w14:paraId="1AD2D6FF"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Silvani et al. (2019)</w:t>
            </w:r>
          </w:p>
        </w:tc>
        <w:tc>
          <w:tcPr>
            <w:tcW w:w="900" w:type="dxa"/>
            <w:tcBorders>
              <w:top w:val="nil"/>
              <w:left w:val="nil"/>
              <w:bottom w:val="nil"/>
              <w:right w:val="nil"/>
            </w:tcBorders>
            <w:vAlign w:val="center"/>
            <w:hideMark/>
          </w:tcPr>
          <w:p w14:paraId="258EA63E"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exact</w:t>
            </w:r>
          </w:p>
        </w:tc>
        <w:tc>
          <w:tcPr>
            <w:tcW w:w="1120" w:type="dxa"/>
            <w:tcBorders>
              <w:top w:val="nil"/>
              <w:left w:val="nil"/>
              <w:bottom w:val="nil"/>
              <w:right w:val="nil"/>
            </w:tcBorders>
            <w:vAlign w:val="center"/>
            <w:hideMark/>
          </w:tcPr>
          <w:p w14:paraId="6C8C5570"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0.464</w:t>
            </w:r>
          </w:p>
        </w:tc>
        <w:tc>
          <w:tcPr>
            <w:tcW w:w="3308" w:type="dxa"/>
            <w:tcBorders>
              <w:top w:val="nil"/>
              <w:left w:val="nil"/>
              <w:bottom w:val="nil"/>
              <w:right w:val="nil"/>
            </w:tcBorders>
            <w:vAlign w:val="center"/>
            <w:hideMark/>
          </w:tcPr>
          <w:p w14:paraId="5EB69D60"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37.1% lower mobility</w:t>
            </w:r>
          </w:p>
        </w:tc>
      </w:tr>
      <w:tr w:rsidR="004953E0" w:rsidRPr="00FF1E05" w14:paraId="7E9D85B7" w14:textId="77777777" w:rsidTr="00E43036">
        <w:trPr>
          <w:trHeight w:val="343"/>
        </w:trPr>
        <w:tc>
          <w:tcPr>
            <w:tcW w:w="1760" w:type="dxa"/>
            <w:tcBorders>
              <w:top w:val="nil"/>
              <w:left w:val="nil"/>
              <w:bottom w:val="nil"/>
              <w:right w:val="nil"/>
            </w:tcBorders>
            <w:vAlign w:val="center"/>
            <w:hideMark/>
          </w:tcPr>
          <w:p w14:paraId="53DA3126"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Askeland et al. (2020)</w:t>
            </w:r>
          </w:p>
        </w:tc>
        <w:tc>
          <w:tcPr>
            <w:tcW w:w="900" w:type="dxa"/>
            <w:tcBorders>
              <w:top w:val="nil"/>
              <w:left w:val="nil"/>
              <w:bottom w:val="nil"/>
              <w:right w:val="nil"/>
            </w:tcBorders>
            <w:vAlign w:val="center"/>
            <w:hideMark/>
          </w:tcPr>
          <w:p w14:paraId="749C5B30"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exact</w:t>
            </w:r>
          </w:p>
        </w:tc>
        <w:tc>
          <w:tcPr>
            <w:tcW w:w="1120" w:type="dxa"/>
            <w:tcBorders>
              <w:top w:val="nil"/>
              <w:left w:val="nil"/>
              <w:bottom w:val="nil"/>
              <w:right w:val="nil"/>
            </w:tcBorders>
            <w:vAlign w:val="center"/>
            <w:hideMark/>
          </w:tcPr>
          <w:p w14:paraId="2D633F38"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0.701</w:t>
            </w:r>
          </w:p>
        </w:tc>
        <w:tc>
          <w:tcPr>
            <w:tcW w:w="3308" w:type="dxa"/>
            <w:tcBorders>
              <w:top w:val="nil"/>
              <w:left w:val="nil"/>
              <w:bottom w:val="nil"/>
              <w:right w:val="nil"/>
            </w:tcBorders>
            <w:vAlign w:val="center"/>
            <w:hideMark/>
          </w:tcPr>
          <w:p w14:paraId="537D07B5"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50.4% lower mobility</w:t>
            </w:r>
          </w:p>
        </w:tc>
      </w:tr>
      <w:tr w:rsidR="004953E0" w:rsidRPr="00FF1E05" w14:paraId="296FFB6A" w14:textId="77777777" w:rsidTr="00E43036">
        <w:trPr>
          <w:trHeight w:val="343"/>
        </w:trPr>
        <w:tc>
          <w:tcPr>
            <w:tcW w:w="1760" w:type="dxa"/>
            <w:tcBorders>
              <w:top w:val="nil"/>
              <w:left w:val="nil"/>
              <w:bottom w:val="nil"/>
              <w:right w:val="nil"/>
            </w:tcBorders>
            <w:vAlign w:val="center"/>
            <w:hideMark/>
          </w:tcPr>
          <w:p w14:paraId="7C1FAAF3"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Holly et al. (2024)</w:t>
            </w:r>
          </w:p>
        </w:tc>
        <w:tc>
          <w:tcPr>
            <w:tcW w:w="900" w:type="dxa"/>
            <w:tcBorders>
              <w:top w:val="nil"/>
              <w:left w:val="nil"/>
              <w:bottom w:val="nil"/>
              <w:right w:val="nil"/>
            </w:tcBorders>
            <w:vAlign w:val="center"/>
            <w:hideMark/>
          </w:tcPr>
          <w:p w14:paraId="65EE14A7"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exact</w:t>
            </w:r>
          </w:p>
        </w:tc>
        <w:tc>
          <w:tcPr>
            <w:tcW w:w="1120" w:type="dxa"/>
            <w:tcBorders>
              <w:top w:val="nil"/>
              <w:left w:val="nil"/>
              <w:bottom w:val="nil"/>
              <w:right w:val="nil"/>
            </w:tcBorders>
            <w:vAlign w:val="center"/>
            <w:hideMark/>
          </w:tcPr>
          <w:p w14:paraId="799B258E"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0.708</w:t>
            </w:r>
          </w:p>
        </w:tc>
        <w:tc>
          <w:tcPr>
            <w:tcW w:w="3308" w:type="dxa"/>
            <w:tcBorders>
              <w:top w:val="nil"/>
              <w:left w:val="nil"/>
              <w:bottom w:val="nil"/>
              <w:right w:val="nil"/>
            </w:tcBorders>
            <w:vAlign w:val="center"/>
            <w:hideMark/>
          </w:tcPr>
          <w:p w14:paraId="4FFC9F16"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50.7% lower mobility</w:t>
            </w:r>
          </w:p>
        </w:tc>
      </w:tr>
      <w:tr w:rsidR="004953E0" w:rsidRPr="00FF1E05" w14:paraId="61C9BEFE" w14:textId="77777777" w:rsidTr="00E43036">
        <w:trPr>
          <w:trHeight w:val="343"/>
        </w:trPr>
        <w:tc>
          <w:tcPr>
            <w:tcW w:w="1760" w:type="dxa"/>
            <w:tcBorders>
              <w:top w:val="nil"/>
              <w:left w:val="nil"/>
              <w:bottom w:val="nil"/>
              <w:right w:val="nil"/>
            </w:tcBorders>
            <w:vAlign w:val="center"/>
            <w:hideMark/>
          </w:tcPr>
          <w:p w14:paraId="480CE4FA"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Sørmo et al. (2024)</w:t>
            </w:r>
          </w:p>
        </w:tc>
        <w:tc>
          <w:tcPr>
            <w:tcW w:w="900" w:type="dxa"/>
            <w:tcBorders>
              <w:top w:val="nil"/>
              <w:left w:val="nil"/>
              <w:bottom w:val="nil"/>
              <w:right w:val="nil"/>
            </w:tcBorders>
            <w:vAlign w:val="center"/>
            <w:hideMark/>
          </w:tcPr>
          <w:p w14:paraId="31B931FF"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exact</w:t>
            </w:r>
          </w:p>
        </w:tc>
        <w:tc>
          <w:tcPr>
            <w:tcW w:w="1120" w:type="dxa"/>
            <w:tcBorders>
              <w:top w:val="nil"/>
              <w:left w:val="nil"/>
              <w:bottom w:val="nil"/>
              <w:right w:val="nil"/>
            </w:tcBorders>
            <w:vAlign w:val="center"/>
            <w:hideMark/>
          </w:tcPr>
          <w:p w14:paraId="28BFE20C"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0.775</w:t>
            </w:r>
          </w:p>
        </w:tc>
        <w:tc>
          <w:tcPr>
            <w:tcW w:w="3308" w:type="dxa"/>
            <w:tcBorders>
              <w:top w:val="nil"/>
              <w:left w:val="nil"/>
              <w:bottom w:val="nil"/>
              <w:right w:val="nil"/>
            </w:tcBorders>
            <w:vAlign w:val="center"/>
            <w:hideMark/>
          </w:tcPr>
          <w:p w14:paraId="644FBB1A"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53.9% lower mobility</w:t>
            </w:r>
          </w:p>
        </w:tc>
      </w:tr>
      <w:tr w:rsidR="004953E0" w:rsidRPr="00FF1E05" w14:paraId="10C232BA" w14:textId="77777777" w:rsidTr="00E43036">
        <w:trPr>
          <w:trHeight w:val="343"/>
        </w:trPr>
        <w:tc>
          <w:tcPr>
            <w:tcW w:w="1760" w:type="dxa"/>
            <w:tcBorders>
              <w:top w:val="nil"/>
              <w:left w:val="nil"/>
              <w:bottom w:val="nil"/>
              <w:right w:val="nil"/>
            </w:tcBorders>
            <w:vAlign w:val="center"/>
            <w:hideMark/>
          </w:tcPr>
          <w:p w14:paraId="13B0FB5B"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Sørmo et al. (2021)</w:t>
            </w:r>
          </w:p>
        </w:tc>
        <w:tc>
          <w:tcPr>
            <w:tcW w:w="900" w:type="dxa"/>
            <w:tcBorders>
              <w:top w:val="nil"/>
              <w:left w:val="nil"/>
              <w:bottom w:val="nil"/>
              <w:right w:val="nil"/>
            </w:tcBorders>
            <w:vAlign w:val="center"/>
            <w:hideMark/>
          </w:tcPr>
          <w:p w14:paraId="07A786D0"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exact</w:t>
            </w:r>
          </w:p>
        </w:tc>
        <w:tc>
          <w:tcPr>
            <w:tcW w:w="1120" w:type="dxa"/>
            <w:tcBorders>
              <w:top w:val="nil"/>
              <w:left w:val="nil"/>
              <w:bottom w:val="nil"/>
              <w:right w:val="nil"/>
            </w:tcBorders>
            <w:vAlign w:val="center"/>
            <w:hideMark/>
          </w:tcPr>
          <w:p w14:paraId="40EB883E"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0.968</w:t>
            </w:r>
          </w:p>
        </w:tc>
        <w:tc>
          <w:tcPr>
            <w:tcW w:w="3308" w:type="dxa"/>
            <w:tcBorders>
              <w:top w:val="nil"/>
              <w:left w:val="nil"/>
              <w:bottom w:val="nil"/>
              <w:right w:val="nil"/>
            </w:tcBorders>
            <w:vAlign w:val="center"/>
            <w:hideMark/>
          </w:tcPr>
          <w:p w14:paraId="26D69295"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62.0% lower mobility</w:t>
            </w:r>
          </w:p>
        </w:tc>
      </w:tr>
      <w:tr w:rsidR="004953E0" w:rsidRPr="00FF1E05" w14:paraId="38DD9A26" w14:textId="77777777" w:rsidTr="00E43036">
        <w:trPr>
          <w:trHeight w:val="343"/>
        </w:trPr>
        <w:tc>
          <w:tcPr>
            <w:tcW w:w="1760" w:type="dxa"/>
            <w:tcBorders>
              <w:top w:val="nil"/>
              <w:left w:val="nil"/>
              <w:bottom w:val="nil"/>
              <w:right w:val="nil"/>
            </w:tcBorders>
            <w:vAlign w:val="center"/>
            <w:hideMark/>
          </w:tcPr>
          <w:p w14:paraId="0520BFD3"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Navarro et al. (2023)</w:t>
            </w:r>
          </w:p>
        </w:tc>
        <w:tc>
          <w:tcPr>
            <w:tcW w:w="900" w:type="dxa"/>
            <w:tcBorders>
              <w:top w:val="nil"/>
              <w:left w:val="nil"/>
              <w:bottom w:val="nil"/>
              <w:right w:val="nil"/>
            </w:tcBorders>
            <w:vAlign w:val="center"/>
            <w:hideMark/>
          </w:tcPr>
          <w:p w14:paraId="546BA23F"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exact</w:t>
            </w:r>
          </w:p>
        </w:tc>
        <w:tc>
          <w:tcPr>
            <w:tcW w:w="1120" w:type="dxa"/>
            <w:tcBorders>
              <w:top w:val="nil"/>
              <w:left w:val="nil"/>
              <w:bottom w:val="nil"/>
              <w:right w:val="nil"/>
            </w:tcBorders>
            <w:vAlign w:val="center"/>
            <w:hideMark/>
          </w:tcPr>
          <w:p w14:paraId="403C2540"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1.249</w:t>
            </w:r>
          </w:p>
        </w:tc>
        <w:tc>
          <w:tcPr>
            <w:tcW w:w="3308" w:type="dxa"/>
            <w:tcBorders>
              <w:top w:val="nil"/>
              <w:left w:val="nil"/>
              <w:bottom w:val="nil"/>
              <w:right w:val="nil"/>
            </w:tcBorders>
            <w:vAlign w:val="center"/>
            <w:hideMark/>
          </w:tcPr>
          <w:p w14:paraId="5E6DE456"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71.3% lower mobility</w:t>
            </w:r>
          </w:p>
        </w:tc>
      </w:tr>
      <w:tr w:rsidR="004953E0" w:rsidRPr="00FF1E05" w14:paraId="62A25120" w14:textId="77777777" w:rsidTr="00E43036">
        <w:trPr>
          <w:trHeight w:val="343"/>
        </w:trPr>
        <w:tc>
          <w:tcPr>
            <w:tcW w:w="1760" w:type="dxa"/>
            <w:tcBorders>
              <w:top w:val="nil"/>
              <w:left w:val="nil"/>
              <w:bottom w:val="nil"/>
              <w:right w:val="nil"/>
            </w:tcBorders>
            <w:vAlign w:val="center"/>
            <w:hideMark/>
          </w:tcPr>
          <w:p w14:paraId="286F74A7" w14:textId="77777777" w:rsidR="004953E0" w:rsidRPr="00FF1E05" w:rsidRDefault="004953E0" w:rsidP="00EA3112">
            <w:pPr>
              <w:spacing w:after="0" w:line="240" w:lineRule="auto"/>
              <w:rPr>
                <w:rFonts w:eastAsia="Times New Roman" w:cs="Arial"/>
                <w:color w:val="000000"/>
                <w:sz w:val="18"/>
                <w:szCs w:val="18"/>
                <w:lang w:val="en-GB" w:eastAsia="en-GB"/>
              </w:rPr>
            </w:pPr>
            <w:proofErr w:type="spellStart"/>
            <w:r w:rsidRPr="00FF1E05">
              <w:rPr>
                <w:rFonts w:eastAsia="Times New Roman" w:cs="Arial"/>
                <w:color w:val="000000"/>
                <w:sz w:val="18"/>
                <w:szCs w:val="18"/>
                <w:lang w:val="en-GB" w:eastAsia="en-GB"/>
              </w:rPr>
              <w:t>Skjennum</w:t>
            </w:r>
            <w:proofErr w:type="spellEnd"/>
            <w:r w:rsidRPr="00FF1E05">
              <w:rPr>
                <w:rFonts w:eastAsia="Times New Roman" w:cs="Arial"/>
                <w:color w:val="000000"/>
                <w:sz w:val="18"/>
                <w:szCs w:val="18"/>
                <w:lang w:val="en-GB" w:eastAsia="en-GB"/>
              </w:rPr>
              <w:t xml:space="preserve"> et al. (2026)</w:t>
            </w:r>
          </w:p>
        </w:tc>
        <w:tc>
          <w:tcPr>
            <w:tcW w:w="900" w:type="dxa"/>
            <w:tcBorders>
              <w:top w:val="nil"/>
              <w:left w:val="nil"/>
              <w:bottom w:val="nil"/>
              <w:right w:val="nil"/>
            </w:tcBorders>
            <w:vAlign w:val="center"/>
            <w:hideMark/>
          </w:tcPr>
          <w:p w14:paraId="56DB0422"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exact</w:t>
            </w:r>
          </w:p>
        </w:tc>
        <w:tc>
          <w:tcPr>
            <w:tcW w:w="1120" w:type="dxa"/>
            <w:tcBorders>
              <w:top w:val="nil"/>
              <w:left w:val="nil"/>
              <w:bottom w:val="nil"/>
              <w:right w:val="nil"/>
            </w:tcBorders>
            <w:vAlign w:val="center"/>
            <w:hideMark/>
          </w:tcPr>
          <w:p w14:paraId="2B3A618C"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1.711</w:t>
            </w:r>
          </w:p>
        </w:tc>
        <w:tc>
          <w:tcPr>
            <w:tcW w:w="3308" w:type="dxa"/>
            <w:tcBorders>
              <w:top w:val="nil"/>
              <w:left w:val="nil"/>
              <w:bottom w:val="nil"/>
              <w:right w:val="nil"/>
            </w:tcBorders>
            <w:vAlign w:val="center"/>
            <w:hideMark/>
          </w:tcPr>
          <w:p w14:paraId="79BCFF7D"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81.9% lower mobility</w:t>
            </w:r>
          </w:p>
        </w:tc>
      </w:tr>
      <w:tr w:rsidR="004953E0" w:rsidRPr="00FF1E05" w14:paraId="3598A490" w14:textId="77777777" w:rsidTr="00E43036">
        <w:trPr>
          <w:trHeight w:val="343"/>
        </w:trPr>
        <w:tc>
          <w:tcPr>
            <w:tcW w:w="1760" w:type="dxa"/>
            <w:tcBorders>
              <w:top w:val="nil"/>
              <w:left w:val="nil"/>
              <w:bottom w:val="nil"/>
              <w:right w:val="nil"/>
            </w:tcBorders>
            <w:vAlign w:val="center"/>
            <w:hideMark/>
          </w:tcPr>
          <w:p w14:paraId="080F1610"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Jiang et al. (2025)</w:t>
            </w:r>
          </w:p>
        </w:tc>
        <w:tc>
          <w:tcPr>
            <w:tcW w:w="900" w:type="dxa"/>
            <w:tcBorders>
              <w:top w:val="nil"/>
              <w:left w:val="nil"/>
              <w:bottom w:val="nil"/>
              <w:right w:val="nil"/>
            </w:tcBorders>
            <w:vAlign w:val="center"/>
            <w:hideMark/>
          </w:tcPr>
          <w:p w14:paraId="45CE2AB2"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exact</w:t>
            </w:r>
          </w:p>
        </w:tc>
        <w:tc>
          <w:tcPr>
            <w:tcW w:w="1120" w:type="dxa"/>
            <w:tcBorders>
              <w:top w:val="nil"/>
              <w:left w:val="nil"/>
              <w:bottom w:val="nil"/>
              <w:right w:val="nil"/>
            </w:tcBorders>
            <w:vAlign w:val="center"/>
            <w:hideMark/>
          </w:tcPr>
          <w:p w14:paraId="1148C210"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2.275</w:t>
            </w:r>
          </w:p>
        </w:tc>
        <w:tc>
          <w:tcPr>
            <w:tcW w:w="3308" w:type="dxa"/>
            <w:tcBorders>
              <w:top w:val="nil"/>
              <w:left w:val="nil"/>
              <w:bottom w:val="nil"/>
              <w:right w:val="nil"/>
            </w:tcBorders>
            <w:vAlign w:val="center"/>
            <w:hideMark/>
          </w:tcPr>
          <w:p w14:paraId="2F4999A9"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89.7% lower mobility</w:t>
            </w:r>
          </w:p>
        </w:tc>
      </w:tr>
      <w:tr w:rsidR="004953E0" w:rsidRPr="00FF1E05" w14:paraId="6D045799" w14:textId="77777777" w:rsidTr="00E43036">
        <w:trPr>
          <w:trHeight w:val="343"/>
        </w:trPr>
        <w:tc>
          <w:tcPr>
            <w:tcW w:w="1760" w:type="dxa"/>
            <w:tcBorders>
              <w:top w:val="nil"/>
              <w:left w:val="nil"/>
              <w:bottom w:val="nil"/>
              <w:right w:val="nil"/>
            </w:tcBorders>
            <w:vAlign w:val="center"/>
            <w:hideMark/>
          </w:tcPr>
          <w:p w14:paraId="3BEDFCAF"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Zhang et al. (2026)</w:t>
            </w:r>
          </w:p>
        </w:tc>
        <w:tc>
          <w:tcPr>
            <w:tcW w:w="900" w:type="dxa"/>
            <w:tcBorders>
              <w:top w:val="nil"/>
              <w:left w:val="nil"/>
              <w:bottom w:val="nil"/>
              <w:right w:val="nil"/>
            </w:tcBorders>
            <w:vAlign w:val="center"/>
            <w:hideMark/>
          </w:tcPr>
          <w:p w14:paraId="34038D48"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exact</w:t>
            </w:r>
          </w:p>
        </w:tc>
        <w:tc>
          <w:tcPr>
            <w:tcW w:w="1120" w:type="dxa"/>
            <w:tcBorders>
              <w:top w:val="nil"/>
              <w:left w:val="nil"/>
              <w:bottom w:val="nil"/>
              <w:right w:val="nil"/>
            </w:tcBorders>
            <w:vAlign w:val="center"/>
            <w:hideMark/>
          </w:tcPr>
          <w:p w14:paraId="074FD67B"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2.355</w:t>
            </w:r>
          </w:p>
        </w:tc>
        <w:tc>
          <w:tcPr>
            <w:tcW w:w="3308" w:type="dxa"/>
            <w:tcBorders>
              <w:top w:val="nil"/>
              <w:left w:val="nil"/>
              <w:bottom w:val="nil"/>
              <w:right w:val="nil"/>
            </w:tcBorders>
            <w:vAlign w:val="center"/>
            <w:hideMark/>
          </w:tcPr>
          <w:p w14:paraId="1CE3DF90"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90.5% lower mobility</w:t>
            </w:r>
          </w:p>
        </w:tc>
      </w:tr>
      <w:tr w:rsidR="004953E0" w:rsidRPr="00FF1E05" w14:paraId="702896B7" w14:textId="77777777" w:rsidTr="00E43036">
        <w:trPr>
          <w:trHeight w:val="343"/>
        </w:trPr>
        <w:tc>
          <w:tcPr>
            <w:tcW w:w="1760" w:type="dxa"/>
            <w:tcBorders>
              <w:top w:val="nil"/>
              <w:left w:val="nil"/>
              <w:bottom w:val="nil"/>
              <w:right w:val="nil"/>
            </w:tcBorders>
            <w:vAlign w:val="center"/>
            <w:hideMark/>
          </w:tcPr>
          <w:p w14:paraId="5AA182F0"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Zhang &amp; Liang (2022a)</w:t>
            </w:r>
          </w:p>
        </w:tc>
        <w:tc>
          <w:tcPr>
            <w:tcW w:w="900" w:type="dxa"/>
            <w:tcBorders>
              <w:top w:val="nil"/>
              <w:left w:val="nil"/>
              <w:bottom w:val="nil"/>
              <w:right w:val="nil"/>
            </w:tcBorders>
            <w:vAlign w:val="center"/>
            <w:hideMark/>
          </w:tcPr>
          <w:p w14:paraId="012922DC"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exact</w:t>
            </w:r>
          </w:p>
        </w:tc>
        <w:tc>
          <w:tcPr>
            <w:tcW w:w="1120" w:type="dxa"/>
            <w:tcBorders>
              <w:top w:val="nil"/>
              <w:left w:val="nil"/>
              <w:bottom w:val="nil"/>
              <w:right w:val="nil"/>
            </w:tcBorders>
            <w:vAlign w:val="center"/>
            <w:hideMark/>
          </w:tcPr>
          <w:p w14:paraId="222AF417"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2.76</w:t>
            </w:r>
          </w:p>
        </w:tc>
        <w:tc>
          <w:tcPr>
            <w:tcW w:w="3308" w:type="dxa"/>
            <w:tcBorders>
              <w:top w:val="nil"/>
              <w:left w:val="nil"/>
              <w:bottom w:val="nil"/>
              <w:right w:val="nil"/>
            </w:tcBorders>
            <w:vAlign w:val="center"/>
            <w:hideMark/>
          </w:tcPr>
          <w:p w14:paraId="64E2E99A"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93.7% lower mobility</w:t>
            </w:r>
          </w:p>
        </w:tc>
      </w:tr>
      <w:tr w:rsidR="004953E0" w:rsidRPr="00FF1E05" w14:paraId="21FDC1FE" w14:textId="77777777" w:rsidTr="00E43036">
        <w:trPr>
          <w:trHeight w:val="343"/>
        </w:trPr>
        <w:tc>
          <w:tcPr>
            <w:tcW w:w="1760" w:type="dxa"/>
            <w:tcBorders>
              <w:top w:val="nil"/>
              <w:left w:val="nil"/>
              <w:right w:val="nil"/>
            </w:tcBorders>
            <w:vAlign w:val="center"/>
            <w:hideMark/>
          </w:tcPr>
          <w:p w14:paraId="602AE3DD"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Hubert et al. (2025)</w:t>
            </w:r>
          </w:p>
        </w:tc>
        <w:tc>
          <w:tcPr>
            <w:tcW w:w="900" w:type="dxa"/>
            <w:tcBorders>
              <w:top w:val="nil"/>
              <w:left w:val="nil"/>
              <w:right w:val="nil"/>
            </w:tcBorders>
            <w:vAlign w:val="center"/>
            <w:hideMark/>
          </w:tcPr>
          <w:p w14:paraId="68747903"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exact</w:t>
            </w:r>
          </w:p>
        </w:tc>
        <w:tc>
          <w:tcPr>
            <w:tcW w:w="1120" w:type="dxa"/>
            <w:tcBorders>
              <w:top w:val="nil"/>
              <w:left w:val="nil"/>
              <w:right w:val="nil"/>
            </w:tcBorders>
            <w:vAlign w:val="center"/>
            <w:hideMark/>
          </w:tcPr>
          <w:p w14:paraId="57535F3A"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5.974</w:t>
            </w:r>
          </w:p>
        </w:tc>
        <w:tc>
          <w:tcPr>
            <w:tcW w:w="3308" w:type="dxa"/>
            <w:tcBorders>
              <w:top w:val="nil"/>
              <w:left w:val="nil"/>
              <w:right w:val="nil"/>
            </w:tcBorders>
            <w:vAlign w:val="center"/>
            <w:hideMark/>
          </w:tcPr>
          <w:p w14:paraId="34790691"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99.7% lower mobility</w:t>
            </w:r>
          </w:p>
        </w:tc>
      </w:tr>
      <w:tr w:rsidR="004953E0" w:rsidRPr="00FF1E05" w14:paraId="6F0E24DC" w14:textId="77777777" w:rsidTr="00E43036">
        <w:trPr>
          <w:trHeight w:val="283"/>
        </w:trPr>
        <w:tc>
          <w:tcPr>
            <w:tcW w:w="1760" w:type="dxa"/>
            <w:tcBorders>
              <w:top w:val="nil"/>
              <w:left w:val="nil"/>
              <w:bottom w:val="single" w:sz="4" w:space="0" w:color="auto"/>
              <w:right w:val="nil"/>
            </w:tcBorders>
            <w:vAlign w:val="center"/>
            <w:hideMark/>
          </w:tcPr>
          <w:p w14:paraId="1F07F488"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Fu et al. (2025)</w:t>
            </w:r>
          </w:p>
        </w:tc>
        <w:tc>
          <w:tcPr>
            <w:tcW w:w="900" w:type="dxa"/>
            <w:tcBorders>
              <w:top w:val="nil"/>
              <w:left w:val="nil"/>
              <w:bottom w:val="single" w:sz="4" w:space="0" w:color="auto"/>
              <w:right w:val="nil"/>
            </w:tcBorders>
            <w:vAlign w:val="center"/>
            <w:hideMark/>
          </w:tcPr>
          <w:p w14:paraId="0F3CD548"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exact</w:t>
            </w:r>
          </w:p>
        </w:tc>
        <w:tc>
          <w:tcPr>
            <w:tcW w:w="1120" w:type="dxa"/>
            <w:tcBorders>
              <w:top w:val="nil"/>
              <w:left w:val="nil"/>
              <w:bottom w:val="single" w:sz="4" w:space="0" w:color="auto"/>
              <w:right w:val="nil"/>
            </w:tcBorders>
            <w:vAlign w:val="center"/>
            <w:hideMark/>
          </w:tcPr>
          <w:p w14:paraId="2BCEF6C3"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7.281</w:t>
            </w:r>
          </w:p>
        </w:tc>
        <w:tc>
          <w:tcPr>
            <w:tcW w:w="3308" w:type="dxa"/>
            <w:tcBorders>
              <w:top w:val="nil"/>
              <w:left w:val="nil"/>
              <w:bottom w:val="single" w:sz="4" w:space="0" w:color="auto"/>
              <w:right w:val="nil"/>
            </w:tcBorders>
            <w:vAlign w:val="center"/>
            <w:hideMark/>
          </w:tcPr>
          <w:p w14:paraId="3DDD54E2" w14:textId="77777777" w:rsidR="004953E0" w:rsidRPr="00FF1E05" w:rsidRDefault="004953E0"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99.9% lower mobility</w:t>
            </w:r>
          </w:p>
        </w:tc>
      </w:tr>
    </w:tbl>
    <w:p w14:paraId="094F8875" w14:textId="77777777" w:rsidR="004953E0" w:rsidRPr="00FF1E05" w:rsidRDefault="004953E0" w:rsidP="0072319D">
      <w:pPr>
        <w:jc w:val="both"/>
        <w:rPr>
          <w:rFonts w:cs="Arial"/>
          <w:color w:val="000000" w:themeColor="text1"/>
          <w:sz w:val="22"/>
        </w:rPr>
        <w:sectPr w:rsidR="004953E0" w:rsidRPr="00FF1E05" w:rsidSect="0072319D">
          <w:pgSz w:w="11906" w:h="16838"/>
          <w:pgMar w:top="1134" w:right="1700" w:bottom="1134" w:left="1560" w:header="720" w:footer="720" w:gutter="0"/>
          <w:cols w:space="720"/>
          <w:docGrid w:linePitch="360"/>
        </w:sectPr>
      </w:pPr>
    </w:p>
    <w:p w14:paraId="40F03568" w14:textId="7727F034" w:rsidR="007F0C34" w:rsidRPr="00FF1E05" w:rsidRDefault="00ED14B9" w:rsidP="0077137F">
      <w:pPr>
        <w:keepNext/>
        <w:jc w:val="both"/>
        <w:rPr>
          <w:rFonts w:cs="Arial"/>
          <w:color w:val="000000" w:themeColor="text1"/>
          <w:sz w:val="18"/>
          <w:szCs w:val="18"/>
        </w:rPr>
      </w:pPr>
      <w:r w:rsidRPr="00FF1E05">
        <w:rPr>
          <w:rFonts w:cs="Arial"/>
          <w:color w:val="000000" w:themeColor="text1"/>
          <w:sz w:val="18"/>
          <w:szCs w:val="18"/>
        </w:rPr>
        <w:lastRenderedPageBreak/>
        <w:t>Table S8. PFAS-specific study-balanced mobility summaries.</w:t>
      </w:r>
    </w:p>
    <w:tbl>
      <w:tblPr>
        <w:tblW w:w="8464" w:type="dxa"/>
        <w:tblInd w:w="108" w:type="dxa"/>
        <w:tblLook w:val="04A0" w:firstRow="1" w:lastRow="0" w:firstColumn="1" w:lastColumn="0" w:noHBand="0" w:noVBand="1"/>
      </w:tblPr>
      <w:tblGrid>
        <w:gridCol w:w="1223"/>
        <w:gridCol w:w="1367"/>
        <w:gridCol w:w="1055"/>
        <w:gridCol w:w="935"/>
        <w:gridCol w:w="1798"/>
        <w:gridCol w:w="2086"/>
      </w:tblGrid>
      <w:tr w:rsidR="00EE6ECB" w:rsidRPr="00FF1E05" w14:paraId="54751B64" w14:textId="77777777" w:rsidTr="00EA3112">
        <w:trPr>
          <w:trHeight w:val="515"/>
        </w:trPr>
        <w:tc>
          <w:tcPr>
            <w:tcW w:w="1223" w:type="dxa"/>
            <w:tcBorders>
              <w:top w:val="single" w:sz="4" w:space="0" w:color="auto"/>
              <w:left w:val="nil"/>
              <w:bottom w:val="single" w:sz="4" w:space="0" w:color="auto"/>
              <w:right w:val="nil"/>
            </w:tcBorders>
            <w:shd w:val="clear" w:color="000000" w:fill="EDEDED"/>
            <w:vAlign w:val="center"/>
            <w:hideMark/>
          </w:tcPr>
          <w:p w14:paraId="05FA40C0"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PFAS</w:t>
            </w:r>
          </w:p>
        </w:tc>
        <w:tc>
          <w:tcPr>
            <w:tcW w:w="1367" w:type="dxa"/>
            <w:tcBorders>
              <w:top w:val="single" w:sz="4" w:space="0" w:color="auto"/>
              <w:left w:val="nil"/>
              <w:bottom w:val="single" w:sz="4" w:space="0" w:color="auto"/>
              <w:right w:val="nil"/>
            </w:tcBorders>
            <w:shd w:val="clear" w:color="000000" w:fill="EDEDED"/>
            <w:vAlign w:val="center"/>
            <w:hideMark/>
          </w:tcPr>
          <w:p w14:paraId="6C92A8D0"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Class</w:t>
            </w:r>
          </w:p>
        </w:tc>
        <w:tc>
          <w:tcPr>
            <w:tcW w:w="1055" w:type="dxa"/>
            <w:tcBorders>
              <w:top w:val="single" w:sz="4" w:space="0" w:color="auto"/>
              <w:left w:val="nil"/>
              <w:bottom w:val="single" w:sz="4" w:space="0" w:color="auto"/>
              <w:right w:val="nil"/>
            </w:tcBorders>
            <w:shd w:val="clear" w:color="000000" w:fill="EDEDED"/>
            <w:vAlign w:val="center"/>
            <w:hideMark/>
          </w:tcPr>
          <w:p w14:paraId="51633410"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Chain class</w:t>
            </w:r>
          </w:p>
        </w:tc>
        <w:tc>
          <w:tcPr>
            <w:tcW w:w="935" w:type="dxa"/>
            <w:tcBorders>
              <w:top w:val="single" w:sz="4" w:space="0" w:color="auto"/>
              <w:left w:val="nil"/>
              <w:bottom w:val="single" w:sz="4" w:space="0" w:color="auto"/>
              <w:right w:val="nil"/>
            </w:tcBorders>
            <w:shd w:val="clear" w:color="000000" w:fill="EDEDED"/>
            <w:vAlign w:val="center"/>
            <w:hideMark/>
          </w:tcPr>
          <w:p w14:paraId="65D1376E"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k studies</w:t>
            </w:r>
          </w:p>
        </w:tc>
        <w:tc>
          <w:tcPr>
            <w:tcW w:w="1798" w:type="dxa"/>
            <w:tcBorders>
              <w:top w:val="single" w:sz="4" w:space="0" w:color="auto"/>
              <w:left w:val="nil"/>
              <w:bottom w:val="single" w:sz="4" w:space="0" w:color="auto"/>
              <w:right w:val="nil"/>
            </w:tcBorders>
            <w:shd w:val="clear" w:color="000000" w:fill="EDEDED"/>
            <w:vAlign w:val="center"/>
            <w:hideMark/>
          </w:tcPr>
          <w:p w14:paraId="26486D33"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Median mobility change</w:t>
            </w:r>
          </w:p>
        </w:tc>
        <w:tc>
          <w:tcPr>
            <w:tcW w:w="2086" w:type="dxa"/>
            <w:tcBorders>
              <w:top w:val="single" w:sz="4" w:space="0" w:color="auto"/>
              <w:left w:val="nil"/>
              <w:bottom w:val="single" w:sz="4" w:space="0" w:color="auto"/>
              <w:right w:val="nil"/>
            </w:tcBorders>
            <w:shd w:val="clear" w:color="000000" w:fill="EDEDED"/>
            <w:vAlign w:val="center"/>
            <w:hideMark/>
          </w:tcPr>
          <w:p w14:paraId="43920921"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Exact median interval</w:t>
            </w:r>
          </w:p>
        </w:tc>
      </w:tr>
      <w:tr w:rsidR="00EE6ECB" w:rsidRPr="00FF1E05" w14:paraId="5BCF3563" w14:textId="77777777" w:rsidTr="00EA3112">
        <w:trPr>
          <w:trHeight w:val="858"/>
        </w:trPr>
        <w:tc>
          <w:tcPr>
            <w:tcW w:w="1223" w:type="dxa"/>
            <w:tcBorders>
              <w:top w:val="single" w:sz="4" w:space="0" w:color="auto"/>
              <w:left w:val="nil"/>
              <w:bottom w:val="nil"/>
              <w:right w:val="nil"/>
            </w:tcBorders>
            <w:vAlign w:val="center"/>
            <w:hideMark/>
          </w:tcPr>
          <w:p w14:paraId="2BA8B474"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PFOS</w:t>
            </w:r>
          </w:p>
        </w:tc>
        <w:tc>
          <w:tcPr>
            <w:tcW w:w="1367" w:type="dxa"/>
            <w:tcBorders>
              <w:top w:val="single" w:sz="4" w:space="0" w:color="auto"/>
              <w:left w:val="nil"/>
              <w:bottom w:val="nil"/>
              <w:right w:val="nil"/>
            </w:tcBorders>
            <w:vAlign w:val="center"/>
            <w:hideMark/>
          </w:tcPr>
          <w:p w14:paraId="021F99EA"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PFSA</w:t>
            </w:r>
          </w:p>
        </w:tc>
        <w:tc>
          <w:tcPr>
            <w:tcW w:w="1055" w:type="dxa"/>
            <w:tcBorders>
              <w:top w:val="single" w:sz="4" w:space="0" w:color="auto"/>
              <w:left w:val="nil"/>
              <w:bottom w:val="nil"/>
              <w:right w:val="nil"/>
            </w:tcBorders>
            <w:vAlign w:val="center"/>
            <w:hideMark/>
          </w:tcPr>
          <w:p w14:paraId="11605C56"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Long</w:t>
            </w:r>
          </w:p>
        </w:tc>
        <w:tc>
          <w:tcPr>
            <w:tcW w:w="935" w:type="dxa"/>
            <w:tcBorders>
              <w:top w:val="single" w:sz="4" w:space="0" w:color="auto"/>
              <w:left w:val="nil"/>
              <w:bottom w:val="nil"/>
              <w:right w:val="nil"/>
            </w:tcBorders>
            <w:vAlign w:val="center"/>
            <w:hideMark/>
          </w:tcPr>
          <w:p w14:paraId="38C2F6CF"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11</w:t>
            </w:r>
          </w:p>
        </w:tc>
        <w:tc>
          <w:tcPr>
            <w:tcW w:w="1798" w:type="dxa"/>
            <w:tcBorders>
              <w:top w:val="single" w:sz="4" w:space="0" w:color="auto"/>
              <w:left w:val="nil"/>
              <w:bottom w:val="nil"/>
              <w:right w:val="nil"/>
            </w:tcBorders>
            <w:vAlign w:val="center"/>
            <w:hideMark/>
          </w:tcPr>
          <w:p w14:paraId="2A832A15"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79.3% lower</w:t>
            </w:r>
          </w:p>
        </w:tc>
        <w:tc>
          <w:tcPr>
            <w:tcW w:w="2086" w:type="dxa"/>
            <w:tcBorders>
              <w:top w:val="single" w:sz="4" w:space="0" w:color="auto"/>
              <w:left w:val="nil"/>
              <w:bottom w:val="nil"/>
              <w:right w:val="nil"/>
            </w:tcBorders>
            <w:vAlign w:val="center"/>
            <w:hideMark/>
          </w:tcPr>
          <w:p w14:paraId="04F23B07"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38.3% to 94.0% lower</w:t>
            </w:r>
          </w:p>
        </w:tc>
      </w:tr>
      <w:tr w:rsidR="00EE6ECB" w:rsidRPr="00FF1E05" w14:paraId="0D28DE27" w14:textId="77777777" w:rsidTr="00EA3112">
        <w:trPr>
          <w:trHeight w:val="343"/>
        </w:trPr>
        <w:tc>
          <w:tcPr>
            <w:tcW w:w="1223" w:type="dxa"/>
            <w:tcBorders>
              <w:top w:val="nil"/>
              <w:left w:val="nil"/>
              <w:bottom w:val="nil"/>
              <w:right w:val="nil"/>
            </w:tcBorders>
            <w:vAlign w:val="center"/>
            <w:hideMark/>
          </w:tcPr>
          <w:p w14:paraId="373FF97F" w14:textId="77777777" w:rsidR="00EE6ECB" w:rsidRPr="00FF1E05" w:rsidRDefault="00EE6ECB" w:rsidP="00EA3112">
            <w:pPr>
              <w:spacing w:after="0" w:line="240" w:lineRule="auto"/>
              <w:rPr>
                <w:rFonts w:eastAsia="Times New Roman" w:cs="Arial"/>
                <w:color w:val="000000"/>
                <w:sz w:val="18"/>
                <w:szCs w:val="18"/>
                <w:lang w:val="en-GB" w:eastAsia="en-GB"/>
              </w:rPr>
            </w:pPr>
            <w:proofErr w:type="spellStart"/>
            <w:r w:rsidRPr="00FF1E05">
              <w:rPr>
                <w:rFonts w:eastAsia="Times New Roman" w:cs="Arial"/>
                <w:color w:val="000000"/>
                <w:sz w:val="18"/>
                <w:szCs w:val="18"/>
                <w:lang w:val="en-GB" w:eastAsia="en-GB"/>
              </w:rPr>
              <w:t>PFHpS</w:t>
            </w:r>
            <w:proofErr w:type="spellEnd"/>
          </w:p>
        </w:tc>
        <w:tc>
          <w:tcPr>
            <w:tcW w:w="1367" w:type="dxa"/>
            <w:tcBorders>
              <w:top w:val="nil"/>
              <w:left w:val="nil"/>
              <w:bottom w:val="nil"/>
              <w:right w:val="nil"/>
            </w:tcBorders>
            <w:vAlign w:val="center"/>
            <w:hideMark/>
          </w:tcPr>
          <w:p w14:paraId="2C535182"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PFSA</w:t>
            </w:r>
          </w:p>
        </w:tc>
        <w:tc>
          <w:tcPr>
            <w:tcW w:w="1055" w:type="dxa"/>
            <w:tcBorders>
              <w:top w:val="nil"/>
              <w:left w:val="nil"/>
              <w:bottom w:val="nil"/>
              <w:right w:val="nil"/>
            </w:tcBorders>
            <w:vAlign w:val="center"/>
            <w:hideMark/>
          </w:tcPr>
          <w:p w14:paraId="136AAFF0"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Long</w:t>
            </w:r>
          </w:p>
        </w:tc>
        <w:tc>
          <w:tcPr>
            <w:tcW w:w="935" w:type="dxa"/>
            <w:tcBorders>
              <w:top w:val="nil"/>
              <w:left w:val="nil"/>
              <w:bottom w:val="nil"/>
              <w:right w:val="nil"/>
            </w:tcBorders>
            <w:vAlign w:val="center"/>
            <w:hideMark/>
          </w:tcPr>
          <w:p w14:paraId="7EEC3724"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6</w:t>
            </w:r>
          </w:p>
        </w:tc>
        <w:tc>
          <w:tcPr>
            <w:tcW w:w="1798" w:type="dxa"/>
            <w:tcBorders>
              <w:top w:val="nil"/>
              <w:left w:val="nil"/>
              <w:bottom w:val="nil"/>
              <w:right w:val="nil"/>
            </w:tcBorders>
            <w:vAlign w:val="center"/>
            <w:hideMark/>
          </w:tcPr>
          <w:p w14:paraId="470C5FAE"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76.2% lower</w:t>
            </w:r>
          </w:p>
        </w:tc>
        <w:tc>
          <w:tcPr>
            <w:tcW w:w="2086" w:type="dxa"/>
            <w:tcBorders>
              <w:top w:val="nil"/>
              <w:left w:val="nil"/>
              <w:bottom w:val="nil"/>
              <w:right w:val="nil"/>
            </w:tcBorders>
            <w:vAlign w:val="center"/>
            <w:hideMark/>
          </w:tcPr>
          <w:p w14:paraId="40BF7CF0"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26.2% to 92.9% lower</w:t>
            </w:r>
          </w:p>
        </w:tc>
      </w:tr>
      <w:tr w:rsidR="00EE6ECB" w:rsidRPr="00FF1E05" w14:paraId="12ED79B3" w14:textId="77777777" w:rsidTr="00EA3112">
        <w:trPr>
          <w:trHeight w:val="763"/>
        </w:trPr>
        <w:tc>
          <w:tcPr>
            <w:tcW w:w="1223" w:type="dxa"/>
            <w:tcBorders>
              <w:top w:val="nil"/>
              <w:left w:val="nil"/>
              <w:bottom w:val="nil"/>
              <w:right w:val="nil"/>
            </w:tcBorders>
            <w:vAlign w:val="center"/>
            <w:hideMark/>
          </w:tcPr>
          <w:p w14:paraId="73DF4546" w14:textId="77777777" w:rsidR="00EE6ECB" w:rsidRPr="00FF1E05" w:rsidRDefault="00EE6ECB" w:rsidP="00EA3112">
            <w:pPr>
              <w:spacing w:after="0" w:line="240" w:lineRule="auto"/>
              <w:rPr>
                <w:rFonts w:eastAsia="Times New Roman" w:cs="Arial"/>
                <w:color w:val="000000"/>
                <w:sz w:val="18"/>
                <w:szCs w:val="18"/>
                <w:lang w:val="en-GB" w:eastAsia="en-GB"/>
              </w:rPr>
            </w:pPr>
            <w:proofErr w:type="spellStart"/>
            <w:r w:rsidRPr="00FF1E05">
              <w:rPr>
                <w:rFonts w:eastAsia="Times New Roman" w:cs="Arial"/>
                <w:color w:val="000000"/>
                <w:sz w:val="18"/>
                <w:szCs w:val="18"/>
                <w:lang w:val="en-GB" w:eastAsia="en-GB"/>
              </w:rPr>
              <w:t>PFHxS</w:t>
            </w:r>
            <w:proofErr w:type="spellEnd"/>
          </w:p>
        </w:tc>
        <w:tc>
          <w:tcPr>
            <w:tcW w:w="1367" w:type="dxa"/>
            <w:tcBorders>
              <w:top w:val="nil"/>
              <w:left w:val="nil"/>
              <w:bottom w:val="nil"/>
              <w:right w:val="nil"/>
            </w:tcBorders>
            <w:vAlign w:val="center"/>
            <w:hideMark/>
          </w:tcPr>
          <w:p w14:paraId="577176BB"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PFSA</w:t>
            </w:r>
          </w:p>
        </w:tc>
        <w:tc>
          <w:tcPr>
            <w:tcW w:w="1055" w:type="dxa"/>
            <w:tcBorders>
              <w:top w:val="nil"/>
              <w:left w:val="nil"/>
              <w:bottom w:val="nil"/>
              <w:right w:val="nil"/>
            </w:tcBorders>
            <w:vAlign w:val="center"/>
            <w:hideMark/>
          </w:tcPr>
          <w:p w14:paraId="36E4B7C7"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Long</w:t>
            </w:r>
          </w:p>
        </w:tc>
        <w:tc>
          <w:tcPr>
            <w:tcW w:w="935" w:type="dxa"/>
            <w:tcBorders>
              <w:top w:val="nil"/>
              <w:left w:val="nil"/>
              <w:bottom w:val="nil"/>
              <w:right w:val="nil"/>
            </w:tcBorders>
            <w:vAlign w:val="center"/>
            <w:hideMark/>
          </w:tcPr>
          <w:p w14:paraId="7F6B30F2"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11</w:t>
            </w:r>
          </w:p>
        </w:tc>
        <w:tc>
          <w:tcPr>
            <w:tcW w:w="1798" w:type="dxa"/>
            <w:tcBorders>
              <w:top w:val="nil"/>
              <w:left w:val="nil"/>
              <w:bottom w:val="nil"/>
              <w:right w:val="nil"/>
            </w:tcBorders>
            <w:vAlign w:val="center"/>
            <w:hideMark/>
          </w:tcPr>
          <w:p w14:paraId="4E41A415"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71.7% lower</w:t>
            </w:r>
          </w:p>
        </w:tc>
        <w:tc>
          <w:tcPr>
            <w:tcW w:w="2086" w:type="dxa"/>
            <w:tcBorders>
              <w:top w:val="nil"/>
              <w:left w:val="nil"/>
              <w:bottom w:val="nil"/>
              <w:right w:val="nil"/>
            </w:tcBorders>
            <w:vAlign w:val="center"/>
            <w:hideMark/>
          </w:tcPr>
          <w:p w14:paraId="47409052"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16.2% to 93.4% lower</w:t>
            </w:r>
          </w:p>
        </w:tc>
      </w:tr>
      <w:tr w:rsidR="00EE6ECB" w:rsidRPr="00FF1E05" w14:paraId="078F0F63" w14:textId="77777777" w:rsidTr="00EA3112">
        <w:trPr>
          <w:trHeight w:val="343"/>
        </w:trPr>
        <w:tc>
          <w:tcPr>
            <w:tcW w:w="1223" w:type="dxa"/>
            <w:tcBorders>
              <w:top w:val="nil"/>
              <w:left w:val="nil"/>
              <w:bottom w:val="nil"/>
              <w:right w:val="nil"/>
            </w:tcBorders>
            <w:vAlign w:val="center"/>
            <w:hideMark/>
          </w:tcPr>
          <w:p w14:paraId="3B628EAF" w14:textId="77777777" w:rsidR="00EE6ECB" w:rsidRPr="00FF1E05" w:rsidRDefault="00EE6ECB" w:rsidP="00EA3112">
            <w:pPr>
              <w:spacing w:after="0" w:line="240" w:lineRule="auto"/>
              <w:rPr>
                <w:rFonts w:eastAsia="Times New Roman" w:cs="Arial"/>
                <w:color w:val="000000"/>
                <w:sz w:val="18"/>
                <w:szCs w:val="18"/>
                <w:lang w:val="en-GB" w:eastAsia="en-GB"/>
              </w:rPr>
            </w:pPr>
            <w:proofErr w:type="spellStart"/>
            <w:r w:rsidRPr="00FF1E05">
              <w:rPr>
                <w:rFonts w:eastAsia="Times New Roman" w:cs="Arial"/>
                <w:color w:val="000000"/>
                <w:sz w:val="18"/>
                <w:szCs w:val="18"/>
                <w:lang w:val="en-GB" w:eastAsia="en-GB"/>
              </w:rPr>
              <w:t>PFHpA</w:t>
            </w:r>
            <w:proofErr w:type="spellEnd"/>
          </w:p>
        </w:tc>
        <w:tc>
          <w:tcPr>
            <w:tcW w:w="1367" w:type="dxa"/>
            <w:tcBorders>
              <w:top w:val="nil"/>
              <w:left w:val="nil"/>
              <w:bottom w:val="nil"/>
              <w:right w:val="nil"/>
            </w:tcBorders>
            <w:vAlign w:val="center"/>
            <w:hideMark/>
          </w:tcPr>
          <w:p w14:paraId="4F08B46D"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PFCA</w:t>
            </w:r>
          </w:p>
        </w:tc>
        <w:tc>
          <w:tcPr>
            <w:tcW w:w="1055" w:type="dxa"/>
            <w:tcBorders>
              <w:top w:val="nil"/>
              <w:left w:val="nil"/>
              <w:bottom w:val="nil"/>
              <w:right w:val="nil"/>
            </w:tcBorders>
            <w:vAlign w:val="center"/>
            <w:hideMark/>
          </w:tcPr>
          <w:p w14:paraId="1BFEA62C"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Short</w:t>
            </w:r>
          </w:p>
        </w:tc>
        <w:tc>
          <w:tcPr>
            <w:tcW w:w="935" w:type="dxa"/>
            <w:tcBorders>
              <w:top w:val="nil"/>
              <w:left w:val="nil"/>
              <w:bottom w:val="nil"/>
              <w:right w:val="nil"/>
            </w:tcBorders>
            <w:vAlign w:val="center"/>
            <w:hideMark/>
          </w:tcPr>
          <w:p w14:paraId="1339A108"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w:t>
            </w:r>
          </w:p>
        </w:tc>
        <w:tc>
          <w:tcPr>
            <w:tcW w:w="1798" w:type="dxa"/>
            <w:tcBorders>
              <w:top w:val="nil"/>
              <w:left w:val="nil"/>
              <w:bottom w:val="nil"/>
              <w:right w:val="nil"/>
            </w:tcBorders>
            <w:vAlign w:val="center"/>
            <w:hideMark/>
          </w:tcPr>
          <w:p w14:paraId="24E3687B"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62.6% lower</w:t>
            </w:r>
          </w:p>
        </w:tc>
        <w:tc>
          <w:tcPr>
            <w:tcW w:w="2086" w:type="dxa"/>
            <w:tcBorders>
              <w:top w:val="nil"/>
              <w:left w:val="nil"/>
              <w:bottom w:val="nil"/>
              <w:right w:val="nil"/>
            </w:tcBorders>
            <w:vAlign w:val="center"/>
            <w:hideMark/>
          </w:tcPr>
          <w:p w14:paraId="432BEF7B"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14.1% to 80.9% lower</w:t>
            </w:r>
          </w:p>
        </w:tc>
      </w:tr>
      <w:tr w:rsidR="00EE6ECB" w:rsidRPr="00FF1E05" w14:paraId="5B405BDB" w14:textId="77777777" w:rsidTr="00EA3112">
        <w:trPr>
          <w:trHeight w:val="343"/>
        </w:trPr>
        <w:tc>
          <w:tcPr>
            <w:tcW w:w="1223" w:type="dxa"/>
            <w:tcBorders>
              <w:top w:val="nil"/>
              <w:left w:val="nil"/>
              <w:bottom w:val="nil"/>
              <w:right w:val="nil"/>
            </w:tcBorders>
            <w:vAlign w:val="center"/>
            <w:hideMark/>
          </w:tcPr>
          <w:p w14:paraId="164E0A4E"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PFOA</w:t>
            </w:r>
          </w:p>
        </w:tc>
        <w:tc>
          <w:tcPr>
            <w:tcW w:w="1367" w:type="dxa"/>
            <w:tcBorders>
              <w:top w:val="nil"/>
              <w:left w:val="nil"/>
              <w:bottom w:val="nil"/>
              <w:right w:val="nil"/>
            </w:tcBorders>
            <w:vAlign w:val="center"/>
            <w:hideMark/>
          </w:tcPr>
          <w:p w14:paraId="4AEE14CC"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PFCA</w:t>
            </w:r>
          </w:p>
        </w:tc>
        <w:tc>
          <w:tcPr>
            <w:tcW w:w="1055" w:type="dxa"/>
            <w:tcBorders>
              <w:top w:val="nil"/>
              <w:left w:val="nil"/>
              <w:bottom w:val="nil"/>
              <w:right w:val="nil"/>
            </w:tcBorders>
            <w:vAlign w:val="center"/>
            <w:hideMark/>
          </w:tcPr>
          <w:p w14:paraId="2AA0B45F"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Long</w:t>
            </w:r>
          </w:p>
        </w:tc>
        <w:tc>
          <w:tcPr>
            <w:tcW w:w="935" w:type="dxa"/>
            <w:tcBorders>
              <w:top w:val="nil"/>
              <w:left w:val="nil"/>
              <w:bottom w:val="nil"/>
              <w:right w:val="nil"/>
            </w:tcBorders>
            <w:vAlign w:val="center"/>
            <w:hideMark/>
          </w:tcPr>
          <w:p w14:paraId="72346751"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13</w:t>
            </w:r>
          </w:p>
        </w:tc>
        <w:tc>
          <w:tcPr>
            <w:tcW w:w="1798" w:type="dxa"/>
            <w:tcBorders>
              <w:top w:val="nil"/>
              <w:left w:val="nil"/>
              <w:bottom w:val="nil"/>
              <w:right w:val="nil"/>
            </w:tcBorders>
            <w:vAlign w:val="center"/>
            <w:hideMark/>
          </w:tcPr>
          <w:p w14:paraId="5F6C8137"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62.1% lower</w:t>
            </w:r>
          </w:p>
        </w:tc>
        <w:tc>
          <w:tcPr>
            <w:tcW w:w="2086" w:type="dxa"/>
            <w:tcBorders>
              <w:top w:val="nil"/>
              <w:left w:val="nil"/>
              <w:bottom w:val="nil"/>
              <w:right w:val="nil"/>
            </w:tcBorders>
            <w:vAlign w:val="center"/>
            <w:hideMark/>
          </w:tcPr>
          <w:p w14:paraId="60A5FF4F"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12.2% to 90.5% lower</w:t>
            </w:r>
          </w:p>
        </w:tc>
      </w:tr>
      <w:tr w:rsidR="00EE6ECB" w:rsidRPr="00FF1E05" w14:paraId="1ACA9831" w14:textId="77777777" w:rsidTr="00EA3112">
        <w:trPr>
          <w:trHeight w:val="343"/>
        </w:trPr>
        <w:tc>
          <w:tcPr>
            <w:tcW w:w="1223" w:type="dxa"/>
            <w:tcBorders>
              <w:top w:val="nil"/>
              <w:left w:val="nil"/>
              <w:bottom w:val="nil"/>
              <w:right w:val="nil"/>
            </w:tcBorders>
            <w:vAlign w:val="center"/>
            <w:hideMark/>
          </w:tcPr>
          <w:p w14:paraId="4F10B873"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PFDA</w:t>
            </w:r>
          </w:p>
        </w:tc>
        <w:tc>
          <w:tcPr>
            <w:tcW w:w="1367" w:type="dxa"/>
            <w:tcBorders>
              <w:top w:val="nil"/>
              <w:left w:val="nil"/>
              <w:bottom w:val="nil"/>
              <w:right w:val="nil"/>
            </w:tcBorders>
            <w:vAlign w:val="center"/>
            <w:hideMark/>
          </w:tcPr>
          <w:p w14:paraId="4F80F017"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PFCA</w:t>
            </w:r>
          </w:p>
        </w:tc>
        <w:tc>
          <w:tcPr>
            <w:tcW w:w="1055" w:type="dxa"/>
            <w:tcBorders>
              <w:top w:val="nil"/>
              <w:left w:val="nil"/>
              <w:bottom w:val="nil"/>
              <w:right w:val="nil"/>
            </w:tcBorders>
            <w:vAlign w:val="center"/>
            <w:hideMark/>
          </w:tcPr>
          <w:p w14:paraId="208773CE"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Long</w:t>
            </w:r>
          </w:p>
        </w:tc>
        <w:tc>
          <w:tcPr>
            <w:tcW w:w="935" w:type="dxa"/>
            <w:tcBorders>
              <w:top w:val="nil"/>
              <w:left w:val="nil"/>
              <w:bottom w:val="nil"/>
              <w:right w:val="nil"/>
            </w:tcBorders>
            <w:vAlign w:val="center"/>
            <w:hideMark/>
          </w:tcPr>
          <w:p w14:paraId="07726A53"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7</w:t>
            </w:r>
          </w:p>
        </w:tc>
        <w:tc>
          <w:tcPr>
            <w:tcW w:w="1798" w:type="dxa"/>
            <w:tcBorders>
              <w:top w:val="nil"/>
              <w:left w:val="nil"/>
              <w:bottom w:val="nil"/>
              <w:right w:val="nil"/>
            </w:tcBorders>
            <w:vAlign w:val="center"/>
            <w:hideMark/>
          </w:tcPr>
          <w:p w14:paraId="4B65A661"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47.7% lower</w:t>
            </w:r>
          </w:p>
        </w:tc>
        <w:tc>
          <w:tcPr>
            <w:tcW w:w="2086" w:type="dxa"/>
            <w:tcBorders>
              <w:top w:val="nil"/>
              <w:left w:val="nil"/>
              <w:bottom w:val="nil"/>
              <w:right w:val="nil"/>
            </w:tcBorders>
            <w:vAlign w:val="center"/>
            <w:hideMark/>
          </w:tcPr>
          <w:p w14:paraId="15ACA1DF"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9.2% to 77.8% lower</w:t>
            </w:r>
          </w:p>
        </w:tc>
      </w:tr>
      <w:tr w:rsidR="00EE6ECB" w:rsidRPr="00FF1E05" w14:paraId="6F58C91E" w14:textId="77777777" w:rsidTr="00EA3112">
        <w:trPr>
          <w:trHeight w:val="343"/>
        </w:trPr>
        <w:tc>
          <w:tcPr>
            <w:tcW w:w="1223" w:type="dxa"/>
            <w:tcBorders>
              <w:top w:val="nil"/>
              <w:left w:val="nil"/>
              <w:bottom w:val="nil"/>
              <w:right w:val="nil"/>
            </w:tcBorders>
            <w:vAlign w:val="center"/>
            <w:hideMark/>
          </w:tcPr>
          <w:p w14:paraId="693D61C5"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PFBS</w:t>
            </w:r>
          </w:p>
        </w:tc>
        <w:tc>
          <w:tcPr>
            <w:tcW w:w="1367" w:type="dxa"/>
            <w:tcBorders>
              <w:top w:val="nil"/>
              <w:left w:val="nil"/>
              <w:bottom w:val="nil"/>
              <w:right w:val="nil"/>
            </w:tcBorders>
            <w:vAlign w:val="center"/>
            <w:hideMark/>
          </w:tcPr>
          <w:p w14:paraId="72DCB7D4"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PFSA</w:t>
            </w:r>
          </w:p>
        </w:tc>
        <w:tc>
          <w:tcPr>
            <w:tcW w:w="1055" w:type="dxa"/>
            <w:tcBorders>
              <w:top w:val="nil"/>
              <w:left w:val="nil"/>
              <w:bottom w:val="nil"/>
              <w:right w:val="nil"/>
            </w:tcBorders>
            <w:vAlign w:val="center"/>
            <w:hideMark/>
          </w:tcPr>
          <w:p w14:paraId="1885241F"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Short</w:t>
            </w:r>
          </w:p>
        </w:tc>
        <w:tc>
          <w:tcPr>
            <w:tcW w:w="935" w:type="dxa"/>
            <w:tcBorders>
              <w:top w:val="nil"/>
              <w:left w:val="nil"/>
              <w:bottom w:val="nil"/>
              <w:right w:val="nil"/>
            </w:tcBorders>
            <w:vAlign w:val="center"/>
            <w:hideMark/>
          </w:tcPr>
          <w:p w14:paraId="46C78683"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11</w:t>
            </w:r>
          </w:p>
        </w:tc>
        <w:tc>
          <w:tcPr>
            <w:tcW w:w="1798" w:type="dxa"/>
            <w:tcBorders>
              <w:top w:val="nil"/>
              <w:left w:val="nil"/>
              <w:bottom w:val="nil"/>
              <w:right w:val="nil"/>
            </w:tcBorders>
            <w:vAlign w:val="center"/>
            <w:hideMark/>
          </w:tcPr>
          <w:p w14:paraId="6F8033D7"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43.7% lower</w:t>
            </w:r>
          </w:p>
        </w:tc>
        <w:tc>
          <w:tcPr>
            <w:tcW w:w="2086" w:type="dxa"/>
            <w:tcBorders>
              <w:top w:val="nil"/>
              <w:left w:val="nil"/>
              <w:bottom w:val="nil"/>
              <w:right w:val="nil"/>
            </w:tcBorders>
            <w:vAlign w:val="center"/>
            <w:hideMark/>
          </w:tcPr>
          <w:p w14:paraId="2451C0A9"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19.1% to 87.8% lower</w:t>
            </w:r>
          </w:p>
        </w:tc>
      </w:tr>
      <w:tr w:rsidR="00EE6ECB" w:rsidRPr="00FF1E05" w14:paraId="5A8632DF" w14:textId="77777777" w:rsidTr="00EA3112">
        <w:trPr>
          <w:trHeight w:val="343"/>
        </w:trPr>
        <w:tc>
          <w:tcPr>
            <w:tcW w:w="1223" w:type="dxa"/>
            <w:tcBorders>
              <w:top w:val="nil"/>
              <w:left w:val="nil"/>
              <w:bottom w:val="nil"/>
              <w:right w:val="nil"/>
            </w:tcBorders>
            <w:vAlign w:val="center"/>
            <w:hideMark/>
          </w:tcPr>
          <w:p w14:paraId="3C2866CE"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PFNA</w:t>
            </w:r>
          </w:p>
        </w:tc>
        <w:tc>
          <w:tcPr>
            <w:tcW w:w="1367" w:type="dxa"/>
            <w:tcBorders>
              <w:top w:val="nil"/>
              <w:left w:val="nil"/>
              <w:bottom w:val="nil"/>
              <w:right w:val="nil"/>
            </w:tcBorders>
            <w:vAlign w:val="center"/>
            <w:hideMark/>
          </w:tcPr>
          <w:p w14:paraId="74FCBDAE"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PFCA</w:t>
            </w:r>
          </w:p>
        </w:tc>
        <w:tc>
          <w:tcPr>
            <w:tcW w:w="1055" w:type="dxa"/>
            <w:tcBorders>
              <w:top w:val="nil"/>
              <w:left w:val="nil"/>
              <w:bottom w:val="nil"/>
              <w:right w:val="nil"/>
            </w:tcBorders>
            <w:vAlign w:val="center"/>
            <w:hideMark/>
          </w:tcPr>
          <w:p w14:paraId="1F05BC0A"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Long</w:t>
            </w:r>
          </w:p>
        </w:tc>
        <w:tc>
          <w:tcPr>
            <w:tcW w:w="935" w:type="dxa"/>
            <w:tcBorders>
              <w:top w:val="nil"/>
              <w:left w:val="nil"/>
              <w:bottom w:val="nil"/>
              <w:right w:val="nil"/>
            </w:tcBorders>
            <w:vAlign w:val="center"/>
            <w:hideMark/>
          </w:tcPr>
          <w:p w14:paraId="3A0BA0FA"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w:t>
            </w:r>
          </w:p>
        </w:tc>
        <w:tc>
          <w:tcPr>
            <w:tcW w:w="1798" w:type="dxa"/>
            <w:tcBorders>
              <w:top w:val="nil"/>
              <w:left w:val="nil"/>
              <w:bottom w:val="nil"/>
              <w:right w:val="nil"/>
            </w:tcBorders>
            <w:vAlign w:val="center"/>
            <w:hideMark/>
          </w:tcPr>
          <w:p w14:paraId="6B2B6C63"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42.7% lower</w:t>
            </w:r>
          </w:p>
        </w:tc>
        <w:tc>
          <w:tcPr>
            <w:tcW w:w="2086" w:type="dxa"/>
            <w:tcBorders>
              <w:top w:val="nil"/>
              <w:left w:val="nil"/>
              <w:bottom w:val="nil"/>
              <w:right w:val="nil"/>
            </w:tcBorders>
            <w:vAlign w:val="center"/>
            <w:hideMark/>
          </w:tcPr>
          <w:p w14:paraId="7BE9FC6F"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9.3% to 80.3% lower</w:t>
            </w:r>
          </w:p>
        </w:tc>
      </w:tr>
      <w:tr w:rsidR="00EE6ECB" w:rsidRPr="00FF1E05" w14:paraId="0E6F952E" w14:textId="77777777" w:rsidTr="00EA3112">
        <w:trPr>
          <w:trHeight w:val="343"/>
        </w:trPr>
        <w:tc>
          <w:tcPr>
            <w:tcW w:w="1223" w:type="dxa"/>
            <w:tcBorders>
              <w:top w:val="nil"/>
              <w:left w:val="nil"/>
              <w:bottom w:val="nil"/>
              <w:right w:val="nil"/>
            </w:tcBorders>
            <w:vAlign w:val="center"/>
            <w:hideMark/>
          </w:tcPr>
          <w:p w14:paraId="695A7B49" w14:textId="77777777" w:rsidR="00EE6ECB" w:rsidRPr="00FF1E05" w:rsidRDefault="00EE6ECB" w:rsidP="00EA3112">
            <w:pPr>
              <w:spacing w:after="0" w:line="240" w:lineRule="auto"/>
              <w:rPr>
                <w:rFonts w:eastAsia="Times New Roman" w:cs="Arial"/>
                <w:color w:val="000000"/>
                <w:sz w:val="18"/>
                <w:szCs w:val="18"/>
                <w:lang w:val="en-GB" w:eastAsia="en-GB"/>
              </w:rPr>
            </w:pPr>
            <w:proofErr w:type="spellStart"/>
            <w:r w:rsidRPr="00FF1E05">
              <w:rPr>
                <w:rFonts w:eastAsia="Times New Roman" w:cs="Arial"/>
                <w:color w:val="000000"/>
                <w:sz w:val="18"/>
                <w:szCs w:val="18"/>
                <w:lang w:val="en-GB" w:eastAsia="en-GB"/>
              </w:rPr>
              <w:t>PFHxA</w:t>
            </w:r>
            <w:proofErr w:type="spellEnd"/>
          </w:p>
        </w:tc>
        <w:tc>
          <w:tcPr>
            <w:tcW w:w="1367" w:type="dxa"/>
            <w:tcBorders>
              <w:top w:val="nil"/>
              <w:left w:val="nil"/>
              <w:bottom w:val="nil"/>
              <w:right w:val="nil"/>
            </w:tcBorders>
            <w:vAlign w:val="center"/>
            <w:hideMark/>
          </w:tcPr>
          <w:p w14:paraId="4F389D66"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PFCA</w:t>
            </w:r>
          </w:p>
        </w:tc>
        <w:tc>
          <w:tcPr>
            <w:tcW w:w="1055" w:type="dxa"/>
            <w:tcBorders>
              <w:top w:val="nil"/>
              <w:left w:val="nil"/>
              <w:bottom w:val="nil"/>
              <w:right w:val="nil"/>
            </w:tcBorders>
            <w:vAlign w:val="center"/>
            <w:hideMark/>
          </w:tcPr>
          <w:p w14:paraId="49FB31E3"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Short</w:t>
            </w:r>
          </w:p>
        </w:tc>
        <w:tc>
          <w:tcPr>
            <w:tcW w:w="935" w:type="dxa"/>
            <w:tcBorders>
              <w:top w:val="nil"/>
              <w:left w:val="nil"/>
              <w:bottom w:val="nil"/>
              <w:right w:val="nil"/>
            </w:tcBorders>
            <w:vAlign w:val="center"/>
            <w:hideMark/>
          </w:tcPr>
          <w:p w14:paraId="44B5B784"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12</w:t>
            </w:r>
          </w:p>
        </w:tc>
        <w:tc>
          <w:tcPr>
            <w:tcW w:w="1798" w:type="dxa"/>
            <w:tcBorders>
              <w:top w:val="nil"/>
              <w:left w:val="nil"/>
              <w:bottom w:val="nil"/>
              <w:right w:val="nil"/>
            </w:tcBorders>
            <w:vAlign w:val="center"/>
            <w:hideMark/>
          </w:tcPr>
          <w:p w14:paraId="0A4E2BEE"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29.6% lower</w:t>
            </w:r>
          </w:p>
        </w:tc>
        <w:tc>
          <w:tcPr>
            <w:tcW w:w="2086" w:type="dxa"/>
            <w:tcBorders>
              <w:top w:val="nil"/>
              <w:left w:val="nil"/>
              <w:bottom w:val="nil"/>
              <w:right w:val="nil"/>
            </w:tcBorders>
            <w:vAlign w:val="center"/>
            <w:hideMark/>
          </w:tcPr>
          <w:p w14:paraId="73F80F4B"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23.1% to 65.1% lower</w:t>
            </w:r>
          </w:p>
        </w:tc>
      </w:tr>
      <w:tr w:rsidR="00EE6ECB" w:rsidRPr="00FF1E05" w14:paraId="65DAE3EE" w14:textId="77777777" w:rsidTr="00EA3112">
        <w:trPr>
          <w:trHeight w:val="343"/>
        </w:trPr>
        <w:tc>
          <w:tcPr>
            <w:tcW w:w="1223" w:type="dxa"/>
            <w:tcBorders>
              <w:top w:val="nil"/>
              <w:left w:val="nil"/>
              <w:right w:val="nil"/>
            </w:tcBorders>
            <w:vAlign w:val="center"/>
            <w:hideMark/>
          </w:tcPr>
          <w:p w14:paraId="69BAAC99"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PFBA</w:t>
            </w:r>
          </w:p>
        </w:tc>
        <w:tc>
          <w:tcPr>
            <w:tcW w:w="1367" w:type="dxa"/>
            <w:tcBorders>
              <w:top w:val="nil"/>
              <w:left w:val="nil"/>
              <w:right w:val="nil"/>
            </w:tcBorders>
            <w:vAlign w:val="center"/>
            <w:hideMark/>
          </w:tcPr>
          <w:p w14:paraId="397C4DD6"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PFCA</w:t>
            </w:r>
          </w:p>
        </w:tc>
        <w:tc>
          <w:tcPr>
            <w:tcW w:w="1055" w:type="dxa"/>
            <w:tcBorders>
              <w:top w:val="nil"/>
              <w:left w:val="nil"/>
              <w:right w:val="nil"/>
            </w:tcBorders>
            <w:vAlign w:val="center"/>
            <w:hideMark/>
          </w:tcPr>
          <w:p w14:paraId="70C2E5ED"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Short</w:t>
            </w:r>
          </w:p>
        </w:tc>
        <w:tc>
          <w:tcPr>
            <w:tcW w:w="935" w:type="dxa"/>
            <w:tcBorders>
              <w:top w:val="nil"/>
              <w:left w:val="nil"/>
              <w:right w:val="nil"/>
            </w:tcBorders>
            <w:vAlign w:val="center"/>
            <w:hideMark/>
          </w:tcPr>
          <w:p w14:paraId="7FFBB778"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8</w:t>
            </w:r>
          </w:p>
        </w:tc>
        <w:tc>
          <w:tcPr>
            <w:tcW w:w="1798" w:type="dxa"/>
            <w:tcBorders>
              <w:top w:val="nil"/>
              <w:left w:val="nil"/>
              <w:right w:val="nil"/>
            </w:tcBorders>
            <w:vAlign w:val="center"/>
            <w:hideMark/>
          </w:tcPr>
          <w:p w14:paraId="76BA78E4"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20.4% lower</w:t>
            </w:r>
          </w:p>
        </w:tc>
        <w:tc>
          <w:tcPr>
            <w:tcW w:w="2086" w:type="dxa"/>
            <w:tcBorders>
              <w:top w:val="nil"/>
              <w:left w:val="nil"/>
              <w:right w:val="nil"/>
            </w:tcBorders>
            <w:vAlign w:val="center"/>
            <w:hideMark/>
          </w:tcPr>
          <w:p w14:paraId="6ABCBE3C"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-1.4% to 86.9% lower</w:t>
            </w:r>
          </w:p>
        </w:tc>
      </w:tr>
      <w:tr w:rsidR="00EE6ECB" w:rsidRPr="00FF1E05" w14:paraId="4CEE6651" w14:textId="77777777" w:rsidTr="00EA3112">
        <w:trPr>
          <w:trHeight w:val="343"/>
        </w:trPr>
        <w:tc>
          <w:tcPr>
            <w:tcW w:w="1223" w:type="dxa"/>
            <w:tcBorders>
              <w:top w:val="nil"/>
              <w:left w:val="nil"/>
              <w:bottom w:val="single" w:sz="4" w:space="0" w:color="auto"/>
              <w:right w:val="nil"/>
            </w:tcBorders>
            <w:vAlign w:val="center"/>
            <w:hideMark/>
          </w:tcPr>
          <w:p w14:paraId="1966FD07" w14:textId="77777777" w:rsidR="00EE6ECB" w:rsidRPr="00FF1E05" w:rsidRDefault="00EE6ECB" w:rsidP="00EA3112">
            <w:pPr>
              <w:spacing w:after="0" w:line="240" w:lineRule="auto"/>
              <w:rPr>
                <w:rFonts w:eastAsia="Times New Roman" w:cs="Arial"/>
                <w:color w:val="000000"/>
                <w:sz w:val="18"/>
                <w:szCs w:val="18"/>
                <w:lang w:val="en-GB" w:eastAsia="en-GB"/>
              </w:rPr>
            </w:pPr>
            <w:proofErr w:type="spellStart"/>
            <w:r w:rsidRPr="00FF1E05">
              <w:rPr>
                <w:rFonts w:eastAsia="Times New Roman" w:cs="Arial"/>
                <w:color w:val="000000"/>
                <w:sz w:val="18"/>
                <w:szCs w:val="18"/>
                <w:lang w:val="en-GB" w:eastAsia="en-GB"/>
              </w:rPr>
              <w:t>PFPeA</w:t>
            </w:r>
            <w:proofErr w:type="spellEnd"/>
          </w:p>
        </w:tc>
        <w:tc>
          <w:tcPr>
            <w:tcW w:w="1367" w:type="dxa"/>
            <w:tcBorders>
              <w:top w:val="nil"/>
              <w:left w:val="nil"/>
              <w:bottom w:val="single" w:sz="4" w:space="0" w:color="auto"/>
              <w:right w:val="nil"/>
            </w:tcBorders>
            <w:vAlign w:val="center"/>
            <w:hideMark/>
          </w:tcPr>
          <w:p w14:paraId="1F05A7AC"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PFCA</w:t>
            </w:r>
          </w:p>
        </w:tc>
        <w:tc>
          <w:tcPr>
            <w:tcW w:w="1055" w:type="dxa"/>
            <w:tcBorders>
              <w:top w:val="nil"/>
              <w:left w:val="nil"/>
              <w:bottom w:val="single" w:sz="4" w:space="0" w:color="auto"/>
              <w:right w:val="nil"/>
            </w:tcBorders>
            <w:vAlign w:val="center"/>
            <w:hideMark/>
          </w:tcPr>
          <w:p w14:paraId="36FE38D1"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Short</w:t>
            </w:r>
          </w:p>
        </w:tc>
        <w:tc>
          <w:tcPr>
            <w:tcW w:w="935" w:type="dxa"/>
            <w:tcBorders>
              <w:top w:val="nil"/>
              <w:left w:val="nil"/>
              <w:bottom w:val="single" w:sz="4" w:space="0" w:color="auto"/>
              <w:right w:val="nil"/>
            </w:tcBorders>
            <w:vAlign w:val="center"/>
            <w:hideMark/>
          </w:tcPr>
          <w:p w14:paraId="51D680C4"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7</w:t>
            </w:r>
          </w:p>
        </w:tc>
        <w:tc>
          <w:tcPr>
            <w:tcW w:w="1798" w:type="dxa"/>
            <w:tcBorders>
              <w:top w:val="nil"/>
              <w:left w:val="nil"/>
              <w:bottom w:val="single" w:sz="4" w:space="0" w:color="auto"/>
              <w:right w:val="nil"/>
            </w:tcBorders>
            <w:vAlign w:val="center"/>
            <w:hideMark/>
          </w:tcPr>
          <w:p w14:paraId="2D16CD0D"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14.0% lower</w:t>
            </w:r>
          </w:p>
        </w:tc>
        <w:tc>
          <w:tcPr>
            <w:tcW w:w="2086" w:type="dxa"/>
            <w:tcBorders>
              <w:top w:val="nil"/>
              <w:left w:val="nil"/>
              <w:bottom w:val="single" w:sz="4" w:space="0" w:color="auto"/>
              <w:right w:val="nil"/>
            </w:tcBorders>
            <w:vAlign w:val="center"/>
            <w:hideMark/>
          </w:tcPr>
          <w:p w14:paraId="5EC52A23" w14:textId="77777777" w:rsidR="00EE6ECB" w:rsidRPr="00FF1E05" w:rsidRDefault="00EE6ECB"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-224.3% to 55.9% lower</w:t>
            </w:r>
          </w:p>
        </w:tc>
      </w:tr>
    </w:tbl>
    <w:p w14:paraId="305684D1" w14:textId="77777777" w:rsidR="00EE6ECB" w:rsidRPr="00FF1E05" w:rsidRDefault="00EE6ECB" w:rsidP="0077137F">
      <w:pPr>
        <w:keepNext/>
        <w:jc w:val="both"/>
        <w:rPr>
          <w:rFonts w:cs="Arial"/>
          <w:color w:val="000000" w:themeColor="text1"/>
          <w:sz w:val="18"/>
          <w:szCs w:val="18"/>
        </w:rPr>
      </w:pPr>
    </w:p>
    <w:p w14:paraId="3BD70AB6" w14:textId="0EF691EE" w:rsidR="004953E0" w:rsidRPr="00FF1E05" w:rsidRDefault="00EE6ECB" w:rsidP="0063269D">
      <w:pPr>
        <w:keepNext/>
        <w:jc w:val="both"/>
        <w:rPr>
          <w:rFonts w:cs="Arial"/>
          <w:color w:val="000000" w:themeColor="text1"/>
          <w:sz w:val="18"/>
          <w:szCs w:val="18"/>
        </w:rPr>
      </w:pPr>
      <w:r w:rsidRPr="00FF1E05">
        <w:rPr>
          <w:rFonts w:cs="Arial"/>
          <w:color w:val="000000" w:themeColor="text1"/>
          <w:sz w:val="18"/>
          <w:szCs w:val="18"/>
        </w:rPr>
        <w:t>Table S9. Molecular-structure mechanism analyses and sensitivities.</w:t>
      </w:r>
    </w:p>
    <w:tbl>
      <w:tblPr>
        <w:tblW w:w="7867" w:type="dxa"/>
        <w:tblInd w:w="108" w:type="dxa"/>
        <w:tblLook w:val="04A0" w:firstRow="1" w:lastRow="0" w:firstColumn="1" w:lastColumn="0" w:noHBand="0" w:noVBand="1"/>
      </w:tblPr>
      <w:tblGrid>
        <w:gridCol w:w="2367"/>
        <w:gridCol w:w="828"/>
        <w:gridCol w:w="1200"/>
        <w:gridCol w:w="1253"/>
        <w:gridCol w:w="2219"/>
      </w:tblGrid>
      <w:tr w:rsidR="0063269D" w:rsidRPr="00FF1E05" w14:paraId="43948E06" w14:textId="77777777" w:rsidTr="0063269D">
        <w:trPr>
          <w:trHeight w:val="510"/>
        </w:trPr>
        <w:tc>
          <w:tcPr>
            <w:tcW w:w="2367" w:type="dxa"/>
            <w:tcBorders>
              <w:top w:val="single" w:sz="4" w:space="0" w:color="auto"/>
              <w:left w:val="nil"/>
              <w:bottom w:val="single" w:sz="4" w:space="0" w:color="auto"/>
              <w:right w:val="nil"/>
            </w:tcBorders>
            <w:shd w:val="clear" w:color="000000" w:fill="EDEDED"/>
            <w:vAlign w:val="center"/>
            <w:hideMark/>
          </w:tcPr>
          <w:p w14:paraId="11AB7D3F"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Analysis</w:t>
            </w:r>
          </w:p>
        </w:tc>
        <w:tc>
          <w:tcPr>
            <w:tcW w:w="828" w:type="dxa"/>
            <w:tcBorders>
              <w:top w:val="single" w:sz="4" w:space="0" w:color="auto"/>
              <w:left w:val="nil"/>
              <w:bottom w:val="single" w:sz="4" w:space="0" w:color="auto"/>
              <w:right w:val="nil"/>
            </w:tcBorders>
            <w:shd w:val="clear" w:color="000000" w:fill="EDEDED"/>
            <w:vAlign w:val="center"/>
            <w:hideMark/>
          </w:tcPr>
          <w:p w14:paraId="7AF0A303"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k</w:t>
            </w:r>
          </w:p>
        </w:tc>
        <w:tc>
          <w:tcPr>
            <w:tcW w:w="1200" w:type="dxa"/>
            <w:tcBorders>
              <w:top w:val="single" w:sz="4" w:space="0" w:color="auto"/>
              <w:left w:val="nil"/>
              <w:bottom w:val="single" w:sz="4" w:space="0" w:color="auto"/>
              <w:right w:val="nil"/>
            </w:tcBorders>
            <w:shd w:val="clear" w:color="000000" w:fill="EDEDED"/>
            <w:vAlign w:val="center"/>
            <w:hideMark/>
          </w:tcPr>
          <w:p w14:paraId="7CAAB514"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Central effect</w:t>
            </w:r>
          </w:p>
        </w:tc>
        <w:tc>
          <w:tcPr>
            <w:tcW w:w="1253" w:type="dxa"/>
            <w:tcBorders>
              <w:top w:val="single" w:sz="4" w:space="0" w:color="auto"/>
              <w:left w:val="nil"/>
              <w:bottom w:val="single" w:sz="4" w:space="0" w:color="auto"/>
              <w:right w:val="nil"/>
            </w:tcBorders>
            <w:shd w:val="clear" w:color="000000" w:fill="EDEDED"/>
            <w:vAlign w:val="center"/>
            <w:hideMark/>
          </w:tcPr>
          <w:p w14:paraId="3BF1BE5F"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Exact median interval</w:t>
            </w:r>
          </w:p>
        </w:tc>
        <w:tc>
          <w:tcPr>
            <w:tcW w:w="2219" w:type="dxa"/>
            <w:tcBorders>
              <w:top w:val="single" w:sz="4" w:space="0" w:color="auto"/>
              <w:left w:val="nil"/>
              <w:bottom w:val="single" w:sz="4" w:space="0" w:color="auto"/>
              <w:right w:val="nil"/>
            </w:tcBorders>
            <w:shd w:val="clear" w:color="000000" w:fill="EDEDED"/>
            <w:vAlign w:val="center"/>
            <w:hideMark/>
          </w:tcPr>
          <w:p w14:paraId="442110F6"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Directional evidence</w:t>
            </w:r>
          </w:p>
        </w:tc>
      </w:tr>
      <w:tr w:rsidR="0063269D" w:rsidRPr="00FF1E05" w14:paraId="2E189A7A" w14:textId="77777777" w:rsidTr="0063269D">
        <w:trPr>
          <w:trHeight w:val="849"/>
        </w:trPr>
        <w:tc>
          <w:tcPr>
            <w:tcW w:w="2367" w:type="dxa"/>
            <w:tcBorders>
              <w:top w:val="single" w:sz="4" w:space="0" w:color="auto"/>
              <w:left w:val="nil"/>
              <w:bottom w:val="nil"/>
              <w:right w:val="nil"/>
            </w:tcBorders>
            <w:vAlign w:val="center"/>
            <w:hideMark/>
          </w:tcPr>
          <w:p w14:paraId="35196228"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Long vs short chain — primary paired analysis</w:t>
            </w:r>
          </w:p>
        </w:tc>
        <w:tc>
          <w:tcPr>
            <w:tcW w:w="828" w:type="dxa"/>
            <w:tcBorders>
              <w:top w:val="single" w:sz="4" w:space="0" w:color="auto"/>
              <w:left w:val="nil"/>
              <w:bottom w:val="nil"/>
              <w:right w:val="nil"/>
            </w:tcBorders>
            <w:vAlign w:val="center"/>
            <w:hideMark/>
          </w:tcPr>
          <w:p w14:paraId="29D77A8A"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12</w:t>
            </w:r>
          </w:p>
        </w:tc>
        <w:tc>
          <w:tcPr>
            <w:tcW w:w="1200" w:type="dxa"/>
            <w:tcBorders>
              <w:top w:val="single" w:sz="4" w:space="0" w:color="auto"/>
              <w:left w:val="nil"/>
              <w:bottom w:val="nil"/>
              <w:right w:val="nil"/>
            </w:tcBorders>
            <w:vAlign w:val="center"/>
            <w:hideMark/>
          </w:tcPr>
          <w:p w14:paraId="4A84CA16"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0.369</w:t>
            </w:r>
          </w:p>
        </w:tc>
        <w:tc>
          <w:tcPr>
            <w:tcW w:w="1253" w:type="dxa"/>
            <w:tcBorders>
              <w:top w:val="single" w:sz="4" w:space="0" w:color="auto"/>
              <w:left w:val="nil"/>
              <w:bottom w:val="nil"/>
              <w:right w:val="nil"/>
            </w:tcBorders>
            <w:vAlign w:val="center"/>
            <w:hideMark/>
          </w:tcPr>
          <w:p w14:paraId="6349928B"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0.305 to 0.638</w:t>
            </w:r>
          </w:p>
        </w:tc>
        <w:tc>
          <w:tcPr>
            <w:tcW w:w="2219" w:type="dxa"/>
            <w:tcBorders>
              <w:top w:val="single" w:sz="4" w:space="0" w:color="auto"/>
              <w:left w:val="nil"/>
              <w:bottom w:val="nil"/>
              <w:right w:val="nil"/>
            </w:tcBorders>
            <w:vAlign w:val="center"/>
            <w:hideMark/>
          </w:tcPr>
          <w:p w14:paraId="1887D58F"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11/12 long-chain stronger; P=0.0063</w:t>
            </w:r>
          </w:p>
        </w:tc>
      </w:tr>
      <w:tr w:rsidR="0063269D" w:rsidRPr="00FF1E05" w14:paraId="71EB8FBD" w14:textId="77777777" w:rsidTr="0063269D">
        <w:trPr>
          <w:trHeight w:val="849"/>
        </w:trPr>
        <w:tc>
          <w:tcPr>
            <w:tcW w:w="2367" w:type="dxa"/>
            <w:tcBorders>
              <w:top w:val="nil"/>
              <w:left w:val="nil"/>
              <w:bottom w:val="nil"/>
              <w:right w:val="nil"/>
            </w:tcBorders>
            <w:vAlign w:val="center"/>
            <w:hideMark/>
          </w:tcPr>
          <w:p w14:paraId="00EB17C3"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Long vs short — headgroup-adjusted sensitivity</w:t>
            </w:r>
          </w:p>
        </w:tc>
        <w:tc>
          <w:tcPr>
            <w:tcW w:w="828" w:type="dxa"/>
            <w:tcBorders>
              <w:top w:val="nil"/>
              <w:left w:val="nil"/>
              <w:bottom w:val="nil"/>
              <w:right w:val="nil"/>
            </w:tcBorders>
            <w:vAlign w:val="center"/>
            <w:hideMark/>
          </w:tcPr>
          <w:p w14:paraId="55FB345C"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12</w:t>
            </w:r>
          </w:p>
        </w:tc>
        <w:tc>
          <w:tcPr>
            <w:tcW w:w="1200" w:type="dxa"/>
            <w:tcBorders>
              <w:top w:val="nil"/>
              <w:left w:val="nil"/>
              <w:bottom w:val="nil"/>
              <w:right w:val="nil"/>
            </w:tcBorders>
            <w:vAlign w:val="center"/>
            <w:hideMark/>
          </w:tcPr>
          <w:p w14:paraId="211480D2"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0.327</w:t>
            </w:r>
          </w:p>
        </w:tc>
        <w:tc>
          <w:tcPr>
            <w:tcW w:w="1253" w:type="dxa"/>
            <w:tcBorders>
              <w:top w:val="nil"/>
              <w:left w:val="nil"/>
              <w:bottom w:val="nil"/>
              <w:right w:val="nil"/>
            </w:tcBorders>
            <w:vAlign w:val="center"/>
            <w:hideMark/>
          </w:tcPr>
          <w:p w14:paraId="2A9EBD99"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w:t>
            </w:r>
          </w:p>
        </w:tc>
        <w:tc>
          <w:tcPr>
            <w:tcW w:w="2219" w:type="dxa"/>
            <w:tcBorders>
              <w:top w:val="nil"/>
              <w:left w:val="nil"/>
              <w:bottom w:val="nil"/>
              <w:right w:val="nil"/>
            </w:tcBorders>
            <w:vAlign w:val="center"/>
            <w:hideMark/>
          </w:tcPr>
          <w:p w14:paraId="26DC7119"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11/12 long-chain stronger; P=0.0063</w:t>
            </w:r>
          </w:p>
        </w:tc>
      </w:tr>
      <w:tr w:rsidR="0063269D" w:rsidRPr="00FF1E05" w14:paraId="46D1CD97" w14:textId="77777777" w:rsidTr="0063269D">
        <w:trPr>
          <w:trHeight w:val="849"/>
        </w:trPr>
        <w:tc>
          <w:tcPr>
            <w:tcW w:w="2367" w:type="dxa"/>
            <w:tcBorders>
              <w:top w:val="nil"/>
              <w:left w:val="nil"/>
              <w:bottom w:val="nil"/>
              <w:right w:val="nil"/>
            </w:tcBorders>
            <w:vAlign w:val="center"/>
            <w:hideMark/>
          </w:tcPr>
          <w:p w14:paraId="74F646AF"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Long vs short within PFCA</w:t>
            </w:r>
          </w:p>
        </w:tc>
        <w:tc>
          <w:tcPr>
            <w:tcW w:w="828" w:type="dxa"/>
            <w:tcBorders>
              <w:top w:val="nil"/>
              <w:left w:val="nil"/>
              <w:bottom w:val="nil"/>
              <w:right w:val="nil"/>
            </w:tcBorders>
            <w:vAlign w:val="center"/>
            <w:hideMark/>
          </w:tcPr>
          <w:p w14:paraId="27029FB0"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12</w:t>
            </w:r>
          </w:p>
        </w:tc>
        <w:tc>
          <w:tcPr>
            <w:tcW w:w="1200" w:type="dxa"/>
            <w:tcBorders>
              <w:top w:val="nil"/>
              <w:left w:val="nil"/>
              <w:bottom w:val="nil"/>
              <w:right w:val="nil"/>
            </w:tcBorders>
            <w:vAlign w:val="center"/>
            <w:hideMark/>
          </w:tcPr>
          <w:p w14:paraId="2AB4DD02"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0.312</w:t>
            </w:r>
          </w:p>
        </w:tc>
        <w:tc>
          <w:tcPr>
            <w:tcW w:w="1253" w:type="dxa"/>
            <w:tcBorders>
              <w:top w:val="nil"/>
              <w:left w:val="nil"/>
              <w:bottom w:val="nil"/>
              <w:right w:val="nil"/>
            </w:tcBorders>
            <w:vAlign w:val="center"/>
            <w:hideMark/>
          </w:tcPr>
          <w:p w14:paraId="778F66CC"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w:t>
            </w:r>
          </w:p>
        </w:tc>
        <w:tc>
          <w:tcPr>
            <w:tcW w:w="2219" w:type="dxa"/>
            <w:tcBorders>
              <w:top w:val="nil"/>
              <w:left w:val="nil"/>
              <w:bottom w:val="nil"/>
              <w:right w:val="nil"/>
            </w:tcBorders>
            <w:vAlign w:val="center"/>
            <w:hideMark/>
          </w:tcPr>
          <w:p w14:paraId="53678E7A"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10/12 long-chain stronger; P=0.0386</w:t>
            </w:r>
          </w:p>
        </w:tc>
      </w:tr>
      <w:tr w:rsidR="0063269D" w:rsidRPr="00FF1E05" w14:paraId="59BD105E" w14:textId="77777777" w:rsidTr="0063269D">
        <w:trPr>
          <w:trHeight w:val="849"/>
        </w:trPr>
        <w:tc>
          <w:tcPr>
            <w:tcW w:w="2367" w:type="dxa"/>
            <w:tcBorders>
              <w:top w:val="nil"/>
              <w:left w:val="nil"/>
              <w:bottom w:val="nil"/>
              <w:right w:val="nil"/>
            </w:tcBorders>
            <w:vAlign w:val="center"/>
            <w:hideMark/>
          </w:tcPr>
          <w:p w14:paraId="79C8E993"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Long vs short within PFSA</w:t>
            </w:r>
          </w:p>
        </w:tc>
        <w:tc>
          <w:tcPr>
            <w:tcW w:w="828" w:type="dxa"/>
            <w:tcBorders>
              <w:top w:val="nil"/>
              <w:left w:val="nil"/>
              <w:bottom w:val="nil"/>
              <w:right w:val="nil"/>
            </w:tcBorders>
            <w:vAlign w:val="center"/>
            <w:hideMark/>
          </w:tcPr>
          <w:p w14:paraId="2BB5B6CC"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10</w:t>
            </w:r>
          </w:p>
        </w:tc>
        <w:tc>
          <w:tcPr>
            <w:tcW w:w="1200" w:type="dxa"/>
            <w:tcBorders>
              <w:top w:val="nil"/>
              <w:left w:val="nil"/>
              <w:bottom w:val="nil"/>
              <w:right w:val="nil"/>
            </w:tcBorders>
            <w:vAlign w:val="center"/>
            <w:hideMark/>
          </w:tcPr>
          <w:p w14:paraId="75327677"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0.278</w:t>
            </w:r>
          </w:p>
        </w:tc>
        <w:tc>
          <w:tcPr>
            <w:tcW w:w="1253" w:type="dxa"/>
            <w:tcBorders>
              <w:top w:val="nil"/>
              <w:left w:val="nil"/>
              <w:bottom w:val="nil"/>
              <w:right w:val="nil"/>
            </w:tcBorders>
            <w:vAlign w:val="center"/>
            <w:hideMark/>
          </w:tcPr>
          <w:p w14:paraId="2BF7A293"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w:t>
            </w:r>
          </w:p>
        </w:tc>
        <w:tc>
          <w:tcPr>
            <w:tcW w:w="2219" w:type="dxa"/>
            <w:tcBorders>
              <w:top w:val="nil"/>
              <w:left w:val="nil"/>
              <w:bottom w:val="nil"/>
              <w:right w:val="nil"/>
            </w:tcBorders>
            <w:vAlign w:val="center"/>
            <w:hideMark/>
          </w:tcPr>
          <w:p w14:paraId="5624B83E"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7/10 long-chain stronger; P=0.3438</w:t>
            </w:r>
          </w:p>
        </w:tc>
      </w:tr>
      <w:tr w:rsidR="0063269D" w:rsidRPr="00FF1E05" w14:paraId="018F1076" w14:textId="77777777" w:rsidTr="0063269D">
        <w:trPr>
          <w:trHeight w:val="849"/>
        </w:trPr>
        <w:tc>
          <w:tcPr>
            <w:tcW w:w="2367" w:type="dxa"/>
            <w:tcBorders>
              <w:top w:val="nil"/>
              <w:left w:val="nil"/>
              <w:bottom w:val="nil"/>
              <w:right w:val="nil"/>
            </w:tcBorders>
            <w:vAlign w:val="center"/>
            <w:hideMark/>
          </w:tcPr>
          <w:p w14:paraId="4529CAED"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Carbon-number gradient — headgroup-adjusted primary</w:t>
            </w:r>
          </w:p>
        </w:tc>
        <w:tc>
          <w:tcPr>
            <w:tcW w:w="828" w:type="dxa"/>
            <w:tcBorders>
              <w:top w:val="nil"/>
              <w:left w:val="nil"/>
              <w:bottom w:val="nil"/>
              <w:right w:val="nil"/>
            </w:tcBorders>
            <w:vAlign w:val="center"/>
            <w:hideMark/>
          </w:tcPr>
          <w:p w14:paraId="6F5ACBB3"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12</w:t>
            </w:r>
          </w:p>
        </w:tc>
        <w:tc>
          <w:tcPr>
            <w:tcW w:w="1200" w:type="dxa"/>
            <w:tcBorders>
              <w:top w:val="nil"/>
              <w:left w:val="nil"/>
              <w:bottom w:val="nil"/>
              <w:right w:val="nil"/>
            </w:tcBorders>
            <w:vAlign w:val="center"/>
            <w:hideMark/>
          </w:tcPr>
          <w:p w14:paraId="0945778F"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0.0863</w:t>
            </w:r>
          </w:p>
        </w:tc>
        <w:tc>
          <w:tcPr>
            <w:tcW w:w="1253" w:type="dxa"/>
            <w:tcBorders>
              <w:top w:val="nil"/>
              <w:left w:val="nil"/>
              <w:bottom w:val="nil"/>
              <w:right w:val="nil"/>
            </w:tcBorders>
            <w:vAlign w:val="center"/>
            <w:hideMark/>
          </w:tcPr>
          <w:p w14:paraId="49086138"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0.0183 to 0.2062</w:t>
            </w:r>
          </w:p>
        </w:tc>
        <w:tc>
          <w:tcPr>
            <w:tcW w:w="2219" w:type="dxa"/>
            <w:tcBorders>
              <w:top w:val="nil"/>
              <w:left w:val="nil"/>
              <w:bottom w:val="nil"/>
              <w:right w:val="nil"/>
            </w:tcBorders>
            <w:vAlign w:val="center"/>
            <w:hideMark/>
          </w:tcPr>
          <w:p w14:paraId="61868AFE"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11/12 positive; P=0.0063</w:t>
            </w:r>
          </w:p>
        </w:tc>
      </w:tr>
      <w:tr w:rsidR="0063269D" w:rsidRPr="00FF1E05" w14:paraId="4F033F0F" w14:textId="77777777" w:rsidTr="0063269D">
        <w:trPr>
          <w:trHeight w:val="849"/>
        </w:trPr>
        <w:tc>
          <w:tcPr>
            <w:tcW w:w="2367" w:type="dxa"/>
            <w:tcBorders>
              <w:top w:val="nil"/>
              <w:left w:val="nil"/>
              <w:right w:val="nil"/>
            </w:tcBorders>
            <w:vAlign w:val="center"/>
            <w:hideMark/>
          </w:tcPr>
          <w:p w14:paraId="68773EB4"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Carbon-number gradient — unadjusted sensitivity</w:t>
            </w:r>
          </w:p>
        </w:tc>
        <w:tc>
          <w:tcPr>
            <w:tcW w:w="828" w:type="dxa"/>
            <w:tcBorders>
              <w:top w:val="nil"/>
              <w:left w:val="nil"/>
              <w:right w:val="nil"/>
            </w:tcBorders>
            <w:vAlign w:val="center"/>
            <w:hideMark/>
          </w:tcPr>
          <w:p w14:paraId="41AD764E"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13</w:t>
            </w:r>
          </w:p>
        </w:tc>
        <w:tc>
          <w:tcPr>
            <w:tcW w:w="1200" w:type="dxa"/>
            <w:tcBorders>
              <w:top w:val="nil"/>
              <w:left w:val="nil"/>
              <w:right w:val="nil"/>
            </w:tcBorders>
            <w:vAlign w:val="center"/>
            <w:hideMark/>
          </w:tcPr>
          <w:p w14:paraId="36A05764"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0.0815</w:t>
            </w:r>
          </w:p>
        </w:tc>
        <w:tc>
          <w:tcPr>
            <w:tcW w:w="1253" w:type="dxa"/>
            <w:tcBorders>
              <w:top w:val="nil"/>
              <w:left w:val="nil"/>
              <w:right w:val="nil"/>
            </w:tcBorders>
            <w:vAlign w:val="center"/>
            <w:hideMark/>
          </w:tcPr>
          <w:p w14:paraId="404574FD"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w:t>
            </w:r>
          </w:p>
        </w:tc>
        <w:tc>
          <w:tcPr>
            <w:tcW w:w="2219" w:type="dxa"/>
            <w:tcBorders>
              <w:top w:val="nil"/>
              <w:left w:val="nil"/>
              <w:right w:val="nil"/>
            </w:tcBorders>
            <w:vAlign w:val="center"/>
            <w:hideMark/>
          </w:tcPr>
          <w:p w14:paraId="43A5E9B3"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10/13 positive; sign P=0.0923</w:t>
            </w:r>
          </w:p>
        </w:tc>
      </w:tr>
      <w:tr w:rsidR="0063269D" w:rsidRPr="00FF1E05" w14:paraId="58A8003B" w14:textId="77777777" w:rsidTr="0063269D">
        <w:trPr>
          <w:trHeight w:val="849"/>
        </w:trPr>
        <w:tc>
          <w:tcPr>
            <w:tcW w:w="2367" w:type="dxa"/>
            <w:tcBorders>
              <w:top w:val="nil"/>
              <w:left w:val="nil"/>
              <w:bottom w:val="single" w:sz="4" w:space="0" w:color="auto"/>
              <w:right w:val="nil"/>
            </w:tcBorders>
            <w:vAlign w:val="center"/>
            <w:hideMark/>
          </w:tcPr>
          <w:p w14:paraId="4A9703C8"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PFSA vs PFCA paired headgroup contrast</w:t>
            </w:r>
          </w:p>
        </w:tc>
        <w:tc>
          <w:tcPr>
            <w:tcW w:w="828" w:type="dxa"/>
            <w:tcBorders>
              <w:top w:val="nil"/>
              <w:left w:val="nil"/>
              <w:bottom w:val="single" w:sz="4" w:space="0" w:color="auto"/>
              <w:right w:val="nil"/>
            </w:tcBorders>
            <w:vAlign w:val="center"/>
            <w:hideMark/>
          </w:tcPr>
          <w:p w14:paraId="1E78E7A0"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12</w:t>
            </w:r>
          </w:p>
        </w:tc>
        <w:tc>
          <w:tcPr>
            <w:tcW w:w="1200" w:type="dxa"/>
            <w:tcBorders>
              <w:top w:val="nil"/>
              <w:left w:val="nil"/>
              <w:bottom w:val="single" w:sz="4" w:space="0" w:color="auto"/>
              <w:right w:val="nil"/>
            </w:tcBorders>
            <w:vAlign w:val="center"/>
            <w:hideMark/>
          </w:tcPr>
          <w:p w14:paraId="1F5AA20B"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0.367</w:t>
            </w:r>
          </w:p>
        </w:tc>
        <w:tc>
          <w:tcPr>
            <w:tcW w:w="1253" w:type="dxa"/>
            <w:tcBorders>
              <w:top w:val="nil"/>
              <w:left w:val="nil"/>
              <w:bottom w:val="single" w:sz="4" w:space="0" w:color="auto"/>
              <w:right w:val="nil"/>
            </w:tcBorders>
            <w:vAlign w:val="center"/>
            <w:hideMark/>
          </w:tcPr>
          <w:p w14:paraId="73074D52"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-0.022 to 0.505</w:t>
            </w:r>
          </w:p>
        </w:tc>
        <w:tc>
          <w:tcPr>
            <w:tcW w:w="2219" w:type="dxa"/>
            <w:tcBorders>
              <w:top w:val="nil"/>
              <w:left w:val="nil"/>
              <w:bottom w:val="single" w:sz="4" w:space="0" w:color="auto"/>
              <w:right w:val="nil"/>
            </w:tcBorders>
            <w:vAlign w:val="center"/>
            <w:hideMark/>
          </w:tcPr>
          <w:p w14:paraId="7A2E2E02" w14:textId="77777777" w:rsidR="0063269D" w:rsidRPr="00FF1E05" w:rsidRDefault="0063269D" w:rsidP="0063269D">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9/12 PFSA stronger; P=0.1460</w:t>
            </w:r>
          </w:p>
        </w:tc>
      </w:tr>
    </w:tbl>
    <w:p w14:paraId="25CFA17F" w14:textId="77777777" w:rsidR="00EE6ECB" w:rsidRPr="00FF1E05" w:rsidRDefault="00EE6ECB" w:rsidP="0072319D">
      <w:pPr>
        <w:jc w:val="both"/>
        <w:rPr>
          <w:rFonts w:cs="Arial"/>
          <w:color w:val="000000" w:themeColor="text1"/>
          <w:sz w:val="22"/>
        </w:rPr>
        <w:sectPr w:rsidR="00EE6ECB" w:rsidRPr="00FF1E05" w:rsidSect="0072319D">
          <w:pgSz w:w="11906" w:h="16838"/>
          <w:pgMar w:top="1134" w:right="1700" w:bottom="1134" w:left="1560" w:header="720" w:footer="720" w:gutter="0"/>
          <w:cols w:space="720"/>
          <w:docGrid w:linePitch="360"/>
        </w:sectPr>
      </w:pPr>
    </w:p>
    <w:p w14:paraId="2A12B771" w14:textId="77777777" w:rsidR="007F0C34" w:rsidRPr="00FF1E05" w:rsidRDefault="007F0C34" w:rsidP="0072319D">
      <w:pPr>
        <w:jc w:val="both"/>
        <w:rPr>
          <w:rFonts w:cs="Arial"/>
          <w:color w:val="000000" w:themeColor="text1"/>
          <w:sz w:val="22"/>
        </w:rPr>
      </w:pPr>
    </w:p>
    <w:p w14:paraId="0616FF56" w14:textId="5A85AC8E" w:rsidR="007F0C34" w:rsidRPr="00FF1E05" w:rsidRDefault="00ED14B9" w:rsidP="0072319D">
      <w:pPr>
        <w:keepNext/>
        <w:jc w:val="both"/>
        <w:rPr>
          <w:rFonts w:cs="Arial"/>
          <w:color w:val="000000" w:themeColor="text1"/>
          <w:sz w:val="18"/>
          <w:szCs w:val="18"/>
        </w:rPr>
      </w:pPr>
      <w:r w:rsidRPr="00FF1E05">
        <w:rPr>
          <w:rFonts w:cs="Arial"/>
          <w:color w:val="000000" w:themeColor="text1"/>
          <w:sz w:val="18"/>
          <w:szCs w:val="18"/>
        </w:rPr>
        <w:t xml:space="preserve">Table S10. </w:t>
      </w:r>
      <w:r w:rsidR="00041377" w:rsidRPr="00FF1E05">
        <w:rPr>
          <w:rFonts w:cs="Arial"/>
          <w:color w:val="000000" w:themeColor="text1"/>
          <w:sz w:val="18"/>
          <w:szCs w:val="18"/>
        </w:rPr>
        <w:t>Supplementary moderator analyses not shown in the main text</w:t>
      </w:r>
    </w:p>
    <w:tbl>
      <w:tblPr>
        <w:tblW w:w="6120" w:type="dxa"/>
        <w:tblInd w:w="108" w:type="dxa"/>
        <w:tblLook w:val="04A0" w:firstRow="1" w:lastRow="0" w:firstColumn="1" w:lastColumn="0" w:noHBand="0" w:noVBand="1"/>
      </w:tblPr>
      <w:tblGrid>
        <w:gridCol w:w="1516"/>
        <w:gridCol w:w="516"/>
        <w:gridCol w:w="842"/>
        <w:gridCol w:w="1047"/>
        <w:gridCol w:w="776"/>
        <w:gridCol w:w="1423"/>
      </w:tblGrid>
      <w:tr w:rsidR="00236DD6" w:rsidRPr="00FF1E05" w14:paraId="20294446" w14:textId="77777777" w:rsidTr="00236DD6">
        <w:trPr>
          <w:trHeight w:val="412"/>
        </w:trPr>
        <w:tc>
          <w:tcPr>
            <w:tcW w:w="1600" w:type="dxa"/>
            <w:tcBorders>
              <w:top w:val="single" w:sz="4" w:space="0" w:color="auto"/>
              <w:left w:val="nil"/>
              <w:bottom w:val="single" w:sz="4" w:space="0" w:color="auto"/>
              <w:right w:val="nil"/>
            </w:tcBorders>
            <w:shd w:val="clear" w:color="000000" w:fill="EDEDED"/>
            <w:vAlign w:val="center"/>
            <w:hideMark/>
          </w:tcPr>
          <w:p w14:paraId="01C97E55"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Moderator</w:t>
            </w:r>
          </w:p>
        </w:tc>
        <w:tc>
          <w:tcPr>
            <w:tcW w:w="560" w:type="dxa"/>
            <w:tcBorders>
              <w:top w:val="single" w:sz="4" w:space="0" w:color="auto"/>
              <w:left w:val="nil"/>
              <w:bottom w:val="single" w:sz="4" w:space="0" w:color="auto"/>
              <w:right w:val="nil"/>
            </w:tcBorders>
            <w:shd w:val="clear" w:color="000000" w:fill="EDEDED"/>
            <w:vAlign w:val="center"/>
            <w:hideMark/>
          </w:tcPr>
          <w:p w14:paraId="2A0025B9"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k</w:t>
            </w:r>
          </w:p>
        </w:tc>
        <w:tc>
          <w:tcPr>
            <w:tcW w:w="880" w:type="dxa"/>
            <w:tcBorders>
              <w:top w:val="single" w:sz="4" w:space="0" w:color="auto"/>
              <w:left w:val="nil"/>
              <w:bottom w:val="single" w:sz="4" w:space="0" w:color="auto"/>
              <w:right w:val="nil"/>
            </w:tcBorders>
            <w:shd w:val="clear" w:color="000000" w:fill="EDEDED"/>
            <w:vAlign w:val="center"/>
            <w:hideMark/>
          </w:tcPr>
          <w:p w14:paraId="62B3EF71"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Scale</w:t>
            </w:r>
          </w:p>
        </w:tc>
        <w:tc>
          <w:tcPr>
            <w:tcW w:w="780" w:type="dxa"/>
            <w:tcBorders>
              <w:top w:val="single" w:sz="4" w:space="0" w:color="auto"/>
              <w:left w:val="nil"/>
              <w:bottom w:val="single" w:sz="4" w:space="0" w:color="auto"/>
              <w:right w:val="nil"/>
            </w:tcBorders>
            <w:shd w:val="clear" w:color="000000" w:fill="EDEDED"/>
            <w:vAlign w:val="center"/>
            <w:hideMark/>
          </w:tcPr>
          <w:p w14:paraId="2BF5AC9A"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Spearman ρ</w:t>
            </w:r>
          </w:p>
        </w:tc>
        <w:tc>
          <w:tcPr>
            <w:tcW w:w="800" w:type="dxa"/>
            <w:tcBorders>
              <w:top w:val="single" w:sz="4" w:space="0" w:color="auto"/>
              <w:left w:val="nil"/>
              <w:bottom w:val="single" w:sz="4" w:space="0" w:color="auto"/>
              <w:right w:val="nil"/>
            </w:tcBorders>
            <w:shd w:val="clear" w:color="000000" w:fill="EDEDED"/>
            <w:vAlign w:val="center"/>
            <w:hideMark/>
          </w:tcPr>
          <w:p w14:paraId="0AEB4EAA"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w:t>
            </w:r>
          </w:p>
        </w:tc>
        <w:tc>
          <w:tcPr>
            <w:tcW w:w="1500" w:type="dxa"/>
            <w:tcBorders>
              <w:top w:val="single" w:sz="4" w:space="0" w:color="auto"/>
              <w:left w:val="nil"/>
              <w:bottom w:val="single" w:sz="4" w:space="0" w:color="auto"/>
              <w:right w:val="nil"/>
            </w:tcBorders>
            <w:shd w:val="clear" w:color="000000" w:fill="EDEDED"/>
            <w:vAlign w:val="center"/>
            <w:hideMark/>
          </w:tcPr>
          <w:p w14:paraId="00358483"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Theil–Sen slope (benefit </w:t>
            </w:r>
            <w:proofErr w:type="spellStart"/>
            <w:r w:rsidRPr="00FF1E05">
              <w:rPr>
                <w:rFonts w:eastAsia="Times New Roman" w:cs="Arial"/>
                <w:color w:val="000000"/>
                <w:sz w:val="18"/>
                <w:szCs w:val="18"/>
                <w:lang w:val="en-GB" w:eastAsia="en-GB"/>
              </w:rPr>
              <w:t>lnRR</w:t>
            </w:r>
            <w:proofErr w:type="spellEnd"/>
            <w:r w:rsidRPr="00FF1E05">
              <w:rPr>
                <w:rFonts w:eastAsia="Times New Roman" w:cs="Arial"/>
                <w:color w:val="000000"/>
                <w:sz w:val="18"/>
                <w:szCs w:val="18"/>
                <w:lang w:val="en-GB" w:eastAsia="en-GB"/>
              </w:rPr>
              <w:t>)</w:t>
            </w:r>
          </w:p>
        </w:tc>
      </w:tr>
      <w:tr w:rsidR="00236DD6" w:rsidRPr="00FF1E05" w14:paraId="736CC7A5" w14:textId="77777777" w:rsidTr="00236DD6">
        <w:trPr>
          <w:trHeight w:val="858"/>
        </w:trPr>
        <w:tc>
          <w:tcPr>
            <w:tcW w:w="1600" w:type="dxa"/>
            <w:tcBorders>
              <w:top w:val="single" w:sz="4" w:space="0" w:color="auto"/>
              <w:left w:val="nil"/>
              <w:bottom w:val="nil"/>
              <w:right w:val="nil"/>
            </w:tcBorders>
            <w:vAlign w:val="center"/>
            <w:hideMark/>
          </w:tcPr>
          <w:p w14:paraId="6A2CEB20"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N</w:t>
            </w:r>
            <w:r w:rsidRPr="00FF1E05">
              <w:rPr>
                <w:rFonts w:ascii="Cambria Math" w:eastAsia="Times New Roman" w:hAnsi="Cambria Math" w:cs="Cambria Math"/>
                <w:color w:val="000000"/>
                <w:sz w:val="18"/>
                <w:szCs w:val="18"/>
                <w:lang w:val="en-GB" w:eastAsia="en-GB"/>
              </w:rPr>
              <w:t>₂</w:t>
            </w:r>
            <w:r w:rsidRPr="00FF1E05">
              <w:rPr>
                <w:rFonts w:eastAsia="Times New Roman" w:cs="Arial"/>
                <w:color w:val="000000"/>
                <w:sz w:val="18"/>
                <w:szCs w:val="18"/>
                <w:lang w:val="en-GB" w:eastAsia="en-GB"/>
              </w:rPr>
              <w:t>-BET specific surface area</w:t>
            </w:r>
          </w:p>
        </w:tc>
        <w:tc>
          <w:tcPr>
            <w:tcW w:w="560" w:type="dxa"/>
            <w:tcBorders>
              <w:top w:val="single" w:sz="4" w:space="0" w:color="auto"/>
              <w:left w:val="nil"/>
              <w:bottom w:val="nil"/>
              <w:right w:val="nil"/>
            </w:tcBorders>
            <w:vAlign w:val="center"/>
            <w:hideMark/>
          </w:tcPr>
          <w:p w14:paraId="58450D9B"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7</w:t>
            </w:r>
          </w:p>
        </w:tc>
        <w:tc>
          <w:tcPr>
            <w:tcW w:w="880" w:type="dxa"/>
            <w:tcBorders>
              <w:top w:val="single" w:sz="4" w:space="0" w:color="auto"/>
              <w:left w:val="nil"/>
              <w:bottom w:val="nil"/>
              <w:right w:val="nil"/>
            </w:tcBorders>
            <w:vAlign w:val="center"/>
            <w:hideMark/>
          </w:tcPr>
          <w:p w14:paraId="6C27CB1F"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m² g</w:t>
            </w:r>
            <w:r w:rsidRPr="00FF1E05">
              <w:rPr>
                <w:rFonts w:ascii="Cambria Math" w:eastAsia="Times New Roman" w:hAnsi="Cambria Math" w:cs="Cambria Math"/>
                <w:color w:val="000000"/>
                <w:sz w:val="18"/>
                <w:szCs w:val="18"/>
                <w:lang w:val="en-GB" w:eastAsia="en-GB"/>
              </w:rPr>
              <w:t>⁻</w:t>
            </w:r>
            <w:r w:rsidRPr="00FF1E05">
              <w:rPr>
                <w:rFonts w:eastAsia="Times New Roman" w:cs="Arial"/>
                <w:color w:val="000000"/>
                <w:sz w:val="18"/>
                <w:szCs w:val="18"/>
                <w:lang w:val="en-GB" w:eastAsia="en-GB"/>
              </w:rPr>
              <w:t>¹</w:t>
            </w:r>
          </w:p>
        </w:tc>
        <w:tc>
          <w:tcPr>
            <w:tcW w:w="780" w:type="dxa"/>
            <w:tcBorders>
              <w:top w:val="single" w:sz="4" w:space="0" w:color="auto"/>
              <w:left w:val="nil"/>
              <w:bottom w:val="nil"/>
              <w:right w:val="nil"/>
            </w:tcBorders>
            <w:vAlign w:val="center"/>
            <w:hideMark/>
          </w:tcPr>
          <w:p w14:paraId="4DA85FF8"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−0.357</w:t>
            </w:r>
          </w:p>
        </w:tc>
        <w:tc>
          <w:tcPr>
            <w:tcW w:w="800" w:type="dxa"/>
            <w:tcBorders>
              <w:top w:val="single" w:sz="4" w:space="0" w:color="auto"/>
              <w:left w:val="nil"/>
              <w:bottom w:val="nil"/>
              <w:right w:val="nil"/>
            </w:tcBorders>
            <w:vAlign w:val="center"/>
            <w:hideMark/>
          </w:tcPr>
          <w:p w14:paraId="4F7682BC"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0.432</w:t>
            </w:r>
          </w:p>
        </w:tc>
        <w:tc>
          <w:tcPr>
            <w:tcW w:w="1500" w:type="dxa"/>
            <w:tcBorders>
              <w:top w:val="single" w:sz="4" w:space="0" w:color="auto"/>
              <w:left w:val="nil"/>
              <w:bottom w:val="nil"/>
              <w:right w:val="nil"/>
            </w:tcBorders>
            <w:vAlign w:val="center"/>
            <w:hideMark/>
          </w:tcPr>
          <w:p w14:paraId="108257BE"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−0.00131 per m² g</w:t>
            </w:r>
            <w:r w:rsidRPr="00FF1E05">
              <w:rPr>
                <w:rFonts w:ascii="Cambria Math" w:eastAsia="Times New Roman" w:hAnsi="Cambria Math" w:cs="Cambria Math"/>
                <w:color w:val="000000"/>
                <w:sz w:val="18"/>
                <w:szCs w:val="18"/>
                <w:lang w:val="en-GB" w:eastAsia="en-GB"/>
              </w:rPr>
              <w:t>⁻</w:t>
            </w:r>
            <w:r w:rsidRPr="00FF1E05">
              <w:rPr>
                <w:rFonts w:eastAsia="Times New Roman" w:cs="Arial"/>
                <w:color w:val="000000"/>
                <w:sz w:val="18"/>
                <w:szCs w:val="18"/>
                <w:lang w:val="en-GB" w:eastAsia="en-GB"/>
              </w:rPr>
              <w:t>¹</w:t>
            </w:r>
          </w:p>
        </w:tc>
      </w:tr>
      <w:tr w:rsidR="00236DD6" w:rsidRPr="00FF1E05" w14:paraId="40250528" w14:textId="77777777" w:rsidTr="00236DD6">
        <w:trPr>
          <w:trHeight w:val="858"/>
        </w:trPr>
        <w:tc>
          <w:tcPr>
            <w:tcW w:w="1600" w:type="dxa"/>
            <w:tcBorders>
              <w:top w:val="nil"/>
              <w:left w:val="nil"/>
              <w:right w:val="nil"/>
            </w:tcBorders>
            <w:vAlign w:val="center"/>
            <w:hideMark/>
          </w:tcPr>
          <w:p w14:paraId="2F340AEA"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CO</w:t>
            </w:r>
            <w:r w:rsidRPr="00FF1E05">
              <w:rPr>
                <w:rFonts w:ascii="Cambria Math" w:eastAsia="Times New Roman" w:hAnsi="Cambria Math" w:cs="Cambria Math"/>
                <w:color w:val="000000"/>
                <w:sz w:val="18"/>
                <w:szCs w:val="18"/>
                <w:lang w:val="en-GB" w:eastAsia="en-GB"/>
              </w:rPr>
              <w:t>₂</w:t>
            </w:r>
            <w:r w:rsidRPr="00FF1E05">
              <w:rPr>
                <w:rFonts w:eastAsia="Times New Roman" w:cs="Arial"/>
                <w:color w:val="000000"/>
                <w:sz w:val="18"/>
                <w:szCs w:val="18"/>
                <w:lang w:val="en-GB" w:eastAsia="en-GB"/>
              </w:rPr>
              <w:t>-DFT specific surface area</w:t>
            </w:r>
          </w:p>
        </w:tc>
        <w:tc>
          <w:tcPr>
            <w:tcW w:w="560" w:type="dxa"/>
            <w:tcBorders>
              <w:top w:val="nil"/>
              <w:left w:val="nil"/>
              <w:right w:val="nil"/>
            </w:tcBorders>
            <w:vAlign w:val="center"/>
            <w:hideMark/>
          </w:tcPr>
          <w:p w14:paraId="7A938427"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5</w:t>
            </w:r>
          </w:p>
        </w:tc>
        <w:tc>
          <w:tcPr>
            <w:tcW w:w="880" w:type="dxa"/>
            <w:tcBorders>
              <w:top w:val="nil"/>
              <w:left w:val="nil"/>
              <w:right w:val="nil"/>
            </w:tcBorders>
            <w:vAlign w:val="center"/>
            <w:hideMark/>
          </w:tcPr>
          <w:p w14:paraId="0841C182"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m² g</w:t>
            </w:r>
            <w:r w:rsidRPr="00FF1E05">
              <w:rPr>
                <w:rFonts w:ascii="Cambria Math" w:eastAsia="Times New Roman" w:hAnsi="Cambria Math" w:cs="Cambria Math"/>
                <w:color w:val="000000"/>
                <w:sz w:val="18"/>
                <w:szCs w:val="18"/>
                <w:lang w:val="en-GB" w:eastAsia="en-GB"/>
              </w:rPr>
              <w:t>⁻</w:t>
            </w:r>
            <w:r w:rsidRPr="00FF1E05">
              <w:rPr>
                <w:rFonts w:eastAsia="Times New Roman" w:cs="Arial"/>
                <w:color w:val="000000"/>
                <w:sz w:val="18"/>
                <w:szCs w:val="18"/>
                <w:lang w:val="en-GB" w:eastAsia="en-GB"/>
              </w:rPr>
              <w:t>¹</w:t>
            </w:r>
          </w:p>
        </w:tc>
        <w:tc>
          <w:tcPr>
            <w:tcW w:w="780" w:type="dxa"/>
            <w:tcBorders>
              <w:top w:val="nil"/>
              <w:left w:val="nil"/>
              <w:right w:val="nil"/>
            </w:tcBorders>
            <w:vAlign w:val="center"/>
            <w:hideMark/>
          </w:tcPr>
          <w:p w14:paraId="5DA95D16"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−0.900</w:t>
            </w:r>
          </w:p>
        </w:tc>
        <w:tc>
          <w:tcPr>
            <w:tcW w:w="800" w:type="dxa"/>
            <w:tcBorders>
              <w:top w:val="nil"/>
              <w:left w:val="nil"/>
              <w:right w:val="nil"/>
            </w:tcBorders>
            <w:vAlign w:val="center"/>
            <w:hideMark/>
          </w:tcPr>
          <w:p w14:paraId="4564EC0F"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0.037</w:t>
            </w:r>
          </w:p>
        </w:tc>
        <w:tc>
          <w:tcPr>
            <w:tcW w:w="1500" w:type="dxa"/>
            <w:tcBorders>
              <w:top w:val="nil"/>
              <w:left w:val="nil"/>
              <w:right w:val="nil"/>
            </w:tcBorders>
            <w:vAlign w:val="center"/>
            <w:hideMark/>
          </w:tcPr>
          <w:p w14:paraId="4BC0D7D6"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−0.000943 per m² g</w:t>
            </w:r>
            <w:r w:rsidRPr="00FF1E05">
              <w:rPr>
                <w:rFonts w:ascii="Cambria Math" w:eastAsia="Times New Roman" w:hAnsi="Cambria Math" w:cs="Cambria Math"/>
                <w:color w:val="000000"/>
                <w:sz w:val="18"/>
                <w:szCs w:val="18"/>
                <w:lang w:val="en-GB" w:eastAsia="en-GB"/>
              </w:rPr>
              <w:t>⁻</w:t>
            </w:r>
            <w:r w:rsidRPr="00FF1E05">
              <w:rPr>
                <w:rFonts w:eastAsia="Times New Roman" w:cs="Arial"/>
                <w:color w:val="000000"/>
                <w:sz w:val="18"/>
                <w:szCs w:val="18"/>
                <w:lang w:val="en-GB" w:eastAsia="en-GB"/>
              </w:rPr>
              <w:t>¹</w:t>
            </w:r>
          </w:p>
        </w:tc>
      </w:tr>
      <w:tr w:rsidR="00236DD6" w:rsidRPr="00FF1E05" w14:paraId="1F5ABCF6" w14:textId="77777777" w:rsidTr="00236DD6">
        <w:trPr>
          <w:trHeight w:val="858"/>
        </w:trPr>
        <w:tc>
          <w:tcPr>
            <w:tcW w:w="1600" w:type="dxa"/>
            <w:tcBorders>
              <w:top w:val="nil"/>
              <w:left w:val="nil"/>
              <w:bottom w:val="single" w:sz="4" w:space="0" w:color="auto"/>
              <w:right w:val="nil"/>
            </w:tcBorders>
            <w:vAlign w:val="center"/>
            <w:hideMark/>
          </w:tcPr>
          <w:p w14:paraId="6743B642"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Experiment duration / aging</w:t>
            </w:r>
          </w:p>
        </w:tc>
        <w:tc>
          <w:tcPr>
            <w:tcW w:w="560" w:type="dxa"/>
            <w:tcBorders>
              <w:top w:val="nil"/>
              <w:left w:val="nil"/>
              <w:bottom w:val="single" w:sz="4" w:space="0" w:color="auto"/>
              <w:right w:val="nil"/>
            </w:tcBorders>
            <w:vAlign w:val="center"/>
            <w:hideMark/>
          </w:tcPr>
          <w:p w14:paraId="2BB3DCF1"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8</w:t>
            </w:r>
          </w:p>
        </w:tc>
        <w:tc>
          <w:tcPr>
            <w:tcW w:w="880" w:type="dxa"/>
            <w:tcBorders>
              <w:top w:val="nil"/>
              <w:left w:val="nil"/>
              <w:bottom w:val="single" w:sz="4" w:space="0" w:color="auto"/>
              <w:right w:val="nil"/>
            </w:tcBorders>
            <w:vAlign w:val="center"/>
            <w:hideMark/>
          </w:tcPr>
          <w:p w14:paraId="2E2FD0A9"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days</w:t>
            </w:r>
          </w:p>
        </w:tc>
        <w:tc>
          <w:tcPr>
            <w:tcW w:w="780" w:type="dxa"/>
            <w:tcBorders>
              <w:top w:val="nil"/>
              <w:left w:val="nil"/>
              <w:bottom w:val="single" w:sz="4" w:space="0" w:color="auto"/>
              <w:right w:val="nil"/>
            </w:tcBorders>
            <w:vAlign w:val="center"/>
            <w:hideMark/>
          </w:tcPr>
          <w:p w14:paraId="7B64A554"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0.635</w:t>
            </w:r>
          </w:p>
        </w:tc>
        <w:tc>
          <w:tcPr>
            <w:tcW w:w="800" w:type="dxa"/>
            <w:tcBorders>
              <w:top w:val="nil"/>
              <w:left w:val="nil"/>
              <w:bottom w:val="single" w:sz="4" w:space="0" w:color="auto"/>
              <w:right w:val="nil"/>
            </w:tcBorders>
            <w:vAlign w:val="center"/>
            <w:hideMark/>
          </w:tcPr>
          <w:p w14:paraId="5F2781B9"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0.091</w:t>
            </w:r>
          </w:p>
        </w:tc>
        <w:tc>
          <w:tcPr>
            <w:tcW w:w="1500" w:type="dxa"/>
            <w:tcBorders>
              <w:top w:val="nil"/>
              <w:left w:val="nil"/>
              <w:bottom w:val="single" w:sz="4" w:space="0" w:color="auto"/>
              <w:right w:val="nil"/>
            </w:tcBorders>
            <w:vAlign w:val="center"/>
            <w:hideMark/>
          </w:tcPr>
          <w:p w14:paraId="09A879F1" w14:textId="77777777" w:rsidR="00236DD6" w:rsidRPr="00FF1E05" w:rsidRDefault="00236DD6" w:rsidP="00236DD6">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0.00286 per day</w:t>
            </w:r>
          </w:p>
        </w:tc>
      </w:tr>
    </w:tbl>
    <w:p w14:paraId="46083A59" w14:textId="77777777" w:rsidR="005C0878" w:rsidRPr="00FF1E05" w:rsidRDefault="005C0878" w:rsidP="0072319D">
      <w:pPr>
        <w:jc w:val="both"/>
        <w:rPr>
          <w:rFonts w:cs="Arial"/>
          <w:iCs/>
          <w:color w:val="000000" w:themeColor="text1"/>
          <w:sz w:val="18"/>
          <w:szCs w:val="18"/>
        </w:rPr>
      </w:pPr>
    </w:p>
    <w:p w14:paraId="22320E21" w14:textId="6B0050BE" w:rsidR="007F0C34" w:rsidRPr="00E43036" w:rsidRDefault="005311D3" w:rsidP="0072319D">
      <w:pPr>
        <w:jc w:val="both"/>
        <w:rPr>
          <w:rFonts w:cs="Arial"/>
          <w:color w:val="000000" w:themeColor="text1"/>
          <w:sz w:val="22"/>
        </w:rPr>
        <w:sectPr w:rsidR="007F0C34" w:rsidRPr="00E43036" w:rsidSect="0072319D">
          <w:pgSz w:w="16838" w:h="11906" w:orient="landscape"/>
          <w:pgMar w:top="907" w:right="1700" w:bottom="907" w:left="1560" w:header="720" w:footer="720" w:gutter="0"/>
          <w:cols w:space="720"/>
          <w:docGrid w:linePitch="360"/>
        </w:sectPr>
      </w:pPr>
      <w:r w:rsidRPr="00E43036">
        <w:rPr>
          <w:rFonts w:cs="Arial"/>
          <w:color w:val="000000" w:themeColor="text1"/>
          <w:sz w:val="18"/>
          <w:szCs w:val="18"/>
          <w:lang w:val="nl-NL"/>
        </w:rPr>
        <w:t xml:space="preserve">Note: k denotes independent studies. </w:t>
      </w:r>
      <w:r w:rsidRPr="00E43036">
        <w:rPr>
          <w:rFonts w:cs="Arial"/>
          <w:color w:val="000000" w:themeColor="text1"/>
          <w:sz w:val="18"/>
          <w:szCs w:val="18"/>
          <w:lang w:val="en-GB"/>
        </w:rPr>
        <w:t>Associations are descriptive because each moderator was represented by fewer than 10 independent studies. N</w:t>
      </w:r>
      <w:r w:rsidRPr="00E43036">
        <w:rPr>
          <w:rFonts w:ascii="Cambria Math" w:hAnsi="Cambria Math" w:cs="Cambria Math"/>
          <w:color w:val="000000" w:themeColor="text1"/>
          <w:sz w:val="18"/>
          <w:szCs w:val="18"/>
          <w:lang w:val="en-GB"/>
        </w:rPr>
        <w:t>₂</w:t>
      </w:r>
      <w:r w:rsidRPr="00E43036">
        <w:rPr>
          <w:rFonts w:cs="Arial"/>
          <w:color w:val="000000" w:themeColor="text1"/>
          <w:sz w:val="18"/>
          <w:szCs w:val="18"/>
          <w:lang w:val="en-GB"/>
        </w:rPr>
        <w:t>-BET and CO</w:t>
      </w:r>
      <w:r w:rsidRPr="00E43036">
        <w:rPr>
          <w:rFonts w:ascii="Cambria Math" w:hAnsi="Cambria Math" w:cs="Cambria Math"/>
          <w:color w:val="000000" w:themeColor="text1"/>
          <w:sz w:val="18"/>
          <w:szCs w:val="18"/>
          <w:lang w:val="en-GB"/>
        </w:rPr>
        <w:t>₂</w:t>
      </w:r>
      <w:r w:rsidRPr="00E43036">
        <w:rPr>
          <w:rFonts w:cs="Arial"/>
          <w:color w:val="000000" w:themeColor="text1"/>
          <w:sz w:val="18"/>
          <w:szCs w:val="18"/>
          <w:lang w:val="en-GB"/>
        </w:rPr>
        <w:t>-DFT surface-area measurements were analysed separately. Positive slopes indicate greater biochar-associated PFAS immobilisation with increasing moderator values.</w:t>
      </w:r>
    </w:p>
    <w:p w14:paraId="7554CBA5" w14:textId="77777777" w:rsidR="007F0C34" w:rsidRPr="00FF1E05" w:rsidRDefault="00ED14B9" w:rsidP="0072319D">
      <w:pPr>
        <w:keepNext/>
        <w:jc w:val="both"/>
        <w:rPr>
          <w:rFonts w:cs="Arial"/>
          <w:color w:val="000000" w:themeColor="text1"/>
          <w:sz w:val="18"/>
          <w:szCs w:val="18"/>
        </w:rPr>
      </w:pPr>
      <w:r w:rsidRPr="00FF1E05">
        <w:rPr>
          <w:rFonts w:cs="Arial"/>
          <w:color w:val="000000" w:themeColor="text1"/>
          <w:sz w:val="18"/>
          <w:szCs w:val="18"/>
        </w:rPr>
        <w:lastRenderedPageBreak/>
        <w:t>Table S11. Secondary soil-retention/accessibility and plant-transfer/bioavailability outcomes.</w:t>
      </w:r>
    </w:p>
    <w:tbl>
      <w:tblPr>
        <w:tblW w:w="10805" w:type="dxa"/>
        <w:tblInd w:w="108" w:type="dxa"/>
        <w:tblLook w:val="04A0" w:firstRow="1" w:lastRow="0" w:firstColumn="1" w:lastColumn="0" w:noHBand="0" w:noVBand="1"/>
      </w:tblPr>
      <w:tblGrid>
        <w:gridCol w:w="1389"/>
        <w:gridCol w:w="1080"/>
        <w:gridCol w:w="1548"/>
        <w:gridCol w:w="1757"/>
        <w:gridCol w:w="1145"/>
        <w:gridCol w:w="1075"/>
        <w:gridCol w:w="2811"/>
      </w:tblGrid>
      <w:tr w:rsidR="00106D13" w:rsidRPr="00FF1E05" w14:paraId="7831D132" w14:textId="77777777" w:rsidTr="00EA3112">
        <w:trPr>
          <w:trHeight w:val="337"/>
        </w:trPr>
        <w:tc>
          <w:tcPr>
            <w:tcW w:w="1389" w:type="dxa"/>
            <w:tcBorders>
              <w:top w:val="single" w:sz="4" w:space="0" w:color="auto"/>
              <w:left w:val="nil"/>
              <w:bottom w:val="single" w:sz="4" w:space="0" w:color="auto"/>
              <w:right w:val="nil"/>
            </w:tcBorders>
            <w:shd w:val="clear" w:color="000000" w:fill="EDEDED"/>
            <w:vAlign w:val="center"/>
            <w:hideMark/>
          </w:tcPr>
          <w:p w14:paraId="1364355F"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Study</w:t>
            </w:r>
          </w:p>
        </w:tc>
        <w:tc>
          <w:tcPr>
            <w:tcW w:w="1080" w:type="dxa"/>
            <w:tcBorders>
              <w:top w:val="single" w:sz="4" w:space="0" w:color="auto"/>
              <w:left w:val="nil"/>
              <w:bottom w:val="single" w:sz="4" w:space="0" w:color="auto"/>
              <w:right w:val="nil"/>
            </w:tcBorders>
            <w:shd w:val="clear" w:color="000000" w:fill="EDEDED"/>
            <w:vAlign w:val="center"/>
            <w:hideMark/>
          </w:tcPr>
          <w:p w14:paraId="06602959"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Outcome domain</w:t>
            </w:r>
          </w:p>
        </w:tc>
        <w:tc>
          <w:tcPr>
            <w:tcW w:w="1548" w:type="dxa"/>
            <w:tcBorders>
              <w:top w:val="single" w:sz="4" w:space="0" w:color="auto"/>
              <w:left w:val="nil"/>
              <w:bottom w:val="single" w:sz="4" w:space="0" w:color="auto"/>
              <w:right w:val="nil"/>
            </w:tcBorders>
            <w:shd w:val="clear" w:color="000000" w:fill="EDEDED"/>
            <w:vAlign w:val="center"/>
            <w:hideMark/>
          </w:tcPr>
          <w:p w14:paraId="321EF8C6"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Benefit </w:t>
            </w:r>
            <w:proofErr w:type="spellStart"/>
            <w:r w:rsidRPr="00FF1E05">
              <w:rPr>
                <w:rFonts w:eastAsia="Times New Roman" w:cs="Arial"/>
                <w:color w:val="000000"/>
                <w:sz w:val="18"/>
                <w:szCs w:val="18"/>
                <w:lang w:val="en-GB" w:eastAsia="en-GB"/>
              </w:rPr>
              <w:t>lnRR</w:t>
            </w:r>
            <w:proofErr w:type="spellEnd"/>
          </w:p>
        </w:tc>
        <w:tc>
          <w:tcPr>
            <w:tcW w:w="1757" w:type="dxa"/>
            <w:tcBorders>
              <w:top w:val="single" w:sz="4" w:space="0" w:color="auto"/>
              <w:left w:val="nil"/>
              <w:bottom w:val="single" w:sz="4" w:space="0" w:color="auto"/>
              <w:right w:val="nil"/>
            </w:tcBorders>
            <w:shd w:val="clear" w:color="000000" w:fill="EDEDED"/>
            <w:vAlign w:val="center"/>
            <w:hideMark/>
          </w:tcPr>
          <w:p w14:paraId="693A9BAB"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95% CI</w:t>
            </w:r>
          </w:p>
        </w:tc>
        <w:tc>
          <w:tcPr>
            <w:tcW w:w="1145" w:type="dxa"/>
            <w:tcBorders>
              <w:top w:val="single" w:sz="4" w:space="0" w:color="auto"/>
              <w:left w:val="nil"/>
              <w:bottom w:val="single" w:sz="4" w:space="0" w:color="auto"/>
              <w:right w:val="nil"/>
            </w:tcBorders>
            <w:shd w:val="clear" w:color="000000" w:fill="EDEDED"/>
            <w:vAlign w:val="center"/>
            <w:hideMark/>
          </w:tcPr>
          <w:p w14:paraId="0872E3DD"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Effect rows</w:t>
            </w:r>
          </w:p>
        </w:tc>
        <w:tc>
          <w:tcPr>
            <w:tcW w:w="1075" w:type="dxa"/>
            <w:tcBorders>
              <w:top w:val="single" w:sz="4" w:space="0" w:color="auto"/>
              <w:left w:val="nil"/>
              <w:bottom w:val="single" w:sz="4" w:space="0" w:color="auto"/>
              <w:right w:val="nil"/>
            </w:tcBorders>
            <w:shd w:val="clear" w:color="000000" w:fill="EDEDED"/>
            <w:vAlign w:val="center"/>
            <w:hideMark/>
          </w:tcPr>
          <w:p w14:paraId="3A9C489D"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Contexts</w:t>
            </w:r>
          </w:p>
        </w:tc>
        <w:tc>
          <w:tcPr>
            <w:tcW w:w="2811" w:type="dxa"/>
            <w:tcBorders>
              <w:top w:val="single" w:sz="4" w:space="0" w:color="auto"/>
              <w:left w:val="nil"/>
              <w:bottom w:val="single" w:sz="4" w:space="0" w:color="auto"/>
              <w:right w:val="nil"/>
            </w:tcBorders>
            <w:shd w:val="clear" w:color="000000" w:fill="EDEDED"/>
            <w:vAlign w:val="center"/>
            <w:hideMark/>
          </w:tcPr>
          <w:p w14:paraId="189A72C6"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Translation</w:t>
            </w:r>
          </w:p>
        </w:tc>
      </w:tr>
      <w:tr w:rsidR="00106D13" w:rsidRPr="00FF1E05" w14:paraId="005BEA10" w14:textId="77777777" w:rsidTr="00EA3112">
        <w:trPr>
          <w:trHeight w:val="844"/>
        </w:trPr>
        <w:tc>
          <w:tcPr>
            <w:tcW w:w="1389" w:type="dxa"/>
            <w:tcBorders>
              <w:top w:val="single" w:sz="4" w:space="0" w:color="auto"/>
              <w:left w:val="nil"/>
              <w:bottom w:val="nil"/>
              <w:right w:val="nil"/>
            </w:tcBorders>
            <w:vAlign w:val="center"/>
            <w:hideMark/>
          </w:tcPr>
          <w:p w14:paraId="2A335F01"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Fu et al. (2025)</w:t>
            </w:r>
          </w:p>
        </w:tc>
        <w:tc>
          <w:tcPr>
            <w:tcW w:w="1080" w:type="dxa"/>
            <w:tcBorders>
              <w:top w:val="single" w:sz="4" w:space="0" w:color="auto"/>
              <w:left w:val="nil"/>
              <w:bottom w:val="nil"/>
              <w:right w:val="nil"/>
            </w:tcBorders>
            <w:vAlign w:val="center"/>
            <w:hideMark/>
          </w:tcPr>
          <w:p w14:paraId="0FD07C50"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Plant uptake</w:t>
            </w:r>
          </w:p>
        </w:tc>
        <w:tc>
          <w:tcPr>
            <w:tcW w:w="1548" w:type="dxa"/>
            <w:tcBorders>
              <w:top w:val="single" w:sz="4" w:space="0" w:color="auto"/>
              <w:left w:val="nil"/>
              <w:bottom w:val="nil"/>
              <w:right w:val="nil"/>
            </w:tcBorders>
            <w:vAlign w:val="center"/>
            <w:hideMark/>
          </w:tcPr>
          <w:p w14:paraId="4C3DBF76"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4.278</w:t>
            </w:r>
          </w:p>
        </w:tc>
        <w:tc>
          <w:tcPr>
            <w:tcW w:w="1757" w:type="dxa"/>
            <w:tcBorders>
              <w:top w:val="single" w:sz="4" w:space="0" w:color="auto"/>
              <w:left w:val="nil"/>
              <w:bottom w:val="nil"/>
              <w:right w:val="nil"/>
            </w:tcBorders>
            <w:vAlign w:val="center"/>
            <w:hideMark/>
          </w:tcPr>
          <w:p w14:paraId="77E6E6C2"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3.961 to 4.596</w:t>
            </w:r>
          </w:p>
        </w:tc>
        <w:tc>
          <w:tcPr>
            <w:tcW w:w="1145" w:type="dxa"/>
            <w:tcBorders>
              <w:top w:val="single" w:sz="4" w:space="0" w:color="auto"/>
              <w:left w:val="nil"/>
              <w:bottom w:val="nil"/>
              <w:right w:val="nil"/>
            </w:tcBorders>
            <w:vAlign w:val="center"/>
            <w:hideMark/>
          </w:tcPr>
          <w:p w14:paraId="702F98F5"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w:t>
            </w:r>
          </w:p>
        </w:tc>
        <w:tc>
          <w:tcPr>
            <w:tcW w:w="1075" w:type="dxa"/>
            <w:tcBorders>
              <w:top w:val="single" w:sz="4" w:space="0" w:color="auto"/>
              <w:left w:val="nil"/>
              <w:bottom w:val="nil"/>
              <w:right w:val="nil"/>
            </w:tcBorders>
            <w:vAlign w:val="center"/>
            <w:hideMark/>
          </w:tcPr>
          <w:p w14:paraId="6D0BF233"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w:t>
            </w:r>
          </w:p>
        </w:tc>
        <w:tc>
          <w:tcPr>
            <w:tcW w:w="2811" w:type="dxa"/>
            <w:tcBorders>
              <w:top w:val="single" w:sz="4" w:space="0" w:color="auto"/>
              <w:left w:val="nil"/>
              <w:bottom w:val="nil"/>
              <w:right w:val="nil"/>
            </w:tcBorders>
            <w:vAlign w:val="center"/>
            <w:hideMark/>
          </w:tcPr>
          <w:p w14:paraId="7E5790D3"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98.6% reduction (CI 98.1 to 99.0%)</w:t>
            </w:r>
          </w:p>
        </w:tc>
      </w:tr>
      <w:tr w:rsidR="00106D13" w:rsidRPr="00FF1E05" w14:paraId="49102C21" w14:textId="77777777" w:rsidTr="00EA3112">
        <w:trPr>
          <w:trHeight w:val="844"/>
        </w:trPr>
        <w:tc>
          <w:tcPr>
            <w:tcW w:w="1389" w:type="dxa"/>
            <w:tcBorders>
              <w:top w:val="nil"/>
              <w:left w:val="nil"/>
              <w:bottom w:val="nil"/>
              <w:right w:val="nil"/>
            </w:tcBorders>
            <w:vAlign w:val="center"/>
            <w:hideMark/>
          </w:tcPr>
          <w:p w14:paraId="612F2195"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Zhang &amp; Liang (2022b)</w:t>
            </w:r>
          </w:p>
        </w:tc>
        <w:tc>
          <w:tcPr>
            <w:tcW w:w="1080" w:type="dxa"/>
            <w:tcBorders>
              <w:top w:val="nil"/>
              <w:left w:val="nil"/>
              <w:bottom w:val="nil"/>
              <w:right w:val="nil"/>
            </w:tcBorders>
            <w:vAlign w:val="center"/>
            <w:hideMark/>
          </w:tcPr>
          <w:p w14:paraId="68282CB1"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Plant uptake</w:t>
            </w:r>
          </w:p>
        </w:tc>
        <w:tc>
          <w:tcPr>
            <w:tcW w:w="1548" w:type="dxa"/>
            <w:tcBorders>
              <w:top w:val="nil"/>
              <w:left w:val="nil"/>
              <w:bottom w:val="nil"/>
              <w:right w:val="nil"/>
            </w:tcBorders>
            <w:vAlign w:val="center"/>
            <w:hideMark/>
          </w:tcPr>
          <w:p w14:paraId="6847692D"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-0.594</w:t>
            </w:r>
          </w:p>
        </w:tc>
        <w:tc>
          <w:tcPr>
            <w:tcW w:w="1757" w:type="dxa"/>
            <w:tcBorders>
              <w:top w:val="nil"/>
              <w:left w:val="nil"/>
              <w:bottom w:val="nil"/>
              <w:right w:val="nil"/>
            </w:tcBorders>
            <w:vAlign w:val="center"/>
            <w:hideMark/>
          </w:tcPr>
          <w:p w14:paraId="169ACC40"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-0.780 to -0.408</w:t>
            </w:r>
          </w:p>
        </w:tc>
        <w:tc>
          <w:tcPr>
            <w:tcW w:w="1145" w:type="dxa"/>
            <w:tcBorders>
              <w:top w:val="nil"/>
              <w:left w:val="nil"/>
              <w:bottom w:val="nil"/>
              <w:right w:val="nil"/>
            </w:tcBorders>
            <w:vAlign w:val="center"/>
            <w:hideMark/>
          </w:tcPr>
          <w:p w14:paraId="4B9A721D"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w:t>
            </w:r>
          </w:p>
        </w:tc>
        <w:tc>
          <w:tcPr>
            <w:tcW w:w="1075" w:type="dxa"/>
            <w:tcBorders>
              <w:top w:val="nil"/>
              <w:left w:val="nil"/>
              <w:bottom w:val="nil"/>
              <w:right w:val="nil"/>
            </w:tcBorders>
            <w:vAlign w:val="center"/>
            <w:hideMark/>
          </w:tcPr>
          <w:p w14:paraId="7F18AB95"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w:t>
            </w:r>
          </w:p>
        </w:tc>
        <w:tc>
          <w:tcPr>
            <w:tcW w:w="2811" w:type="dxa"/>
            <w:tcBorders>
              <w:top w:val="nil"/>
              <w:left w:val="nil"/>
              <w:bottom w:val="nil"/>
              <w:right w:val="nil"/>
            </w:tcBorders>
            <w:vAlign w:val="center"/>
            <w:hideMark/>
          </w:tcPr>
          <w:p w14:paraId="707B664B"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81.1% increase (CI 50.4 to 118.1%)</w:t>
            </w:r>
          </w:p>
        </w:tc>
      </w:tr>
      <w:tr w:rsidR="00106D13" w:rsidRPr="00FF1E05" w14:paraId="3A951F12" w14:textId="77777777" w:rsidTr="00EA3112">
        <w:trPr>
          <w:trHeight w:val="844"/>
        </w:trPr>
        <w:tc>
          <w:tcPr>
            <w:tcW w:w="1389" w:type="dxa"/>
            <w:tcBorders>
              <w:top w:val="nil"/>
              <w:left w:val="nil"/>
              <w:right w:val="nil"/>
            </w:tcBorders>
            <w:vAlign w:val="center"/>
            <w:hideMark/>
          </w:tcPr>
          <w:p w14:paraId="0C79C296"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Battisti et al. (2025)</w:t>
            </w:r>
          </w:p>
        </w:tc>
        <w:tc>
          <w:tcPr>
            <w:tcW w:w="1080" w:type="dxa"/>
            <w:tcBorders>
              <w:top w:val="nil"/>
              <w:left w:val="nil"/>
              <w:right w:val="nil"/>
            </w:tcBorders>
            <w:vAlign w:val="center"/>
            <w:hideMark/>
          </w:tcPr>
          <w:p w14:paraId="362AAABE"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Soil retention</w:t>
            </w:r>
          </w:p>
        </w:tc>
        <w:tc>
          <w:tcPr>
            <w:tcW w:w="1548" w:type="dxa"/>
            <w:tcBorders>
              <w:top w:val="nil"/>
              <w:left w:val="nil"/>
              <w:right w:val="nil"/>
            </w:tcBorders>
            <w:vAlign w:val="center"/>
            <w:hideMark/>
          </w:tcPr>
          <w:p w14:paraId="1DE501FC"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0.262</w:t>
            </w:r>
          </w:p>
        </w:tc>
        <w:tc>
          <w:tcPr>
            <w:tcW w:w="1757" w:type="dxa"/>
            <w:tcBorders>
              <w:top w:val="nil"/>
              <w:left w:val="nil"/>
              <w:right w:val="nil"/>
            </w:tcBorders>
            <w:vAlign w:val="center"/>
            <w:hideMark/>
          </w:tcPr>
          <w:p w14:paraId="7589D48B"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-0.004 to 0.527</w:t>
            </w:r>
          </w:p>
        </w:tc>
        <w:tc>
          <w:tcPr>
            <w:tcW w:w="1145" w:type="dxa"/>
            <w:tcBorders>
              <w:top w:val="nil"/>
              <w:left w:val="nil"/>
              <w:right w:val="nil"/>
            </w:tcBorders>
            <w:vAlign w:val="center"/>
            <w:hideMark/>
          </w:tcPr>
          <w:p w14:paraId="43ABDAF2"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10</w:t>
            </w:r>
          </w:p>
        </w:tc>
        <w:tc>
          <w:tcPr>
            <w:tcW w:w="1075" w:type="dxa"/>
            <w:tcBorders>
              <w:top w:val="nil"/>
              <w:left w:val="nil"/>
              <w:right w:val="nil"/>
            </w:tcBorders>
            <w:vAlign w:val="center"/>
            <w:hideMark/>
          </w:tcPr>
          <w:p w14:paraId="32FB58E5"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w:t>
            </w:r>
          </w:p>
        </w:tc>
        <w:tc>
          <w:tcPr>
            <w:tcW w:w="2811" w:type="dxa"/>
            <w:tcBorders>
              <w:top w:val="nil"/>
              <w:left w:val="nil"/>
              <w:right w:val="nil"/>
            </w:tcBorders>
            <w:vAlign w:val="center"/>
            <w:hideMark/>
          </w:tcPr>
          <w:p w14:paraId="6F8E2101"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29.9% signed change in beneficial endpoint (CI -0.4 to 69.5%)</w:t>
            </w:r>
          </w:p>
        </w:tc>
      </w:tr>
      <w:tr w:rsidR="00106D13" w:rsidRPr="00FF1E05" w14:paraId="242C2331" w14:textId="77777777" w:rsidTr="00EA3112">
        <w:trPr>
          <w:trHeight w:val="844"/>
        </w:trPr>
        <w:tc>
          <w:tcPr>
            <w:tcW w:w="1389" w:type="dxa"/>
            <w:tcBorders>
              <w:top w:val="nil"/>
              <w:left w:val="nil"/>
              <w:bottom w:val="single" w:sz="4" w:space="0" w:color="auto"/>
              <w:right w:val="nil"/>
            </w:tcBorders>
            <w:vAlign w:val="center"/>
            <w:hideMark/>
          </w:tcPr>
          <w:p w14:paraId="05D5CB30"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Fu et al. (2025)</w:t>
            </w:r>
          </w:p>
        </w:tc>
        <w:tc>
          <w:tcPr>
            <w:tcW w:w="1080" w:type="dxa"/>
            <w:tcBorders>
              <w:top w:val="nil"/>
              <w:left w:val="nil"/>
              <w:bottom w:val="single" w:sz="4" w:space="0" w:color="auto"/>
              <w:right w:val="nil"/>
            </w:tcBorders>
            <w:vAlign w:val="center"/>
            <w:hideMark/>
          </w:tcPr>
          <w:p w14:paraId="75E09526"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Soil retention</w:t>
            </w:r>
          </w:p>
        </w:tc>
        <w:tc>
          <w:tcPr>
            <w:tcW w:w="1548" w:type="dxa"/>
            <w:tcBorders>
              <w:top w:val="nil"/>
              <w:left w:val="nil"/>
              <w:bottom w:val="single" w:sz="4" w:space="0" w:color="auto"/>
              <w:right w:val="nil"/>
            </w:tcBorders>
            <w:vAlign w:val="center"/>
            <w:hideMark/>
          </w:tcPr>
          <w:p w14:paraId="43C6D328"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1.768</w:t>
            </w:r>
          </w:p>
        </w:tc>
        <w:tc>
          <w:tcPr>
            <w:tcW w:w="1757" w:type="dxa"/>
            <w:tcBorders>
              <w:top w:val="nil"/>
              <w:left w:val="nil"/>
              <w:bottom w:val="single" w:sz="4" w:space="0" w:color="auto"/>
              <w:right w:val="nil"/>
            </w:tcBorders>
            <w:vAlign w:val="center"/>
            <w:hideMark/>
          </w:tcPr>
          <w:p w14:paraId="3D9F8537"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1.582 to 1.954</w:t>
            </w:r>
          </w:p>
        </w:tc>
        <w:tc>
          <w:tcPr>
            <w:tcW w:w="1145" w:type="dxa"/>
            <w:tcBorders>
              <w:top w:val="nil"/>
              <w:left w:val="nil"/>
              <w:bottom w:val="single" w:sz="4" w:space="0" w:color="auto"/>
              <w:right w:val="nil"/>
            </w:tcBorders>
            <w:vAlign w:val="center"/>
            <w:hideMark/>
          </w:tcPr>
          <w:p w14:paraId="2BC66719"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8</w:t>
            </w:r>
          </w:p>
        </w:tc>
        <w:tc>
          <w:tcPr>
            <w:tcW w:w="1075" w:type="dxa"/>
            <w:tcBorders>
              <w:top w:val="nil"/>
              <w:left w:val="nil"/>
              <w:bottom w:val="single" w:sz="4" w:space="0" w:color="auto"/>
              <w:right w:val="nil"/>
            </w:tcBorders>
            <w:vAlign w:val="center"/>
            <w:hideMark/>
          </w:tcPr>
          <w:p w14:paraId="756DF4EF"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2</w:t>
            </w:r>
          </w:p>
        </w:tc>
        <w:tc>
          <w:tcPr>
            <w:tcW w:w="2811" w:type="dxa"/>
            <w:tcBorders>
              <w:top w:val="nil"/>
              <w:left w:val="nil"/>
              <w:bottom w:val="single" w:sz="4" w:space="0" w:color="auto"/>
              <w:right w:val="nil"/>
            </w:tcBorders>
            <w:vAlign w:val="center"/>
            <w:hideMark/>
          </w:tcPr>
          <w:p w14:paraId="165A6046" w14:textId="77777777" w:rsidR="00106D13" w:rsidRPr="00FF1E05" w:rsidRDefault="00106D13" w:rsidP="00EA3112">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 xml:space="preserve">Benefit-aligned </w:t>
            </w:r>
            <w:proofErr w:type="spellStart"/>
            <w:r w:rsidRPr="00FF1E05">
              <w:rPr>
                <w:rFonts w:eastAsia="Times New Roman" w:cs="Arial"/>
                <w:color w:val="000000"/>
                <w:sz w:val="18"/>
                <w:szCs w:val="18"/>
                <w:lang w:val="en-GB" w:eastAsia="en-GB"/>
              </w:rPr>
              <w:t>lnRR</w:t>
            </w:r>
            <w:proofErr w:type="spellEnd"/>
            <w:r w:rsidRPr="00FF1E05">
              <w:rPr>
                <w:rFonts w:eastAsia="Times New Roman" w:cs="Arial"/>
                <w:color w:val="000000"/>
                <w:sz w:val="18"/>
                <w:szCs w:val="18"/>
                <w:lang w:val="en-GB" w:eastAsia="en-GB"/>
              </w:rPr>
              <w:t xml:space="preserve"> only (mixed endpoint direction types)</w:t>
            </w:r>
          </w:p>
        </w:tc>
      </w:tr>
    </w:tbl>
    <w:p w14:paraId="426AB9BC" w14:textId="77777777" w:rsidR="00106D13" w:rsidRPr="00FF1E05" w:rsidRDefault="00106D13" w:rsidP="0072319D">
      <w:pPr>
        <w:keepNext/>
        <w:jc w:val="both"/>
        <w:rPr>
          <w:rFonts w:cs="Arial"/>
          <w:color w:val="000000" w:themeColor="text1"/>
          <w:sz w:val="18"/>
          <w:szCs w:val="18"/>
          <w:lang w:val="en-GB"/>
        </w:rPr>
      </w:pPr>
    </w:p>
    <w:p w14:paraId="4CCE570D" w14:textId="36077D29" w:rsidR="007F0C34" w:rsidRPr="00E43036" w:rsidRDefault="007F56D9" w:rsidP="0072319D">
      <w:pPr>
        <w:jc w:val="both"/>
        <w:rPr>
          <w:rFonts w:cs="Arial"/>
          <w:color w:val="000000" w:themeColor="text1"/>
          <w:sz w:val="18"/>
          <w:szCs w:val="18"/>
        </w:rPr>
      </w:pPr>
      <w:r w:rsidRPr="00E43036">
        <w:rPr>
          <w:rFonts w:cs="Arial"/>
          <w:color w:val="000000" w:themeColor="text1"/>
          <w:sz w:val="18"/>
          <w:szCs w:val="18"/>
          <w:lang w:val="en-GB"/>
        </w:rPr>
        <w:t xml:space="preserve">Note: </w:t>
      </w:r>
      <w:r w:rsidR="00ED14B9" w:rsidRPr="00E43036">
        <w:rPr>
          <w:rFonts w:cs="Arial"/>
          <w:color w:val="000000" w:themeColor="text1"/>
          <w:sz w:val="18"/>
          <w:szCs w:val="18"/>
        </w:rPr>
        <w:t>No pooled random-effects estimate was calculated because each direct secondary domain had only two independent studies. Shared-control covariance increased the variance of the large one-year retention summary by about 77% relative to naïve independence and increased its SE by about 33%.</w:t>
      </w:r>
    </w:p>
    <w:p w14:paraId="22EE701B" w14:textId="77777777" w:rsidR="007F0C34" w:rsidRPr="00FF1E05" w:rsidRDefault="007F0C34" w:rsidP="0072319D">
      <w:pPr>
        <w:jc w:val="both"/>
        <w:rPr>
          <w:rFonts w:cs="Arial"/>
          <w:color w:val="000000" w:themeColor="text1"/>
          <w:sz w:val="22"/>
        </w:rPr>
        <w:sectPr w:rsidR="007F0C34" w:rsidRPr="00FF1E05" w:rsidSect="0072319D">
          <w:pgSz w:w="16838" w:h="11906" w:orient="landscape"/>
          <w:pgMar w:top="907" w:right="1700" w:bottom="907" w:left="1560" w:header="720" w:footer="720" w:gutter="0"/>
          <w:cols w:space="720"/>
          <w:docGrid w:linePitch="360"/>
        </w:sectPr>
      </w:pPr>
    </w:p>
    <w:p w14:paraId="29B9A8D6" w14:textId="65F86CED" w:rsidR="007F0C34" w:rsidRPr="00FF1E05" w:rsidRDefault="00ED14B9" w:rsidP="001B60F0">
      <w:pPr>
        <w:keepNext/>
        <w:jc w:val="both"/>
        <w:rPr>
          <w:rFonts w:cs="Arial"/>
          <w:color w:val="000000" w:themeColor="text1"/>
          <w:sz w:val="18"/>
          <w:szCs w:val="18"/>
        </w:rPr>
      </w:pPr>
      <w:r w:rsidRPr="00FF1E05">
        <w:rPr>
          <w:rFonts w:cs="Arial"/>
          <w:color w:val="000000" w:themeColor="text1"/>
          <w:sz w:val="18"/>
          <w:szCs w:val="18"/>
        </w:rPr>
        <w:lastRenderedPageBreak/>
        <w:t>Table S12. Influence and publication-bias diagnostics.</w:t>
      </w:r>
    </w:p>
    <w:tbl>
      <w:tblPr>
        <w:tblW w:w="7697" w:type="dxa"/>
        <w:tblInd w:w="108" w:type="dxa"/>
        <w:tblLook w:val="04A0" w:firstRow="1" w:lastRow="0" w:firstColumn="1" w:lastColumn="0" w:noHBand="0" w:noVBand="1"/>
      </w:tblPr>
      <w:tblGrid>
        <w:gridCol w:w="1940"/>
        <w:gridCol w:w="1063"/>
        <w:gridCol w:w="4694"/>
      </w:tblGrid>
      <w:tr w:rsidR="001B60F0" w:rsidRPr="00FF1E05" w14:paraId="244DCAB8" w14:textId="77777777" w:rsidTr="001B60F0">
        <w:trPr>
          <w:trHeight w:val="280"/>
        </w:trPr>
        <w:tc>
          <w:tcPr>
            <w:tcW w:w="1940" w:type="dxa"/>
            <w:tcBorders>
              <w:top w:val="single" w:sz="4" w:space="0" w:color="auto"/>
              <w:left w:val="nil"/>
              <w:bottom w:val="single" w:sz="4" w:space="0" w:color="auto"/>
              <w:right w:val="nil"/>
            </w:tcBorders>
            <w:shd w:val="clear" w:color="000000" w:fill="EDEDED"/>
            <w:vAlign w:val="center"/>
            <w:hideMark/>
          </w:tcPr>
          <w:p w14:paraId="7611877F" w14:textId="77777777" w:rsidR="001B60F0" w:rsidRPr="00FF1E05" w:rsidRDefault="001B60F0" w:rsidP="001B60F0">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Analysis</w:t>
            </w:r>
          </w:p>
        </w:tc>
        <w:tc>
          <w:tcPr>
            <w:tcW w:w="1063" w:type="dxa"/>
            <w:tcBorders>
              <w:top w:val="single" w:sz="4" w:space="0" w:color="auto"/>
              <w:left w:val="nil"/>
              <w:bottom w:val="single" w:sz="4" w:space="0" w:color="auto"/>
              <w:right w:val="nil"/>
            </w:tcBorders>
            <w:shd w:val="clear" w:color="000000" w:fill="EDEDED"/>
            <w:vAlign w:val="center"/>
            <w:hideMark/>
          </w:tcPr>
          <w:p w14:paraId="19880F5F" w14:textId="77777777" w:rsidR="001B60F0" w:rsidRPr="00FF1E05" w:rsidRDefault="001B60F0" w:rsidP="001B60F0">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k</w:t>
            </w:r>
          </w:p>
        </w:tc>
        <w:tc>
          <w:tcPr>
            <w:tcW w:w="4694" w:type="dxa"/>
            <w:tcBorders>
              <w:top w:val="single" w:sz="4" w:space="0" w:color="auto"/>
              <w:left w:val="nil"/>
              <w:bottom w:val="single" w:sz="4" w:space="0" w:color="auto"/>
              <w:right w:val="nil"/>
            </w:tcBorders>
            <w:shd w:val="clear" w:color="000000" w:fill="EDEDED"/>
            <w:vAlign w:val="center"/>
            <w:hideMark/>
          </w:tcPr>
          <w:p w14:paraId="13C26949" w14:textId="77777777" w:rsidR="001B60F0" w:rsidRPr="00FF1E05" w:rsidRDefault="001B60F0" w:rsidP="001B60F0">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Leave-one-study-out result</w:t>
            </w:r>
          </w:p>
        </w:tc>
      </w:tr>
      <w:tr w:rsidR="001B60F0" w:rsidRPr="00FF1E05" w14:paraId="2F87595F" w14:textId="77777777" w:rsidTr="001B60F0">
        <w:trPr>
          <w:trHeight w:val="849"/>
        </w:trPr>
        <w:tc>
          <w:tcPr>
            <w:tcW w:w="1940" w:type="dxa"/>
            <w:tcBorders>
              <w:top w:val="single" w:sz="4" w:space="0" w:color="auto"/>
              <w:left w:val="nil"/>
              <w:bottom w:val="nil"/>
              <w:right w:val="nil"/>
            </w:tcBorders>
            <w:vAlign w:val="center"/>
            <w:hideMark/>
          </w:tcPr>
          <w:p w14:paraId="5766CD55" w14:textId="77777777" w:rsidR="001B60F0" w:rsidRPr="00FF1E05" w:rsidRDefault="001B60F0" w:rsidP="001B60F0">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Overall mobility</w:t>
            </w:r>
          </w:p>
        </w:tc>
        <w:tc>
          <w:tcPr>
            <w:tcW w:w="1063" w:type="dxa"/>
            <w:tcBorders>
              <w:top w:val="single" w:sz="4" w:space="0" w:color="auto"/>
              <w:left w:val="nil"/>
              <w:bottom w:val="nil"/>
              <w:right w:val="nil"/>
            </w:tcBorders>
            <w:vAlign w:val="center"/>
            <w:hideMark/>
          </w:tcPr>
          <w:p w14:paraId="1DE02394" w14:textId="77777777" w:rsidR="001B60F0" w:rsidRPr="00FF1E05" w:rsidRDefault="001B60F0" w:rsidP="001B60F0">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15</w:t>
            </w:r>
          </w:p>
        </w:tc>
        <w:tc>
          <w:tcPr>
            <w:tcW w:w="4694" w:type="dxa"/>
            <w:tcBorders>
              <w:top w:val="single" w:sz="4" w:space="0" w:color="auto"/>
              <w:left w:val="nil"/>
              <w:bottom w:val="nil"/>
              <w:right w:val="nil"/>
            </w:tcBorders>
            <w:vAlign w:val="center"/>
            <w:hideMark/>
          </w:tcPr>
          <w:p w14:paraId="3AC1953F" w14:textId="77777777" w:rsidR="001B60F0" w:rsidRPr="00FF1E05" w:rsidRDefault="001B60F0" w:rsidP="001B60F0">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Median reduction remained 58.2–67.0% under all study omissions</w:t>
            </w:r>
          </w:p>
        </w:tc>
      </w:tr>
      <w:tr w:rsidR="001B60F0" w:rsidRPr="00FF1E05" w14:paraId="568CFA25" w14:textId="77777777" w:rsidTr="001B60F0">
        <w:trPr>
          <w:trHeight w:val="849"/>
        </w:trPr>
        <w:tc>
          <w:tcPr>
            <w:tcW w:w="1940" w:type="dxa"/>
            <w:tcBorders>
              <w:top w:val="nil"/>
              <w:left w:val="nil"/>
              <w:bottom w:val="nil"/>
              <w:right w:val="nil"/>
            </w:tcBorders>
            <w:vAlign w:val="center"/>
            <w:hideMark/>
          </w:tcPr>
          <w:p w14:paraId="767C4FED" w14:textId="77777777" w:rsidR="001B60F0" w:rsidRPr="00FF1E05" w:rsidRDefault="001B60F0" w:rsidP="001B60F0">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Long- vs short-chain contrast</w:t>
            </w:r>
          </w:p>
        </w:tc>
        <w:tc>
          <w:tcPr>
            <w:tcW w:w="1063" w:type="dxa"/>
            <w:tcBorders>
              <w:top w:val="nil"/>
              <w:left w:val="nil"/>
              <w:bottom w:val="nil"/>
              <w:right w:val="nil"/>
            </w:tcBorders>
            <w:vAlign w:val="center"/>
            <w:hideMark/>
          </w:tcPr>
          <w:p w14:paraId="1A131CB4" w14:textId="77777777" w:rsidR="001B60F0" w:rsidRPr="00FF1E05" w:rsidRDefault="001B60F0" w:rsidP="001B60F0">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12</w:t>
            </w:r>
          </w:p>
        </w:tc>
        <w:tc>
          <w:tcPr>
            <w:tcW w:w="4694" w:type="dxa"/>
            <w:tcBorders>
              <w:top w:val="nil"/>
              <w:left w:val="nil"/>
              <w:bottom w:val="nil"/>
              <w:right w:val="nil"/>
            </w:tcBorders>
            <w:vAlign w:val="center"/>
            <w:hideMark/>
          </w:tcPr>
          <w:p w14:paraId="6A40E48E" w14:textId="77777777" w:rsidR="001B60F0" w:rsidRPr="00FF1E05" w:rsidRDefault="001B60F0" w:rsidP="001B60F0">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Median contrast remained positive under all omissions; exact sign-test P ≤ 0.0117</w:t>
            </w:r>
          </w:p>
        </w:tc>
      </w:tr>
      <w:tr w:rsidR="001B60F0" w:rsidRPr="00FF1E05" w14:paraId="3DDC87EF" w14:textId="77777777" w:rsidTr="001B60F0">
        <w:trPr>
          <w:trHeight w:val="849"/>
        </w:trPr>
        <w:tc>
          <w:tcPr>
            <w:tcW w:w="1940" w:type="dxa"/>
            <w:tcBorders>
              <w:top w:val="nil"/>
              <w:left w:val="nil"/>
              <w:right w:val="nil"/>
            </w:tcBorders>
            <w:vAlign w:val="center"/>
            <w:hideMark/>
          </w:tcPr>
          <w:p w14:paraId="7965401E" w14:textId="77777777" w:rsidR="001B60F0" w:rsidRPr="00FF1E05" w:rsidRDefault="001B60F0" w:rsidP="001B60F0">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Carbon-number gradient</w:t>
            </w:r>
          </w:p>
        </w:tc>
        <w:tc>
          <w:tcPr>
            <w:tcW w:w="1063" w:type="dxa"/>
            <w:tcBorders>
              <w:top w:val="nil"/>
              <w:left w:val="nil"/>
              <w:right w:val="nil"/>
            </w:tcBorders>
            <w:vAlign w:val="center"/>
            <w:hideMark/>
          </w:tcPr>
          <w:p w14:paraId="3C59C791" w14:textId="77777777" w:rsidR="001B60F0" w:rsidRPr="00FF1E05" w:rsidRDefault="001B60F0" w:rsidP="001B60F0">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12</w:t>
            </w:r>
          </w:p>
        </w:tc>
        <w:tc>
          <w:tcPr>
            <w:tcW w:w="4694" w:type="dxa"/>
            <w:tcBorders>
              <w:top w:val="nil"/>
              <w:left w:val="nil"/>
              <w:right w:val="nil"/>
            </w:tcBorders>
            <w:vAlign w:val="center"/>
            <w:hideMark/>
          </w:tcPr>
          <w:p w14:paraId="5B49EB81" w14:textId="77777777" w:rsidR="001B60F0" w:rsidRPr="00FF1E05" w:rsidRDefault="001B60F0" w:rsidP="001B60F0">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Median slope remained positive under all omissions; exact sign-test P ≤ 0.0117</w:t>
            </w:r>
          </w:p>
        </w:tc>
      </w:tr>
      <w:tr w:rsidR="001B60F0" w:rsidRPr="00FF1E05" w14:paraId="5086A33D" w14:textId="77777777" w:rsidTr="001B60F0">
        <w:trPr>
          <w:trHeight w:val="849"/>
        </w:trPr>
        <w:tc>
          <w:tcPr>
            <w:tcW w:w="1940" w:type="dxa"/>
            <w:tcBorders>
              <w:top w:val="nil"/>
              <w:left w:val="nil"/>
              <w:bottom w:val="single" w:sz="4" w:space="0" w:color="auto"/>
              <w:right w:val="nil"/>
            </w:tcBorders>
            <w:vAlign w:val="center"/>
            <w:hideMark/>
          </w:tcPr>
          <w:p w14:paraId="5057AE05" w14:textId="77777777" w:rsidR="001B60F0" w:rsidRPr="00FF1E05" w:rsidRDefault="001B60F0" w:rsidP="001B60F0">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Multilevel variance-supported model</w:t>
            </w:r>
          </w:p>
        </w:tc>
        <w:tc>
          <w:tcPr>
            <w:tcW w:w="1063" w:type="dxa"/>
            <w:tcBorders>
              <w:top w:val="nil"/>
              <w:left w:val="nil"/>
              <w:bottom w:val="single" w:sz="4" w:space="0" w:color="auto"/>
              <w:right w:val="nil"/>
            </w:tcBorders>
            <w:vAlign w:val="center"/>
            <w:hideMark/>
          </w:tcPr>
          <w:p w14:paraId="4EBBD99F" w14:textId="77777777" w:rsidR="001B60F0" w:rsidRPr="00FF1E05" w:rsidRDefault="001B60F0" w:rsidP="001B60F0">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6</w:t>
            </w:r>
          </w:p>
        </w:tc>
        <w:tc>
          <w:tcPr>
            <w:tcW w:w="4694" w:type="dxa"/>
            <w:tcBorders>
              <w:top w:val="nil"/>
              <w:left w:val="nil"/>
              <w:bottom w:val="single" w:sz="4" w:space="0" w:color="auto"/>
              <w:right w:val="nil"/>
            </w:tcBorders>
            <w:vAlign w:val="center"/>
            <w:hideMark/>
          </w:tcPr>
          <w:p w14:paraId="17988081" w14:textId="77777777" w:rsidR="001B60F0" w:rsidRPr="00FF1E05" w:rsidRDefault="001B60F0" w:rsidP="001B60F0">
            <w:pPr>
              <w:spacing w:after="0" w:line="240" w:lineRule="auto"/>
              <w:rPr>
                <w:rFonts w:eastAsia="Times New Roman" w:cs="Arial"/>
                <w:color w:val="000000"/>
                <w:sz w:val="18"/>
                <w:szCs w:val="18"/>
                <w:lang w:val="en-GB" w:eastAsia="en-GB"/>
              </w:rPr>
            </w:pPr>
            <w:r w:rsidRPr="00FF1E05">
              <w:rPr>
                <w:rFonts w:eastAsia="Times New Roman" w:cs="Arial"/>
                <w:color w:val="000000"/>
                <w:sz w:val="18"/>
                <w:szCs w:val="18"/>
                <w:lang w:val="en-GB" w:eastAsia="en-GB"/>
              </w:rPr>
              <w:t>Point estimate remained benefit-aligned under all study omissions</w:t>
            </w:r>
          </w:p>
        </w:tc>
      </w:tr>
    </w:tbl>
    <w:p w14:paraId="4011B6A0" w14:textId="77777777" w:rsidR="001B60F0" w:rsidRPr="00FF1E05" w:rsidRDefault="001B60F0" w:rsidP="0072319D">
      <w:pPr>
        <w:jc w:val="both"/>
        <w:rPr>
          <w:rFonts w:cs="Arial"/>
          <w:color w:val="000000" w:themeColor="text1"/>
          <w:sz w:val="22"/>
          <w:lang w:val="en-GB"/>
        </w:rPr>
        <w:sectPr w:rsidR="001B60F0" w:rsidRPr="00FF1E05" w:rsidSect="0072319D">
          <w:pgSz w:w="11906" w:h="16838"/>
          <w:pgMar w:top="1134" w:right="1700" w:bottom="1134" w:left="1560" w:header="720" w:footer="720" w:gutter="0"/>
          <w:cols w:space="720"/>
          <w:docGrid w:linePitch="360"/>
        </w:sectPr>
      </w:pPr>
    </w:p>
    <w:p w14:paraId="0297DFB0" w14:textId="5AA506C9" w:rsidR="007F0C34" w:rsidRPr="00FF1E05" w:rsidRDefault="00ED14B9" w:rsidP="0072319D">
      <w:pPr>
        <w:keepNext/>
        <w:jc w:val="both"/>
        <w:rPr>
          <w:rFonts w:cs="Arial"/>
          <w:color w:val="000000" w:themeColor="text1"/>
          <w:sz w:val="18"/>
          <w:szCs w:val="18"/>
        </w:rPr>
      </w:pPr>
      <w:r w:rsidRPr="00FF1E05">
        <w:rPr>
          <w:rFonts w:cs="Arial"/>
          <w:color w:val="000000" w:themeColor="text1"/>
          <w:sz w:val="18"/>
          <w:szCs w:val="18"/>
        </w:rPr>
        <w:lastRenderedPageBreak/>
        <w:t xml:space="preserve">Table S13. </w:t>
      </w:r>
      <w:r w:rsidR="007E6D24" w:rsidRPr="00FF1E05">
        <w:rPr>
          <w:rFonts w:cs="Arial"/>
          <w:color w:val="000000" w:themeColor="text1"/>
          <w:sz w:val="18"/>
          <w:szCs w:val="18"/>
        </w:rPr>
        <w:t xml:space="preserve">PFAS </w:t>
      </w:r>
      <w:proofErr w:type="spellStart"/>
      <w:r w:rsidR="00EC77E5" w:rsidRPr="00FF1E05">
        <w:rPr>
          <w:rFonts w:cs="Arial"/>
          <w:color w:val="000000" w:themeColor="text1"/>
          <w:sz w:val="18"/>
          <w:szCs w:val="18"/>
        </w:rPr>
        <w:t>harmonisation</w:t>
      </w:r>
      <w:proofErr w:type="spellEnd"/>
      <w:r w:rsidR="007E6D24" w:rsidRPr="00FF1E05">
        <w:rPr>
          <w:rFonts w:cs="Arial"/>
          <w:color w:val="000000" w:themeColor="text1"/>
          <w:sz w:val="18"/>
          <w:szCs w:val="18"/>
        </w:rPr>
        <w:t xml:space="preserve"> and molecular classification</w:t>
      </w:r>
    </w:p>
    <w:tbl>
      <w:tblPr>
        <w:tblW w:w="13112" w:type="dxa"/>
        <w:tblInd w:w="108" w:type="dxa"/>
        <w:tblLook w:val="04A0" w:firstRow="1" w:lastRow="0" w:firstColumn="1" w:lastColumn="0" w:noHBand="0" w:noVBand="1"/>
      </w:tblPr>
      <w:tblGrid>
        <w:gridCol w:w="1873"/>
        <w:gridCol w:w="2774"/>
        <w:gridCol w:w="2764"/>
        <w:gridCol w:w="2227"/>
        <w:gridCol w:w="2031"/>
        <w:gridCol w:w="1443"/>
      </w:tblGrid>
      <w:tr w:rsidR="00AC5EDF" w:rsidRPr="00FF1E05" w14:paraId="0F8212C3" w14:textId="77777777" w:rsidTr="00AC5EDF">
        <w:trPr>
          <w:trHeight w:val="272"/>
        </w:trPr>
        <w:tc>
          <w:tcPr>
            <w:tcW w:w="1873" w:type="dxa"/>
            <w:tcBorders>
              <w:top w:val="single" w:sz="4" w:space="0" w:color="auto"/>
              <w:left w:val="nil"/>
              <w:bottom w:val="single" w:sz="4" w:space="0" w:color="auto"/>
              <w:right w:val="nil"/>
            </w:tcBorders>
            <w:shd w:val="clear" w:color="000000" w:fill="EDEDED"/>
            <w:vAlign w:val="center"/>
            <w:hideMark/>
          </w:tcPr>
          <w:p w14:paraId="5961D720"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PFAS</w:t>
            </w:r>
          </w:p>
        </w:tc>
        <w:tc>
          <w:tcPr>
            <w:tcW w:w="2774" w:type="dxa"/>
            <w:tcBorders>
              <w:top w:val="single" w:sz="4" w:space="0" w:color="auto"/>
              <w:left w:val="nil"/>
              <w:bottom w:val="single" w:sz="4" w:space="0" w:color="auto"/>
              <w:right w:val="nil"/>
            </w:tcBorders>
            <w:shd w:val="clear" w:color="000000" w:fill="EDEDED"/>
            <w:vAlign w:val="center"/>
            <w:hideMark/>
          </w:tcPr>
          <w:p w14:paraId="1986C410"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Full name</w:t>
            </w:r>
          </w:p>
        </w:tc>
        <w:tc>
          <w:tcPr>
            <w:tcW w:w="2764" w:type="dxa"/>
            <w:tcBorders>
              <w:top w:val="single" w:sz="4" w:space="0" w:color="auto"/>
              <w:left w:val="nil"/>
              <w:bottom w:val="single" w:sz="4" w:space="0" w:color="auto"/>
              <w:right w:val="nil"/>
            </w:tcBorders>
            <w:shd w:val="clear" w:color="000000" w:fill="EDEDED"/>
            <w:vAlign w:val="center"/>
            <w:hideMark/>
          </w:tcPr>
          <w:p w14:paraId="621C60B1"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PFAS group</w:t>
            </w:r>
          </w:p>
        </w:tc>
        <w:tc>
          <w:tcPr>
            <w:tcW w:w="2227" w:type="dxa"/>
            <w:tcBorders>
              <w:top w:val="single" w:sz="4" w:space="0" w:color="auto"/>
              <w:left w:val="nil"/>
              <w:bottom w:val="single" w:sz="4" w:space="0" w:color="auto"/>
              <w:right w:val="nil"/>
            </w:tcBorders>
            <w:shd w:val="clear" w:color="000000" w:fill="EDEDED"/>
            <w:vAlign w:val="center"/>
            <w:hideMark/>
          </w:tcPr>
          <w:p w14:paraId="75B6600E"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Headgroup</w:t>
            </w:r>
          </w:p>
        </w:tc>
        <w:tc>
          <w:tcPr>
            <w:tcW w:w="2031" w:type="dxa"/>
            <w:tcBorders>
              <w:top w:val="single" w:sz="4" w:space="0" w:color="auto"/>
              <w:left w:val="nil"/>
              <w:bottom w:val="single" w:sz="4" w:space="0" w:color="auto"/>
              <w:right w:val="nil"/>
            </w:tcBorders>
            <w:shd w:val="clear" w:color="000000" w:fill="EDEDED"/>
            <w:vAlign w:val="center"/>
            <w:hideMark/>
          </w:tcPr>
          <w:p w14:paraId="708FFFA8"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Total carbon count</w:t>
            </w:r>
          </w:p>
        </w:tc>
        <w:tc>
          <w:tcPr>
            <w:tcW w:w="1443" w:type="dxa"/>
            <w:tcBorders>
              <w:top w:val="single" w:sz="4" w:space="0" w:color="auto"/>
              <w:left w:val="nil"/>
              <w:bottom w:val="single" w:sz="4" w:space="0" w:color="auto"/>
              <w:right w:val="nil"/>
            </w:tcBorders>
            <w:shd w:val="clear" w:color="000000" w:fill="EDEDED"/>
            <w:vAlign w:val="center"/>
            <w:hideMark/>
          </w:tcPr>
          <w:p w14:paraId="5F4FB28F"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Chain class</w:t>
            </w:r>
          </w:p>
        </w:tc>
      </w:tr>
      <w:tr w:rsidR="00AC5EDF" w:rsidRPr="00FF1E05" w14:paraId="7B278F23" w14:textId="77777777" w:rsidTr="00AC5EDF">
        <w:trPr>
          <w:trHeight w:val="272"/>
        </w:trPr>
        <w:tc>
          <w:tcPr>
            <w:tcW w:w="1873" w:type="dxa"/>
            <w:tcBorders>
              <w:top w:val="single" w:sz="4" w:space="0" w:color="auto"/>
              <w:left w:val="nil"/>
              <w:bottom w:val="nil"/>
              <w:right w:val="nil"/>
            </w:tcBorders>
            <w:vAlign w:val="center"/>
            <w:hideMark/>
          </w:tcPr>
          <w:p w14:paraId="0C166B28"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PFBA</w:t>
            </w:r>
          </w:p>
        </w:tc>
        <w:tc>
          <w:tcPr>
            <w:tcW w:w="2774" w:type="dxa"/>
            <w:tcBorders>
              <w:top w:val="single" w:sz="4" w:space="0" w:color="auto"/>
              <w:left w:val="nil"/>
              <w:bottom w:val="nil"/>
              <w:right w:val="nil"/>
            </w:tcBorders>
            <w:vAlign w:val="center"/>
            <w:hideMark/>
          </w:tcPr>
          <w:p w14:paraId="5319865E"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Perfluorobutanoic</w:t>
            </w:r>
            <w:proofErr w:type="spellEnd"/>
            <w:r w:rsidRPr="00FF1E05">
              <w:rPr>
                <w:rFonts w:eastAsia="Times New Roman" w:cs="Arial"/>
                <w:color w:val="000000"/>
                <w:sz w:val="16"/>
                <w:szCs w:val="16"/>
                <w:lang w:val="en-GB" w:eastAsia="en-GB"/>
              </w:rPr>
              <w:t xml:space="preserve"> acid</w:t>
            </w:r>
          </w:p>
        </w:tc>
        <w:tc>
          <w:tcPr>
            <w:tcW w:w="2764" w:type="dxa"/>
            <w:tcBorders>
              <w:top w:val="single" w:sz="4" w:space="0" w:color="auto"/>
              <w:left w:val="nil"/>
              <w:bottom w:val="nil"/>
              <w:right w:val="nil"/>
            </w:tcBorders>
            <w:vAlign w:val="center"/>
            <w:hideMark/>
          </w:tcPr>
          <w:p w14:paraId="15449DC4"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PFCA</w:t>
            </w:r>
          </w:p>
        </w:tc>
        <w:tc>
          <w:tcPr>
            <w:tcW w:w="2227" w:type="dxa"/>
            <w:tcBorders>
              <w:top w:val="single" w:sz="4" w:space="0" w:color="auto"/>
              <w:left w:val="nil"/>
              <w:bottom w:val="nil"/>
              <w:right w:val="nil"/>
            </w:tcBorders>
            <w:vAlign w:val="center"/>
            <w:hideMark/>
          </w:tcPr>
          <w:p w14:paraId="046524F9"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Carboxylate</w:t>
            </w:r>
          </w:p>
        </w:tc>
        <w:tc>
          <w:tcPr>
            <w:tcW w:w="2031" w:type="dxa"/>
            <w:tcBorders>
              <w:top w:val="single" w:sz="4" w:space="0" w:color="auto"/>
              <w:left w:val="nil"/>
              <w:bottom w:val="nil"/>
              <w:right w:val="nil"/>
            </w:tcBorders>
            <w:vAlign w:val="center"/>
            <w:hideMark/>
          </w:tcPr>
          <w:p w14:paraId="374823D9"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4</w:t>
            </w:r>
          </w:p>
        </w:tc>
        <w:tc>
          <w:tcPr>
            <w:tcW w:w="1443" w:type="dxa"/>
            <w:tcBorders>
              <w:top w:val="single" w:sz="4" w:space="0" w:color="auto"/>
              <w:left w:val="nil"/>
              <w:bottom w:val="nil"/>
              <w:right w:val="nil"/>
            </w:tcBorders>
            <w:vAlign w:val="center"/>
            <w:hideMark/>
          </w:tcPr>
          <w:p w14:paraId="659408EE"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Short</w:t>
            </w:r>
          </w:p>
        </w:tc>
      </w:tr>
      <w:tr w:rsidR="00AC5EDF" w:rsidRPr="00FF1E05" w14:paraId="39F72EE0" w14:textId="77777777" w:rsidTr="00AC5EDF">
        <w:trPr>
          <w:trHeight w:val="272"/>
        </w:trPr>
        <w:tc>
          <w:tcPr>
            <w:tcW w:w="1873" w:type="dxa"/>
            <w:tcBorders>
              <w:top w:val="nil"/>
              <w:left w:val="nil"/>
              <w:bottom w:val="nil"/>
              <w:right w:val="nil"/>
            </w:tcBorders>
            <w:vAlign w:val="center"/>
            <w:hideMark/>
          </w:tcPr>
          <w:p w14:paraId="37AB3B82"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PFPeA</w:t>
            </w:r>
            <w:proofErr w:type="spellEnd"/>
          </w:p>
        </w:tc>
        <w:tc>
          <w:tcPr>
            <w:tcW w:w="2774" w:type="dxa"/>
            <w:tcBorders>
              <w:top w:val="nil"/>
              <w:left w:val="nil"/>
              <w:bottom w:val="nil"/>
              <w:right w:val="nil"/>
            </w:tcBorders>
            <w:vAlign w:val="center"/>
            <w:hideMark/>
          </w:tcPr>
          <w:p w14:paraId="3F16C591"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Perfluoropentanoic</w:t>
            </w:r>
            <w:proofErr w:type="spellEnd"/>
            <w:r w:rsidRPr="00FF1E05">
              <w:rPr>
                <w:rFonts w:eastAsia="Times New Roman" w:cs="Arial"/>
                <w:color w:val="000000"/>
                <w:sz w:val="16"/>
                <w:szCs w:val="16"/>
                <w:lang w:val="en-GB" w:eastAsia="en-GB"/>
              </w:rPr>
              <w:t xml:space="preserve"> acid</w:t>
            </w:r>
          </w:p>
        </w:tc>
        <w:tc>
          <w:tcPr>
            <w:tcW w:w="2764" w:type="dxa"/>
            <w:tcBorders>
              <w:top w:val="nil"/>
              <w:left w:val="nil"/>
              <w:bottom w:val="nil"/>
              <w:right w:val="nil"/>
            </w:tcBorders>
            <w:vAlign w:val="center"/>
            <w:hideMark/>
          </w:tcPr>
          <w:p w14:paraId="67A60F42"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PFCA</w:t>
            </w:r>
          </w:p>
        </w:tc>
        <w:tc>
          <w:tcPr>
            <w:tcW w:w="2227" w:type="dxa"/>
            <w:tcBorders>
              <w:top w:val="nil"/>
              <w:left w:val="nil"/>
              <w:bottom w:val="nil"/>
              <w:right w:val="nil"/>
            </w:tcBorders>
            <w:vAlign w:val="center"/>
            <w:hideMark/>
          </w:tcPr>
          <w:p w14:paraId="68A45108"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Carboxylate</w:t>
            </w:r>
          </w:p>
        </w:tc>
        <w:tc>
          <w:tcPr>
            <w:tcW w:w="2031" w:type="dxa"/>
            <w:tcBorders>
              <w:top w:val="nil"/>
              <w:left w:val="nil"/>
              <w:bottom w:val="nil"/>
              <w:right w:val="nil"/>
            </w:tcBorders>
            <w:vAlign w:val="center"/>
            <w:hideMark/>
          </w:tcPr>
          <w:p w14:paraId="02C59BFE"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5</w:t>
            </w:r>
          </w:p>
        </w:tc>
        <w:tc>
          <w:tcPr>
            <w:tcW w:w="1443" w:type="dxa"/>
            <w:tcBorders>
              <w:top w:val="nil"/>
              <w:left w:val="nil"/>
              <w:bottom w:val="nil"/>
              <w:right w:val="nil"/>
            </w:tcBorders>
            <w:vAlign w:val="center"/>
            <w:hideMark/>
          </w:tcPr>
          <w:p w14:paraId="71FE0AF4"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Short</w:t>
            </w:r>
          </w:p>
        </w:tc>
      </w:tr>
      <w:tr w:rsidR="00AC5EDF" w:rsidRPr="00FF1E05" w14:paraId="72A063C5" w14:textId="77777777" w:rsidTr="00AC5EDF">
        <w:trPr>
          <w:trHeight w:val="272"/>
        </w:trPr>
        <w:tc>
          <w:tcPr>
            <w:tcW w:w="1873" w:type="dxa"/>
            <w:tcBorders>
              <w:top w:val="nil"/>
              <w:left w:val="nil"/>
              <w:bottom w:val="nil"/>
              <w:right w:val="nil"/>
            </w:tcBorders>
            <w:vAlign w:val="center"/>
            <w:hideMark/>
          </w:tcPr>
          <w:p w14:paraId="5ACE1812"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PFHxA</w:t>
            </w:r>
            <w:proofErr w:type="spellEnd"/>
          </w:p>
        </w:tc>
        <w:tc>
          <w:tcPr>
            <w:tcW w:w="2774" w:type="dxa"/>
            <w:tcBorders>
              <w:top w:val="nil"/>
              <w:left w:val="nil"/>
              <w:bottom w:val="nil"/>
              <w:right w:val="nil"/>
            </w:tcBorders>
            <w:vAlign w:val="center"/>
            <w:hideMark/>
          </w:tcPr>
          <w:p w14:paraId="2F7E5C6E"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Perfluorohexanoic</w:t>
            </w:r>
            <w:proofErr w:type="spellEnd"/>
            <w:r w:rsidRPr="00FF1E05">
              <w:rPr>
                <w:rFonts w:eastAsia="Times New Roman" w:cs="Arial"/>
                <w:color w:val="000000"/>
                <w:sz w:val="16"/>
                <w:szCs w:val="16"/>
                <w:lang w:val="en-GB" w:eastAsia="en-GB"/>
              </w:rPr>
              <w:t xml:space="preserve"> acid</w:t>
            </w:r>
          </w:p>
        </w:tc>
        <w:tc>
          <w:tcPr>
            <w:tcW w:w="2764" w:type="dxa"/>
            <w:tcBorders>
              <w:top w:val="nil"/>
              <w:left w:val="nil"/>
              <w:bottom w:val="nil"/>
              <w:right w:val="nil"/>
            </w:tcBorders>
            <w:vAlign w:val="center"/>
            <w:hideMark/>
          </w:tcPr>
          <w:p w14:paraId="1DACC566"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PFCA</w:t>
            </w:r>
          </w:p>
        </w:tc>
        <w:tc>
          <w:tcPr>
            <w:tcW w:w="2227" w:type="dxa"/>
            <w:tcBorders>
              <w:top w:val="nil"/>
              <w:left w:val="nil"/>
              <w:bottom w:val="nil"/>
              <w:right w:val="nil"/>
            </w:tcBorders>
            <w:vAlign w:val="center"/>
            <w:hideMark/>
          </w:tcPr>
          <w:p w14:paraId="081DA0F1"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Carboxylate</w:t>
            </w:r>
          </w:p>
        </w:tc>
        <w:tc>
          <w:tcPr>
            <w:tcW w:w="2031" w:type="dxa"/>
            <w:tcBorders>
              <w:top w:val="nil"/>
              <w:left w:val="nil"/>
              <w:bottom w:val="nil"/>
              <w:right w:val="nil"/>
            </w:tcBorders>
            <w:vAlign w:val="center"/>
            <w:hideMark/>
          </w:tcPr>
          <w:p w14:paraId="73B3EA94"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6</w:t>
            </w:r>
          </w:p>
        </w:tc>
        <w:tc>
          <w:tcPr>
            <w:tcW w:w="1443" w:type="dxa"/>
            <w:tcBorders>
              <w:top w:val="nil"/>
              <w:left w:val="nil"/>
              <w:bottom w:val="nil"/>
              <w:right w:val="nil"/>
            </w:tcBorders>
            <w:vAlign w:val="center"/>
            <w:hideMark/>
          </w:tcPr>
          <w:p w14:paraId="583B3656"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Short</w:t>
            </w:r>
          </w:p>
        </w:tc>
      </w:tr>
      <w:tr w:rsidR="00AC5EDF" w:rsidRPr="00FF1E05" w14:paraId="389A0206" w14:textId="77777777" w:rsidTr="00AC5EDF">
        <w:trPr>
          <w:trHeight w:val="272"/>
        </w:trPr>
        <w:tc>
          <w:tcPr>
            <w:tcW w:w="1873" w:type="dxa"/>
            <w:tcBorders>
              <w:top w:val="nil"/>
              <w:left w:val="nil"/>
              <w:bottom w:val="nil"/>
              <w:right w:val="nil"/>
            </w:tcBorders>
            <w:vAlign w:val="center"/>
            <w:hideMark/>
          </w:tcPr>
          <w:p w14:paraId="0E20774D"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PFHpA</w:t>
            </w:r>
            <w:proofErr w:type="spellEnd"/>
          </w:p>
        </w:tc>
        <w:tc>
          <w:tcPr>
            <w:tcW w:w="2774" w:type="dxa"/>
            <w:tcBorders>
              <w:top w:val="nil"/>
              <w:left w:val="nil"/>
              <w:bottom w:val="nil"/>
              <w:right w:val="nil"/>
            </w:tcBorders>
            <w:vAlign w:val="center"/>
            <w:hideMark/>
          </w:tcPr>
          <w:p w14:paraId="0E8D8CD5"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Perfluoroheptanoic</w:t>
            </w:r>
            <w:proofErr w:type="spellEnd"/>
            <w:r w:rsidRPr="00FF1E05">
              <w:rPr>
                <w:rFonts w:eastAsia="Times New Roman" w:cs="Arial"/>
                <w:color w:val="000000"/>
                <w:sz w:val="16"/>
                <w:szCs w:val="16"/>
                <w:lang w:val="en-GB" w:eastAsia="en-GB"/>
              </w:rPr>
              <w:t xml:space="preserve"> acid</w:t>
            </w:r>
          </w:p>
        </w:tc>
        <w:tc>
          <w:tcPr>
            <w:tcW w:w="2764" w:type="dxa"/>
            <w:tcBorders>
              <w:top w:val="nil"/>
              <w:left w:val="nil"/>
              <w:bottom w:val="nil"/>
              <w:right w:val="nil"/>
            </w:tcBorders>
            <w:vAlign w:val="center"/>
            <w:hideMark/>
          </w:tcPr>
          <w:p w14:paraId="67608245"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PFCA</w:t>
            </w:r>
          </w:p>
        </w:tc>
        <w:tc>
          <w:tcPr>
            <w:tcW w:w="2227" w:type="dxa"/>
            <w:tcBorders>
              <w:top w:val="nil"/>
              <w:left w:val="nil"/>
              <w:bottom w:val="nil"/>
              <w:right w:val="nil"/>
            </w:tcBorders>
            <w:vAlign w:val="center"/>
            <w:hideMark/>
          </w:tcPr>
          <w:p w14:paraId="7C72886C"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Carboxylate</w:t>
            </w:r>
          </w:p>
        </w:tc>
        <w:tc>
          <w:tcPr>
            <w:tcW w:w="2031" w:type="dxa"/>
            <w:tcBorders>
              <w:top w:val="nil"/>
              <w:left w:val="nil"/>
              <w:bottom w:val="nil"/>
              <w:right w:val="nil"/>
            </w:tcBorders>
            <w:vAlign w:val="center"/>
            <w:hideMark/>
          </w:tcPr>
          <w:p w14:paraId="50E8A4FF"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7</w:t>
            </w:r>
          </w:p>
        </w:tc>
        <w:tc>
          <w:tcPr>
            <w:tcW w:w="1443" w:type="dxa"/>
            <w:tcBorders>
              <w:top w:val="nil"/>
              <w:left w:val="nil"/>
              <w:bottom w:val="nil"/>
              <w:right w:val="nil"/>
            </w:tcBorders>
            <w:vAlign w:val="center"/>
            <w:hideMark/>
          </w:tcPr>
          <w:p w14:paraId="080EBDF5"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Short</w:t>
            </w:r>
          </w:p>
        </w:tc>
      </w:tr>
      <w:tr w:rsidR="00AC5EDF" w:rsidRPr="00FF1E05" w14:paraId="29D263F4" w14:textId="77777777" w:rsidTr="00AC5EDF">
        <w:trPr>
          <w:trHeight w:val="272"/>
        </w:trPr>
        <w:tc>
          <w:tcPr>
            <w:tcW w:w="1873" w:type="dxa"/>
            <w:tcBorders>
              <w:top w:val="nil"/>
              <w:left w:val="nil"/>
              <w:bottom w:val="nil"/>
              <w:right w:val="nil"/>
            </w:tcBorders>
            <w:vAlign w:val="center"/>
            <w:hideMark/>
          </w:tcPr>
          <w:p w14:paraId="074C657E"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PFOA</w:t>
            </w:r>
          </w:p>
        </w:tc>
        <w:tc>
          <w:tcPr>
            <w:tcW w:w="2774" w:type="dxa"/>
            <w:tcBorders>
              <w:top w:val="nil"/>
              <w:left w:val="nil"/>
              <w:bottom w:val="nil"/>
              <w:right w:val="nil"/>
            </w:tcBorders>
            <w:vAlign w:val="center"/>
            <w:hideMark/>
          </w:tcPr>
          <w:p w14:paraId="18DE46ED"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Perfluorooctanoic acid</w:t>
            </w:r>
          </w:p>
        </w:tc>
        <w:tc>
          <w:tcPr>
            <w:tcW w:w="2764" w:type="dxa"/>
            <w:tcBorders>
              <w:top w:val="nil"/>
              <w:left w:val="nil"/>
              <w:bottom w:val="nil"/>
              <w:right w:val="nil"/>
            </w:tcBorders>
            <w:vAlign w:val="center"/>
            <w:hideMark/>
          </w:tcPr>
          <w:p w14:paraId="2253B5C3"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PFCA</w:t>
            </w:r>
          </w:p>
        </w:tc>
        <w:tc>
          <w:tcPr>
            <w:tcW w:w="2227" w:type="dxa"/>
            <w:tcBorders>
              <w:top w:val="nil"/>
              <w:left w:val="nil"/>
              <w:bottom w:val="nil"/>
              <w:right w:val="nil"/>
            </w:tcBorders>
            <w:vAlign w:val="center"/>
            <w:hideMark/>
          </w:tcPr>
          <w:p w14:paraId="0070AE25"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Carboxylate</w:t>
            </w:r>
          </w:p>
        </w:tc>
        <w:tc>
          <w:tcPr>
            <w:tcW w:w="2031" w:type="dxa"/>
            <w:tcBorders>
              <w:top w:val="nil"/>
              <w:left w:val="nil"/>
              <w:bottom w:val="nil"/>
              <w:right w:val="nil"/>
            </w:tcBorders>
            <w:vAlign w:val="center"/>
            <w:hideMark/>
          </w:tcPr>
          <w:p w14:paraId="7DD56CAC"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8</w:t>
            </w:r>
          </w:p>
        </w:tc>
        <w:tc>
          <w:tcPr>
            <w:tcW w:w="1443" w:type="dxa"/>
            <w:tcBorders>
              <w:top w:val="nil"/>
              <w:left w:val="nil"/>
              <w:bottom w:val="nil"/>
              <w:right w:val="nil"/>
            </w:tcBorders>
            <w:vAlign w:val="center"/>
            <w:hideMark/>
          </w:tcPr>
          <w:p w14:paraId="7FB6FB44"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Long</w:t>
            </w:r>
          </w:p>
        </w:tc>
      </w:tr>
      <w:tr w:rsidR="00AC5EDF" w:rsidRPr="00FF1E05" w14:paraId="202DDD71" w14:textId="77777777" w:rsidTr="00AC5EDF">
        <w:trPr>
          <w:trHeight w:val="272"/>
        </w:trPr>
        <w:tc>
          <w:tcPr>
            <w:tcW w:w="1873" w:type="dxa"/>
            <w:tcBorders>
              <w:top w:val="nil"/>
              <w:left w:val="nil"/>
              <w:bottom w:val="nil"/>
              <w:right w:val="nil"/>
            </w:tcBorders>
            <w:vAlign w:val="center"/>
            <w:hideMark/>
          </w:tcPr>
          <w:p w14:paraId="0751520C"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PFNA</w:t>
            </w:r>
          </w:p>
        </w:tc>
        <w:tc>
          <w:tcPr>
            <w:tcW w:w="2774" w:type="dxa"/>
            <w:tcBorders>
              <w:top w:val="nil"/>
              <w:left w:val="nil"/>
              <w:bottom w:val="nil"/>
              <w:right w:val="nil"/>
            </w:tcBorders>
            <w:vAlign w:val="center"/>
            <w:hideMark/>
          </w:tcPr>
          <w:p w14:paraId="55C557FF"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Perfluorononanoic</w:t>
            </w:r>
            <w:proofErr w:type="spellEnd"/>
            <w:r w:rsidRPr="00FF1E05">
              <w:rPr>
                <w:rFonts w:eastAsia="Times New Roman" w:cs="Arial"/>
                <w:color w:val="000000"/>
                <w:sz w:val="16"/>
                <w:szCs w:val="16"/>
                <w:lang w:val="en-GB" w:eastAsia="en-GB"/>
              </w:rPr>
              <w:t xml:space="preserve"> acid</w:t>
            </w:r>
          </w:p>
        </w:tc>
        <w:tc>
          <w:tcPr>
            <w:tcW w:w="2764" w:type="dxa"/>
            <w:tcBorders>
              <w:top w:val="nil"/>
              <w:left w:val="nil"/>
              <w:bottom w:val="nil"/>
              <w:right w:val="nil"/>
            </w:tcBorders>
            <w:vAlign w:val="center"/>
            <w:hideMark/>
          </w:tcPr>
          <w:p w14:paraId="0ECDAFFA"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PFCA</w:t>
            </w:r>
          </w:p>
        </w:tc>
        <w:tc>
          <w:tcPr>
            <w:tcW w:w="2227" w:type="dxa"/>
            <w:tcBorders>
              <w:top w:val="nil"/>
              <w:left w:val="nil"/>
              <w:bottom w:val="nil"/>
              <w:right w:val="nil"/>
            </w:tcBorders>
            <w:vAlign w:val="center"/>
            <w:hideMark/>
          </w:tcPr>
          <w:p w14:paraId="03E4B13D"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Carboxylate</w:t>
            </w:r>
          </w:p>
        </w:tc>
        <w:tc>
          <w:tcPr>
            <w:tcW w:w="2031" w:type="dxa"/>
            <w:tcBorders>
              <w:top w:val="nil"/>
              <w:left w:val="nil"/>
              <w:bottom w:val="nil"/>
              <w:right w:val="nil"/>
            </w:tcBorders>
            <w:vAlign w:val="center"/>
            <w:hideMark/>
          </w:tcPr>
          <w:p w14:paraId="7770131A"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9</w:t>
            </w:r>
          </w:p>
        </w:tc>
        <w:tc>
          <w:tcPr>
            <w:tcW w:w="1443" w:type="dxa"/>
            <w:tcBorders>
              <w:top w:val="nil"/>
              <w:left w:val="nil"/>
              <w:bottom w:val="nil"/>
              <w:right w:val="nil"/>
            </w:tcBorders>
            <w:vAlign w:val="center"/>
            <w:hideMark/>
          </w:tcPr>
          <w:p w14:paraId="2199B127"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Long</w:t>
            </w:r>
          </w:p>
        </w:tc>
      </w:tr>
      <w:tr w:rsidR="00AC5EDF" w:rsidRPr="00FF1E05" w14:paraId="26F91905" w14:textId="77777777" w:rsidTr="00AC5EDF">
        <w:trPr>
          <w:trHeight w:val="272"/>
        </w:trPr>
        <w:tc>
          <w:tcPr>
            <w:tcW w:w="1873" w:type="dxa"/>
            <w:tcBorders>
              <w:top w:val="nil"/>
              <w:left w:val="nil"/>
              <w:bottom w:val="nil"/>
              <w:right w:val="nil"/>
            </w:tcBorders>
            <w:vAlign w:val="center"/>
            <w:hideMark/>
          </w:tcPr>
          <w:p w14:paraId="1A94FB57"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PFDA</w:t>
            </w:r>
          </w:p>
        </w:tc>
        <w:tc>
          <w:tcPr>
            <w:tcW w:w="2774" w:type="dxa"/>
            <w:tcBorders>
              <w:top w:val="nil"/>
              <w:left w:val="nil"/>
              <w:bottom w:val="nil"/>
              <w:right w:val="nil"/>
            </w:tcBorders>
            <w:vAlign w:val="center"/>
            <w:hideMark/>
          </w:tcPr>
          <w:p w14:paraId="607AF06D"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Perfluorodecanoic</w:t>
            </w:r>
            <w:proofErr w:type="spellEnd"/>
            <w:r w:rsidRPr="00FF1E05">
              <w:rPr>
                <w:rFonts w:eastAsia="Times New Roman" w:cs="Arial"/>
                <w:color w:val="000000"/>
                <w:sz w:val="16"/>
                <w:szCs w:val="16"/>
                <w:lang w:val="en-GB" w:eastAsia="en-GB"/>
              </w:rPr>
              <w:t xml:space="preserve"> acid</w:t>
            </w:r>
          </w:p>
        </w:tc>
        <w:tc>
          <w:tcPr>
            <w:tcW w:w="2764" w:type="dxa"/>
            <w:tcBorders>
              <w:top w:val="nil"/>
              <w:left w:val="nil"/>
              <w:bottom w:val="nil"/>
              <w:right w:val="nil"/>
            </w:tcBorders>
            <w:vAlign w:val="center"/>
            <w:hideMark/>
          </w:tcPr>
          <w:p w14:paraId="67666BCC"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PFCA</w:t>
            </w:r>
          </w:p>
        </w:tc>
        <w:tc>
          <w:tcPr>
            <w:tcW w:w="2227" w:type="dxa"/>
            <w:tcBorders>
              <w:top w:val="nil"/>
              <w:left w:val="nil"/>
              <w:bottom w:val="nil"/>
              <w:right w:val="nil"/>
            </w:tcBorders>
            <w:vAlign w:val="center"/>
            <w:hideMark/>
          </w:tcPr>
          <w:p w14:paraId="5F426805"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Carboxylate</w:t>
            </w:r>
          </w:p>
        </w:tc>
        <w:tc>
          <w:tcPr>
            <w:tcW w:w="2031" w:type="dxa"/>
            <w:tcBorders>
              <w:top w:val="nil"/>
              <w:left w:val="nil"/>
              <w:bottom w:val="nil"/>
              <w:right w:val="nil"/>
            </w:tcBorders>
            <w:vAlign w:val="center"/>
            <w:hideMark/>
          </w:tcPr>
          <w:p w14:paraId="119D6BC6"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10</w:t>
            </w:r>
          </w:p>
        </w:tc>
        <w:tc>
          <w:tcPr>
            <w:tcW w:w="1443" w:type="dxa"/>
            <w:tcBorders>
              <w:top w:val="nil"/>
              <w:left w:val="nil"/>
              <w:bottom w:val="nil"/>
              <w:right w:val="nil"/>
            </w:tcBorders>
            <w:vAlign w:val="center"/>
            <w:hideMark/>
          </w:tcPr>
          <w:p w14:paraId="5F3C4A3E"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Long</w:t>
            </w:r>
          </w:p>
        </w:tc>
      </w:tr>
      <w:tr w:rsidR="00AC5EDF" w:rsidRPr="00FF1E05" w14:paraId="7B1397E2" w14:textId="77777777" w:rsidTr="00AC5EDF">
        <w:trPr>
          <w:trHeight w:val="272"/>
        </w:trPr>
        <w:tc>
          <w:tcPr>
            <w:tcW w:w="1873" w:type="dxa"/>
            <w:tcBorders>
              <w:top w:val="nil"/>
              <w:left w:val="nil"/>
              <w:bottom w:val="nil"/>
              <w:right w:val="nil"/>
            </w:tcBorders>
            <w:vAlign w:val="center"/>
            <w:hideMark/>
          </w:tcPr>
          <w:p w14:paraId="3D41AF41"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PFUnDA</w:t>
            </w:r>
            <w:proofErr w:type="spellEnd"/>
          </w:p>
        </w:tc>
        <w:tc>
          <w:tcPr>
            <w:tcW w:w="2774" w:type="dxa"/>
            <w:tcBorders>
              <w:top w:val="nil"/>
              <w:left w:val="nil"/>
              <w:bottom w:val="nil"/>
              <w:right w:val="nil"/>
            </w:tcBorders>
            <w:vAlign w:val="center"/>
            <w:hideMark/>
          </w:tcPr>
          <w:p w14:paraId="1BED33AC"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Perfluoroundecanoic</w:t>
            </w:r>
            <w:proofErr w:type="spellEnd"/>
            <w:r w:rsidRPr="00FF1E05">
              <w:rPr>
                <w:rFonts w:eastAsia="Times New Roman" w:cs="Arial"/>
                <w:color w:val="000000"/>
                <w:sz w:val="16"/>
                <w:szCs w:val="16"/>
                <w:lang w:val="en-GB" w:eastAsia="en-GB"/>
              </w:rPr>
              <w:t xml:space="preserve"> acid</w:t>
            </w:r>
          </w:p>
        </w:tc>
        <w:tc>
          <w:tcPr>
            <w:tcW w:w="2764" w:type="dxa"/>
            <w:tcBorders>
              <w:top w:val="nil"/>
              <w:left w:val="nil"/>
              <w:bottom w:val="nil"/>
              <w:right w:val="nil"/>
            </w:tcBorders>
            <w:vAlign w:val="center"/>
            <w:hideMark/>
          </w:tcPr>
          <w:p w14:paraId="75E405E7"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PFCA</w:t>
            </w:r>
          </w:p>
        </w:tc>
        <w:tc>
          <w:tcPr>
            <w:tcW w:w="2227" w:type="dxa"/>
            <w:tcBorders>
              <w:top w:val="nil"/>
              <w:left w:val="nil"/>
              <w:bottom w:val="nil"/>
              <w:right w:val="nil"/>
            </w:tcBorders>
            <w:vAlign w:val="center"/>
            <w:hideMark/>
          </w:tcPr>
          <w:p w14:paraId="47C36681"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Carboxylate</w:t>
            </w:r>
          </w:p>
        </w:tc>
        <w:tc>
          <w:tcPr>
            <w:tcW w:w="2031" w:type="dxa"/>
            <w:tcBorders>
              <w:top w:val="nil"/>
              <w:left w:val="nil"/>
              <w:bottom w:val="nil"/>
              <w:right w:val="nil"/>
            </w:tcBorders>
            <w:vAlign w:val="center"/>
            <w:hideMark/>
          </w:tcPr>
          <w:p w14:paraId="2E4038CF"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11</w:t>
            </w:r>
          </w:p>
        </w:tc>
        <w:tc>
          <w:tcPr>
            <w:tcW w:w="1443" w:type="dxa"/>
            <w:tcBorders>
              <w:top w:val="nil"/>
              <w:left w:val="nil"/>
              <w:bottom w:val="nil"/>
              <w:right w:val="nil"/>
            </w:tcBorders>
            <w:vAlign w:val="center"/>
            <w:hideMark/>
          </w:tcPr>
          <w:p w14:paraId="70D01DC9"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Long</w:t>
            </w:r>
          </w:p>
        </w:tc>
      </w:tr>
      <w:tr w:rsidR="00AC5EDF" w:rsidRPr="00FF1E05" w14:paraId="191852FC" w14:textId="77777777" w:rsidTr="00AC5EDF">
        <w:trPr>
          <w:trHeight w:val="272"/>
        </w:trPr>
        <w:tc>
          <w:tcPr>
            <w:tcW w:w="1873" w:type="dxa"/>
            <w:tcBorders>
              <w:top w:val="nil"/>
              <w:left w:val="nil"/>
              <w:bottom w:val="nil"/>
              <w:right w:val="nil"/>
            </w:tcBorders>
            <w:vAlign w:val="center"/>
            <w:hideMark/>
          </w:tcPr>
          <w:p w14:paraId="39B6C0A6"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PFDoDA</w:t>
            </w:r>
            <w:proofErr w:type="spellEnd"/>
          </w:p>
        </w:tc>
        <w:tc>
          <w:tcPr>
            <w:tcW w:w="2774" w:type="dxa"/>
            <w:tcBorders>
              <w:top w:val="nil"/>
              <w:left w:val="nil"/>
              <w:bottom w:val="nil"/>
              <w:right w:val="nil"/>
            </w:tcBorders>
            <w:vAlign w:val="center"/>
            <w:hideMark/>
          </w:tcPr>
          <w:p w14:paraId="33096A69"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Perfluorododecanoic</w:t>
            </w:r>
            <w:proofErr w:type="spellEnd"/>
            <w:r w:rsidRPr="00FF1E05">
              <w:rPr>
                <w:rFonts w:eastAsia="Times New Roman" w:cs="Arial"/>
                <w:color w:val="000000"/>
                <w:sz w:val="16"/>
                <w:szCs w:val="16"/>
                <w:lang w:val="en-GB" w:eastAsia="en-GB"/>
              </w:rPr>
              <w:t xml:space="preserve"> acid</w:t>
            </w:r>
          </w:p>
        </w:tc>
        <w:tc>
          <w:tcPr>
            <w:tcW w:w="2764" w:type="dxa"/>
            <w:tcBorders>
              <w:top w:val="nil"/>
              <w:left w:val="nil"/>
              <w:bottom w:val="nil"/>
              <w:right w:val="nil"/>
            </w:tcBorders>
            <w:vAlign w:val="center"/>
            <w:hideMark/>
          </w:tcPr>
          <w:p w14:paraId="0B440A46"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PFCA</w:t>
            </w:r>
          </w:p>
        </w:tc>
        <w:tc>
          <w:tcPr>
            <w:tcW w:w="2227" w:type="dxa"/>
            <w:tcBorders>
              <w:top w:val="nil"/>
              <w:left w:val="nil"/>
              <w:bottom w:val="nil"/>
              <w:right w:val="nil"/>
            </w:tcBorders>
            <w:vAlign w:val="center"/>
            <w:hideMark/>
          </w:tcPr>
          <w:p w14:paraId="4C4AE7E3"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Carboxylate</w:t>
            </w:r>
          </w:p>
        </w:tc>
        <w:tc>
          <w:tcPr>
            <w:tcW w:w="2031" w:type="dxa"/>
            <w:tcBorders>
              <w:top w:val="nil"/>
              <w:left w:val="nil"/>
              <w:bottom w:val="nil"/>
              <w:right w:val="nil"/>
            </w:tcBorders>
            <w:vAlign w:val="center"/>
            <w:hideMark/>
          </w:tcPr>
          <w:p w14:paraId="70AEBBBD"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12</w:t>
            </w:r>
          </w:p>
        </w:tc>
        <w:tc>
          <w:tcPr>
            <w:tcW w:w="1443" w:type="dxa"/>
            <w:tcBorders>
              <w:top w:val="nil"/>
              <w:left w:val="nil"/>
              <w:bottom w:val="nil"/>
              <w:right w:val="nil"/>
            </w:tcBorders>
            <w:vAlign w:val="center"/>
            <w:hideMark/>
          </w:tcPr>
          <w:p w14:paraId="7A653E6A"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Long</w:t>
            </w:r>
          </w:p>
        </w:tc>
      </w:tr>
      <w:tr w:rsidR="00AC5EDF" w:rsidRPr="00FF1E05" w14:paraId="42237E71" w14:textId="77777777" w:rsidTr="00AC5EDF">
        <w:trPr>
          <w:trHeight w:val="272"/>
        </w:trPr>
        <w:tc>
          <w:tcPr>
            <w:tcW w:w="1873" w:type="dxa"/>
            <w:tcBorders>
              <w:top w:val="nil"/>
              <w:left w:val="nil"/>
              <w:bottom w:val="nil"/>
              <w:right w:val="nil"/>
            </w:tcBorders>
            <w:vAlign w:val="center"/>
            <w:hideMark/>
          </w:tcPr>
          <w:p w14:paraId="5534455E"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PFTrDA</w:t>
            </w:r>
            <w:proofErr w:type="spellEnd"/>
          </w:p>
        </w:tc>
        <w:tc>
          <w:tcPr>
            <w:tcW w:w="2774" w:type="dxa"/>
            <w:tcBorders>
              <w:top w:val="nil"/>
              <w:left w:val="nil"/>
              <w:bottom w:val="nil"/>
              <w:right w:val="nil"/>
            </w:tcBorders>
            <w:vAlign w:val="center"/>
            <w:hideMark/>
          </w:tcPr>
          <w:p w14:paraId="51560D5A"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Perfluorotridecanoic</w:t>
            </w:r>
            <w:proofErr w:type="spellEnd"/>
            <w:r w:rsidRPr="00FF1E05">
              <w:rPr>
                <w:rFonts w:eastAsia="Times New Roman" w:cs="Arial"/>
                <w:color w:val="000000"/>
                <w:sz w:val="16"/>
                <w:szCs w:val="16"/>
                <w:lang w:val="en-GB" w:eastAsia="en-GB"/>
              </w:rPr>
              <w:t xml:space="preserve"> acid</w:t>
            </w:r>
          </w:p>
        </w:tc>
        <w:tc>
          <w:tcPr>
            <w:tcW w:w="2764" w:type="dxa"/>
            <w:tcBorders>
              <w:top w:val="nil"/>
              <w:left w:val="nil"/>
              <w:bottom w:val="nil"/>
              <w:right w:val="nil"/>
            </w:tcBorders>
            <w:vAlign w:val="center"/>
            <w:hideMark/>
          </w:tcPr>
          <w:p w14:paraId="6D4B063E"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PFCA</w:t>
            </w:r>
          </w:p>
        </w:tc>
        <w:tc>
          <w:tcPr>
            <w:tcW w:w="2227" w:type="dxa"/>
            <w:tcBorders>
              <w:top w:val="nil"/>
              <w:left w:val="nil"/>
              <w:bottom w:val="nil"/>
              <w:right w:val="nil"/>
            </w:tcBorders>
            <w:vAlign w:val="center"/>
            <w:hideMark/>
          </w:tcPr>
          <w:p w14:paraId="723B5C7A"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Carboxylate</w:t>
            </w:r>
          </w:p>
        </w:tc>
        <w:tc>
          <w:tcPr>
            <w:tcW w:w="2031" w:type="dxa"/>
            <w:tcBorders>
              <w:top w:val="nil"/>
              <w:left w:val="nil"/>
              <w:bottom w:val="nil"/>
              <w:right w:val="nil"/>
            </w:tcBorders>
            <w:vAlign w:val="center"/>
            <w:hideMark/>
          </w:tcPr>
          <w:p w14:paraId="6A579A25"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13</w:t>
            </w:r>
          </w:p>
        </w:tc>
        <w:tc>
          <w:tcPr>
            <w:tcW w:w="1443" w:type="dxa"/>
            <w:tcBorders>
              <w:top w:val="nil"/>
              <w:left w:val="nil"/>
              <w:bottom w:val="nil"/>
              <w:right w:val="nil"/>
            </w:tcBorders>
            <w:vAlign w:val="center"/>
            <w:hideMark/>
          </w:tcPr>
          <w:p w14:paraId="3DC177F3"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Long</w:t>
            </w:r>
          </w:p>
        </w:tc>
      </w:tr>
      <w:tr w:rsidR="00AC5EDF" w:rsidRPr="00FF1E05" w14:paraId="51167C36" w14:textId="77777777" w:rsidTr="00AC5EDF">
        <w:trPr>
          <w:trHeight w:val="272"/>
        </w:trPr>
        <w:tc>
          <w:tcPr>
            <w:tcW w:w="1873" w:type="dxa"/>
            <w:tcBorders>
              <w:top w:val="nil"/>
              <w:left w:val="nil"/>
              <w:bottom w:val="nil"/>
              <w:right w:val="nil"/>
            </w:tcBorders>
            <w:vAlign w:val="center"/>
            <w:hideMark/>
          </w:tcPr>
          <w:p w14:paraId="66B694BB"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PFTeDA</w:t>
            </w:r>
            <w:proofErr w:type="spellEnd"/>
          </w:p>
        </w:tc>
        <w:tc>
          <w:tcPr>
            <w:tcW w:w="2774" w:type="dxa"/>
            <w:tcBorders>
              <w:top w:val="nil"/>
              <w:left w:val="nil"/>
              <w:bottom w:val="nil"/>
              <w:right w:val="nil"/>
            </w:tcBorders>
            <w:vAlign w:val="center"/>
            <w:hideMark/>
          </w:tcPr>
          <w:p w14:paraId="0574C86B"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Perfluorotetradecanoic</w:t>
            </w:r>
            <w:proofErr w:type="spellEnd"/>
            <w:r w:rsidRPr="00FF1E05">
              <w:rPr>
                <w:rFonts w:eastAsia="Times New Roman" w:cs="Arial"/>
                <w:color w:val="000000"/>
                <w:sz w:val="16"/>
                <w:szCs w:val="16"/>
                <w:lang w:val="en-GB" w:eastAsia="en-GB"/>
              </w:rPr>
              <w:t xml:space="preserve"> acid</w:t>
            </w:r>
          </w:p>
        </w:tc>
        <w:tc>
          <w:tcPr>
            <w:tcW w:w="2764" w:type="dxa"/>
            <w:tcBorders>
              <w:top w:val="nil"/>
              <w:left w:val="nil"/>
              <w:bottom w:val="nil"/>
              <w:right w:val="nil"/>
            </w:tcBorders>
            <w:vAlign w:val="center"/>
            <w:hideMark/>
          </w:tcPr>
          <w:p w14:paraId="6C39555C"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PFCA</w:t>
            </w:r>
          </w:p>
        </w:tc>
        <w:tc>
          <w:tcPr>
            <w:tcW w:w="2227" w:type="dxa"/>
            <w:tcBorders>
              <w:top w:val="nil"/>
              <w:left w:val="nil"/>
              <w:bottom w:val="nil"/>
              <w:right w:val="nil"/>
            </w:tcBorders>
            <w:vAlign w:val="center"/>
            <w:hideMark/>
          </w:tcPr>
          <w:p w14:paraId="6E8C95DE"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Carboxylate</w:t>
            </w:r>
          </w:p>
        </w:tc>
        <w:tc>
          <w:tcPr>
            <w:tcW w:w="2031" w:type="dxa"/>
            <w:tcBorders>
              <w:top w:val="nil"/>
              <w:left w:val="nil"/>
              <w:bottom w:val="nil"/>
              <w:right w:val="nil"/>
            </w:tcBorders>
            <w:vAlign w:val="center"/>
            <w:hideMark/>
          </w:tcPr>
          <w:p w14:paraId="225E51C6"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14</w:t>
            </w:r>
          </w:p>
        </w:tc>
        <w:tc>
          <w:tcPr>
            <w:tcW w:w="1443" w:type="dxa"/>
            <w:tcBorders>
              <w:top w:val="nil"/>
              <w:left w:val="nil"/>
              <w:bottom w:val="nil"/>
              <w:right w:val="nil"/>
            </w:tcBorders>
            <w:vAlign w:val="center"/>
            <w:hideMark/>
          </w:tcPr>
          <w:p w14:paraId="1773D09B"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Long</w:t>
            </w:r>
          </w:p>
        </w:tc>
      </w:tr>
      <w:tr w:rsidR="00AC5EDF" w:rsidRPr="00FF1E05" w14:paraId="5ED05682" w14:textId="77777777" w:rsidTr="00AC5EDF">
        <w:trPr>
          <w:trHeight w:val="272"/>
        </w:trPr>
        <w:tc>
          <w:tcPr>
            <w:tcW w:w="1873" w:type="dxa"/>
            <w:tcBorders>
              <w:top w:val="nil"/>
              <w:left w:val="nil"/>
              <w:bottom w:val="nil"/>
              <w:right w:val="nil"/>
            </w:tcBorders>
            <w:vAlign w:val="center"/>
            <w:hideMark/>
          </w:tcPr>
          <w:p w14:paraId="66A7FC68"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PFPrS</w:t>
            </w:r>
            <w:proofErr w:type="spellEnd"/>
          </w:p>
        </w:tc>
        <w:tc>
          <w:tcPr>
            <w:tcW w:w="2774" w:type="dxa"/>
            <w:tcBorders>
              <w:top w:val="nil"/>
              <w:left w:val="nil"/>
              <w:bottom w:val="nil"/>
              <w:right w:val="nil"/>
            </w:tcBorders>
            <w:vAlign w:val="center"/>
            <w:hideMark/>
          </w:tcPr>
          <w:p w14:paraId="558B04FC"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Perfluoropropane</w:t>
            </w:r>
            <w:proofErr w:type="spellEnd"/>
            <w:r w:rsidRPr="00FF1E05">
              <w:rPr>
                <w:rFonts w:eastAsia="Times New Roman" w:cs="Arial"/>
                <w:color w:val="000000"/>
                <w:sz w:val="16"/>
                <w:szCs w:val="16"/>
                <w:lang w:val="en-GB" w:eastAsia="en-GB"/>
              </w:rPr>
              <w:t xml:space="preserve"> sulfonate</w:t>
            </w:r>
          </w:p>
        </w:tc>
        <w:tc>
          <w:tcPr>
            <w:tcW w:w="2764" w:type="dxa"/>
            <w:tcBorders>
              <w:top w:val="nil"/>
              <w:left w:val="nil"/>
              <w:bottom w:val="nil"/>
              <w:right w:val="nil"/>
            </w:tcBorders>
            <w:vAlign w:val="center"/>
            <w:hideMark/>
          </w:tcPr>
          <w:p w14:paraId="514B2444"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PFSA</w:t>
            </w:r>
          </w:p>
        </w:tc>
        <w:tc>
          <w:tcPr>
            <w:tcW w:w="2227" w:type="dxa"/>
            <w:tcBorders>
              <w:top w:val="nil"/>
              <w:left w:val="nil"/>
              <w:bottom w:val="nil"/>
              <w:right w:val="nil"/>
            </w:tcBorders>
            <w:vAlign w:val="center"/>
            <w:hideMark/>
          </w:tcPr>
          <w:p w14:paraId="4ABB340C"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Sulfonate</w:t>
            </w:r>
          </w:p>
        </w:tc>
        <w:tc>
          <w:tcPr>
            <w:tcW w:w="2031" w:type="dxa"/>
            <w:tcBorders>
              <w:top w:val="nil"/>
              <w:left w:val="nil"/>
              <w:bottom w:val="nil"/>
              <w:right w:val="nil"/>
            </w:tcBorders>
            <w:vAlign w:val="center"/>
            <w:hideMark/>
          </w:tcPr>
          <w:p w14:paraId="0AC8870E"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3</w:t>
            </w:r>
          </w:p>
        </w:tc>
        <w:tc>
          <w:tcPr>
            <w:tcW w:w="1443" w:type="dxa"/>
            <w:tcBorders>
              <w:top w:val="nil"/>
              <w:left w:val="nil"/>
              <w:bottom w:val="nil"/>
              <w:right w:val="nil"/>
            </w:tcBorders>
            <w:vAlign w:val="center"/>
            <w:hideMark/>
          </w:tcPr>
          <w:p w14:paraId="49F1DDA1"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Short</w:t>
            </w:r>
          </w:p>
        </w:tc>
      </w:tr>
      <w:tr w:rsidR="00AC5EDF" w:rsidRPr="00FF1E05" w14:paraId="1A1A62FC" w14:textId="77777777" w:rsidTr="00AC5EDF">
        <w:trPr>
          <w:trHeight w:val="272"/>
        </w:trPr>
        <w:tc>
          <w:tcPr>
            <w:tcW w:w="1873" w:type="dxa"/>
            <w:tcBorders>
              <w:top w:val="nil"/>
              <w:left w:val="nil"/>
              <w:bottom w:val="nil"/>
              <w:right w:val="nil"/>
            </w:tcBorders>
            <w:vAlign w:val="center"/>
            <w:hideMark/>
          </w:tcPr>
          <w:p w14:paraId="79939E14"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PFBS</w:t>
            </w:r>
          </w:p>
        </w:tc>
        <w:tc>
          <w:tcPr>
            <w:tcW w:w="2774" w:type="dxa"/>
            <w:tcBorders>
              <w:top w:val="nil"/>
              <w:left w:val="nil"/>
              <w:bottom w:val="nil"/>
              <w:right w:val="nil"/>
            </w:tcBorders>
            <w:vAlign w:val="center"/>
            <w:hideMark/>
          </w:tcPr>
          <w:p w14:paraId="2F2451D7"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Perfluorobutane</w:t>
            </w:r>
            <w:proofErr w:type="spellEnd"/>
            <w:r w:rsidRPr="00FF1E05">
              <w:rPr>
                <w:rFonts w:eastAsia="Times New Roman" w:cs="Arial"/>
                <w:color w:val="000000"/>
                <w:sz w:val="16"/>
                <w:szCs w:val="16"/>
                <w:lang w:val="en-GB" w:eastAsia="en-GB"/>
              </w:rPr>
              <w:t xml:space="preserve"> sulfonate</w:t>
            </w:r>
          </w:p>
        </w:tc>
        <w:tc>
          <w:tcPr>
            <w:tcW w:w="2764" w:type="dxa"/>
            <w:tcBorders>
              <w:top w:val="nil"/>
              <w:left w:val="nil"/>
              <w:bottom w:val="nil"/>
              <w:right w:val="nil"/>
            </w:tcBorders>
            <w:vAlign w:val="center"/>
            <w:hideMark/>
          </w:tcPr>
          <w:p w14:paraId="1F64603A"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PFSA</w:t>
            </w:r>
          </w:p>
        </w:tc>
        <w:tc>
          <w:tcPr>
            <w:tcW w:w="2227" w:type="dxa"/>
            <w:tcBorders>
              <w:top w:val="nil"/>
              <w:left w:val="nil"/>
              <w:bottom w:val="nil"/>
              <w:right w:val="nil"/>
            </w:tcBorders>
            <w:vAlign w:val="center"/>
            <w:hideMark/>
          </w:tcPr>
          <w:p w14:paraId="68CC509B"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Sulfonate</w:t>
            </w:r>
          </w:p>
        </w:tc>
        <w:tc>
          <w:tcPr>
            <w:tcW w:w="2031" w:type="dxa"/>
            <w:tcBorders>
              <w:top w:val="nil"/>
              <w:left w:val="nil"/>
              <w:bottom w:val="nil"/>
              <w:right w:val="nil"/>
            </w:tcBorders>
            <w:vAlign w:val="center"/>
            <w:hideMark/>
          </w:tcPr>
          <w:p w14:paraId="013D4BB7"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4</w:t>
            </w:r>
          </w:p>
        </w:tc>
        <w:tc>
          <w:tcPr>
            <w:tcW w:w="1443" w:type="dxa"/>
            <w:tcBorders>
              <w:top w:val="nil"/>
              <w:left w:val="nil"/>
              <w:bottom w:val="nil"/>
              <w:right w:val="nil"/>
            </w:tcBorders>
            <w:vAlign w:val="center"/>
            <w:hideMark/>
          </w:tcPr>
          <w:p w14:paraId="278E5332"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Short</w:t>
            </w:r>
          </w:p>
        </w:tc>
      </w:tr>
      <w:tr w:rsidR="00AC5EDF" w:rsidRPr="00FF1E05" w14:paraId="331A9515" w14:textId="77777777" w:rsidTr="00AC5EDF">
        <w:trPr>
          <w:trHeight w:val="272"/>
        </w:trPr>
        <w:tc>
          <w:tcPr>
            <w:tcW w:w="1873" w:type="dxa"/>
            <w:tcBorders>
              <w:top w:val="nil"/>
              <w:left w:val="nil"/>
              <w:bottom w:val="nil"/>
              <w:right w:val="nil"/>
            </w:tcBorders>
            <w:vAlign w:val="center"/>
            <w:hideMark/>
          </w:tcPr>
          <w:p w14:paraId="015416E9"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PFPeS</w:t>
            </w:r>
            <w:proofErr w:type="spellEnd"/>
          </w:p>
        </w:tc>
        <w:tc>
          <w:tcPr>
            <w:tcW w:w="2774" w:type="dxa"/>
            <w:tcBorders>
              <w:top w:val="nil"/>
              <w:left w:val="nil"/>
              <w:bottom w:val="nil"/>
              <w:right w:val="nil"/>
            </w:tcBorders>
            <w:vAlign w:val="center"/>
            <w:hideMark/>
          </w:tcPr>
          <w:p w14:paraId="11FF8AB4"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Perfluoropentane</w:t>
            </w:r>
            <w:proofErr w:type="spellEnd"/>
            <w:r w:rsidRPr="00FF1E05">
              <w:rPr>
                <w:rFonts w:eastAsia="Times New Roman" w:cs="Arial"/>
                <w:color w:val="000000"/>
                <w:sz w:val="16"/>
                <w:szCs w:val="16"/>
                <w:lang w:val="en-GB" w:eastAsia="en-GB"/>
              </w:rPr>
              <w:t xml:space="preserve"> sulfonate</w:t>
            </w:r>
          </w:p>
        </w:tc>
        <w:tc>
          <w:tcPr>
            <w:tcW w:w="2764" w:type="dxa"/>
            <w:tcBorders>
              <w:top w:val="nil"/>
              <w:left w:val="nil"/>
              <w:bottom w:val="nil"/>
              <w:right w:val="nil"/>
            </w:tcBorders>
            <w:vAlign w:val="center"/>
            <w:hideMark/>
          </w:tcPr>
          <w:p w14:paraId="1378D102"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PFSA</w:t>
            </w:r>
          </w:p>
        </w:tc>
        <w:tc>
          <w:tcPr>
            <w:tcW w:w="2227" w:type="dxa"/>
            <w:tcBorders>
              <w:top w:val="nil"/>
              <w:left w:val="nil"/>
              <w:bottom w:val="nil"/>
              <w:right w:val="nil"/>
            </w:tcBorders>
            <w:vAlign w:val="center"/>
            <w:hideMark/>
          </w:tcPr>
          <w:p w14:paraId="1CF6E423"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Sulfonate</w:t>
            </w:r>
          </w:p>
        </w:tc>
        <w:tc>
          <w:tcPr>
            <w:tcW w:w="2031" w:type="dxa"/>
            <w:tcBorders>
              <w:top w:val="nil"/>
              <w:left w:val="nil"/>
              <w:bottom w:val="nil"/>
              <w:right w:val="nil"/>
            </w:tcBorders>
            <w:vAlign w:val="center"/>
            <w:hideMark/>
          </w:tcPr>
          <w:p w14:paraId="469AE536"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5</w:t>
            </w:r>
          </w:p>
        </w:tc>
        <w:tc>
          <w:tcPr>
            <w:tcW w:w="1443" w:type="dxa"/>
            <w:tcBorders>
              <w:top w:val="nil"/>
              <w:left w:val="nil"/>
              <w:bottom w:val="nil"/>
              <w:right w:val="nil"/>
            </w:tcBorders>
            <w:vAlign w:val="center"/>
            <w:hideMark/>
          </w:tcPr>
          <w:p w14:paraId="3F5821EF"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Short</w:t>
            </w:r>
          </w:p>
        </w:tc>
      </w:tr>
      <w:tr w:rsidR="00AC5EDF" w:rsidRPr="00FF1E05" w14:paraId="1CADDF6D" w14:textId="77777777" w:rsidTr="00AC5EDF">
        <w:trPr>
          <w:trHeight w:val="272"/>
        </w:trPr>
        <w:tc>
          <w:tcPr>
            <w:tcW w:w="1873" w:type="dxa"/>
            <w:tcBorders>
              <w:top w:val="nil"/>
              <w:left w:val="nil"/>
              <w:bottom w:val="nil"/>
              <w:right w:val="nil"/>
            </w:tcBorders>
            <w:vAlign w:val="center"/>
            <w:hideMark/>
          </w:tcPr>
          <w:p w14:paraId="1DD61681"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PFHxS</w:t>
            </w:r>
            <w:proofErr w:type="spellEnd"/>
          </w:p>
        </w:tc>
        <w:tc>
          <w:tcPr>
            <w:tcW w:w="2774" w:type="dxa"/>
            <w:tcBorders>
              <w:top w:val="nil"/>
              <w:left w:val="nil"/>
              <w:bottom w:val="nil"/>
              <w:right w:val="nil"/>
            </w:tcBorders>
            <w:vAlign w:val="center"/>
            <w:hideMark/>
          </w:tcPr>
          <w:p w14:paraId="392A1E77"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Perfluorohexane</w:t>
            </w:r>
            <w:proofErr w:type="spellEnd"/>
            <w:r w:rsidRPr="00FF1E05">
              <w:rPr>
                <w:rFonts w:eastAsia="Times New Roman" w:cs="Arial"/>
                <w:color w:val="000000"/>
                <w:sz w:val="16"/>
                <w:szCs w:val="16"/>
                <w:lang w:val="en-GB" w:eastAsia="en-GB"/>
              </w:rPr>
              <w:t xml:space="preserve"> sulfonate</w:t>
            </w:r>
          </w:p>
        </w:tc>
        <w:tc>
          <w:tcPr>
            <w:tcW w:w="2764" w:type="dxa"/>
            <w:tcBorders>
              <w:top w:val="nil"/>
              <w:left w:val="nil"/>
              <w:bottom w:val="nil"/>
              <w:right w:val="nil"/>
            </w:tcBorders>
            <w:vAlign w:val="center"/>
            <w:hideMark/>
          </w:tcPr>
          <w:p w14:paraId="1FDF9FA3"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PFSA</w:t>
            </w:r>
          </w:p>
        </w:tc>
        <w:tc>
          <w:tcPr>
            <w:tcW w:w="2227" w:type="dxa"/>
            <w:tcBorders>
              <w:top w:val="nil"/>
              <w:left w:val="nil"/>
              <w:bottom w:val="nil"/>
              <w:right w:val="nil"/>
            </w:tcBorders>
            <w:vAlign w:val="center"/>
            <w:hideMark/>
          </w:tcPr>
          <w:p w14:paraId="60FBF2F9"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Sulfonate</w:t>
            </w:r>
          </w:p>
        </w:tc>
        <w:tc>
          <w:tcPr>
            <w:tcW w:w="2031" w:type="dxa"/>
            <w:tcBorders>
              <w:top w:val="nil"/>
              <w:left w:val="nil"/>
              <w:bottom w:val="nil"/>
              <w:right w:val="nil"/>
            </w:tcBorders>
            <w:vAlign w:val="center"/>
            <w:hideMark/>
          </w:tcPr>
          <w:p w14:paraId="3CA53497"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6</w:t>
            </w:r>
          </w:p>
        </w:tc>
        <w:tc>
          <w:tcPr>
            <w:tcW w:w="1443" w:type="dxa"/>
            <w:tcBorders>
              <w:top w:val="nil"/>
              <w:left w:val="nil"/>
              <w:bottom w:val="nil"/>
              <w:right w:val="nil"/>
            </w:tcBorders>
            <w:vAlign w:val="center"/>
            <w:hideMark/>
          </w:tcPr>
          <w:p w14:paraId="28DF618B"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Long</w:t>
            </w:r>
          </w:p>
        </w:tc>
      </w:tr>
      <w:tr w:rsidR="00AC5EDF" w:rsidRPr="00FF1E05" w14:paraId="32179ED7" w14:textId="77777777" w:rsidTr="00AC5EDF">
        <w:trPr>
          <w:trHeight w:val="272"/>
        </w:trPr>
        <w:tc>
          <w:tcPr>
            <w:tcW w:w="1873" w:type="dxa"/>
            <w:tcBorders>
              <w:top w:val="nil"/>
              <w:left w:val="nil"/>
              <w:bottom w:val="nil"/>
              <w:right w:val="nil"/>
            </w:tcBorders>
            <w:vAlign w:val="center"/>
            <w:hideMark/>
          </w:tcPr>
          <w:p w14:paraId="5561087A"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PFHpS</w:t>
            </w:r>
            <w:proofErr w:type="spellEnd"/>
          </w:p>
        </w:tc>
        <w:tc>
          <w:tcPr>
            <w:tcW w:w="2774" w:type="dxa"/>
            <w:tcBorders>
              <w:top w:val="nil"/>
              <w:left w:val="nil"/>
              <w:bottom w:val="nil"/>
              <w:right w:val="nil"/>
            </w:tcBorders>
            <w:vAlign w:val="center"/>
            <w:hideMark/>
          </w:tcPr>
          <w:p w14:paraId="068F0CC9"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Perfluoroheptane</w:t>
            </w:r>
            <w:proofErr w:type="spellEnd"/>
            <w:r w:rsidRPr="00FF1E05">
              <w:rPr>
                <w:rFonts w:eastAsia="Times New Roman" w:cs="Arial"/>
                <w:color w:val="000000"/>
                <w:sz w:val="16"/>
                <w:szCs w:val="16"/>
                <w:lang w:val="en-GB" w:eastAsia="en-GB"/>
              </w:rPr>
              <w:t xml:space="preserve"> sulfonate</w:t>
            </w:r>
          </w:p>
        </w:tc>
        <w:tc>
          <w:tcPr>
            <w:tcW w:w="2764" w:type="dxa"/>
            <w:tcBorders>
              <w:top w:val="nil"/>
              <w:left w:val="nil"/>
              <w:bottom w:val="nil"/>
              <w:right w:val="nil"/>
            </w:tcBorders>
            <w:vAlign w:val="center"/>
            <w:hideMark/>
          </w:tcPr>
          <w:p w14:paraId="38EA340A"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PFSA</w:t>
            </w:r>
          </w:p>
        </w:tc>
        <w:tc>
          <w:tcPr>
            <w:tcW w:w="2227" w:type="dxa"/>
            <w:tcBorders>
              <w:top w:val="nil"/>
              <w:left w:val="nil"/>
              <w:bottom w:val="nil"/>
              <w:right w:val="nil"/>
            </w:tcBorders>
            <w:vAlign w:val="center"/>
            <w:hideMark/>
          </w:tcPr>
          <w:p w14:paraId="0BDB463E"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Sulfonate</w:t>
            </w:r>
          </w:p>
        </w:tc>
        <w:tc>
          <w:tcPr>
            <w:tcW w:w="2031" w:type="dxa"/>
            <w:tcBorders>
              <w:top w:val="nil"/>
              <w:left w:val="nil"/>
              <w:bottom w:val="nil"/>
              <w:right w:val="nil"/>
            </w:tcBorders>
            <w:vAlign w:val="center"/>
            <w:hideMark/>
          </w:tcPr>
          <w:p w14:paraId="76226D7F"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7</w:t>
            </w:r>
          </w:p>
        </w:tc>
        <w:tc>
          <w:tcPr>
            <w:tcW w:w="1443" w:type="dxa"/>
            <w:tcBorders>
              <w:top w:val="nil"/>
              <w:left w:val="nil"/>
              <w:bottom w:val="nil"/>
              <w:right w:val="nil"/>
            </w:tcBorders>
            <w:vAlign w:val="center"/>
            <w:hideMark/>
          </w:tcPr>
          <w:p w14:paraId="21CF8B16"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Long</w:t>
            </w:r>
          </w:p>
        </w:tc>
      </w:tr>
      <w:tr w:rsidR="00AC5EDF" w:rsidRPr="00FF1E05" w14:paraId="545E23C5" w14:textId="77777777" w:rsidTr="00AC5EDF">
        <w:trPr>
          <w:trHeight w:val="272"/>
        </w:trPr>
        <w:tc>
          <w:tcPr>
            <w:tcW w:w="1873" w:type="dxa"/>
            <w:tcBorders>
              <w:top w:val="nil"/>
              <w:left w:val="nil"/>
              <w:bottom w:val="nil"/>
              <w:right w:val="nil"/>
            </w:tcBorders>
            <w:vAlign w:val="center"/>
            <w:hideMark/>
          </w:tcPr>
          <w:p w14:paraId="4F355B65"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PFOS</w:t>
            </w:r>
          </w:p>
        </w:tc>
        <w:tc>
          <w:tcPr>
            <w:tcW w:w="2774" w:type="dxa"/>
            <w:tcBorders>
              <w:top w:val="nil"/>
              <w:left w:val="nil"/>
              <w:bottom w:val="nil"/>
              <w:right w:val="nil"/>
            </w:tcBorders>
            <w:vAlign w:val="center"/>
            <w:hideMark/>
          </w:tcPr>
          <w:p w14:paraId="4D0021DC"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Perfluorooctane</w:t>
            </w:r>
            <w:proofErr w:type="spellEnd"/>
            <w:r w:rsidRPr="00FF1E05">
              <w:rPr>
                <w:rFonts w:eastAsia="Times New Roman" w:cs="Arial"/>
                <w:color w:val="000000"/>
                <w:sz w:val="16"/>
                <w:szCs w:val="16"/>
                <w:lang w:val="en-GB" w:eastAsia="en-GB"/>
              </w:rPr>
              <w:t xml:space="preserve"> sulfonate</w:t>
            </w:r>
          </w:p>
        </w:tc>
        <w:tc>
          <w:tcPr>
            <w:tcW w:w="2764" w:type="dxa"/>
            <w:tcBorders>
              <w:top w:val="nil"/>
              <w:left w:val="nil"/>
              <w:bottom w:val="nil"/>
              <w:right w:val="nil"/>
            </w:tcBorders>
            <w:vAlign w:val="center"/>
            <w:hideMark/>
          </w:tcPr>
          <w:p w14:paraId="191FCB8B"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PFSA</w:t>
            </w:r>
          </w:p>
        </w:tc>
        <w:tc>
          <w:tcPr>
            <w:tcW w:w="2227" w:type="dxa"/>
            <w:tcBorders>
              <w:top w:val="nil"/>
              <w:left w:val="nil"/>
              <w:bottom w:val="nil"/>
              <w:right w:val="nil"/>
            </w:tcBorders>
            <w:vAlign w:val="center"/>
            <w:hideMark/>
          </w:tcPr>
          <w:p w14:paraId="73D04612"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Sulfonate</w:t>
            </w:r>
          </w:p>
        </w:tc>
        <w:tc>
          <w:tcPr>
            <w:tcW w:w="2031" w:type="dxa"/>
            <w:tcBorders>
              <w:top w:val="nil"/>
              <w:left w:val="nil"/>
              <w:bottom w:val="nil"/>
              <w:right w:val="nil"/>
            </w:tcBorders>
            <w:vAlign w:val="center"/>
            <w:hideMark/>
          </w:tcPr>
          <w:p w14:paraId="181D11AF"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8</w:t>
            </w:r>
          </w:p>
        </w:tc>
        <w:tc>
          <w:tcPr>
            <w:tcW w:w="1443" w:type="dxa"/>
            <w:tcBorders>
              <w:top w:val="nil"/>
              <w:left w:val="nil"/>
              <w:bottom w:val="nil"/>
              <w:right w:val="nil"/>
            </w:tcBorders>
            <w:vAlign w:val="center"/>
            <w:hideMark/>
          </w:tcPr>
          <w:p w14:paraId="2E3C24D7"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Long</w:t>
            </w:r>
          </w:p>
        </w:tc>
      </w:tr>
      <w:tr w:rsidR="00AC5EDF" w:rsidRPr="00FF1E05" w14:paraId="0D98617E" w14:textId="77777777" w:rsidTr="00AC5EDF">
        <w:trPr>
          <w:trHeight w:val="272"/>
        </w:trPr>
        <w:tc>
          <w:tcPr>
            <w:tcW w:w="1873" w:type="dxa"/>
            <w:tcBorders>
              <w:top w:val="nil"/>
              <w:left w:val="nil"/>
              <w:bottom w:val="nil"/>
              <w:right w:val="nil"/>
            </w:tcBorders>
            <w:vAlign w:val="center"/>
            <w:hideMark/>
          </w:tcPr>
          <w:p w14:paraId="3A8F2A56"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PFNS</w:t>
            </w:r>
          </w:p>
        </w:tc>
        <w:tc>
          <w:tcPr>
            <w:tcW w:w="2774" w:type="dxa"/>
            <w:tcBorders>
              <w:top w:val="nil"/>
              <w:left w:val="nil"/>
              <w:bottom w:val="nil"/>
              <w:right w:val="nil"/>
            </w:tcBorders>
            <w:vAlign w:val="center"/>
            <w:hideMark/>
          </w:tcPr>
          <w:p w14:paraId="2158030E"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Perfluorononane</w:t>
            </w:r>
            <w:proofErr w:type="spellEnd"/>
            <w:r w:rsidRPr="00FF1E05">
              <w:rPr>
                <w:rFonts w:eastAsia="Times New Roman" w:cs="Arial"/>
                <w:color w:val="000000"/>
                <w:sz w:val="16"/>
                <w:szCs w:val="16"/>
                <w:lang w:val="en-GB" w:eastAsia="en-GB"/>
              </w:rPr>
              <w:t xml:space="preserve"> sulfonate</w:t>
            </w:r>
          </w:p>
        </w:tc>
        <w:tc>
          <w:tcPr>
            <w:tcW w:w="2764" w:type="dxa"/>
            <w:tcBorders>
              <w:top w:val="nil"/>
              <w:left w:val="nil"/>
              <w:bottom w:val="nil"/>
              <w:right w:val="nil"/>
            </w:tcBorders>
            <w:vAlign w:val="center"/>
            <w:hideMark/>
          </w:tcPr>
          <w:p w14:paraId="4879F372"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PFSA</w:t>
            </w:r>
          </w:p>
        </w:tc>
        <w:tc>
          <w:tcPr>
            <w:tcW w:w="2227" w:type="dxa"/>
            <w:tcBorders>
              <w:top w:val="nil"/>
              <w:left w:val="nil"/>
              <w:bottom w:val="nil"/>
              <w:right w:val="nil"/>
            </w:tcBorders>
            <w:vAlign w:val="center"/>
            <w:hideMark/>
          </w:tcPr>
          <w:p w14:paraId="097D4192"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Sulfonate</w:t>
            </w:r>
          </w:p>
        </w:tc>
        <w:tc>
          <w:tcPr>
            <w:tcW w:w="2031" w:type="dxa"/>
            <w:tcBorders>
              <w:top w:val="nil"/>
              <w:left w:val="nil"/>
              <w:bottom w:val="nil"/>
              <w:right w:val="nil"/>
            </w:tcBorders>
            <w:vAlign w:val="center"/>
            <w:hideMark/>
          </w:tcPr>
          <w:p w14:paraId="254939C2"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9</w:t>
            </w:r>
          </w:p>
        </w:tc>
        <w:tc>
          <w:tcPr>
            <w:tcW w:w="1443" w:type="dxa"/>
            <w:tcBorders>
              <w:top w:val="nil"/>
              <w:left w:val="nil"/>
              <w:bottom w:val="nil"/>
              <w:right w:val="nil"/>
            </w:tcBorders>
            <w:vAlign w:val="center"/>
            <w:hideMark/>
          </w:tcPr>
          <w:p w14:paraId="05399867"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Long</w:t>
            </w:r>
          </w:p>
        </w:tc>
      </w:tr>
      <w:tr w:rsidR="00AC5EDF" w:rsidRPr="00FF1E05" w14:paraId="685FBE6C" w14:textId="77777777" w:rsidTr="00AC5EDF">
        <w:trPr>
          <w:trHeight w:val="272"/>
        </w:trPr>
        <w:tc>
          <w:tcPr>
            <w:tcW w:w="1873" w:type="dxa"/>
            <w:tcBorders>
              <w:top w:val="nil"/>
              <w:left w:val="nil"/>
              <w:bottom w:val="nil"/>
              <w:right w:val="nil"/>
            </w:tcBorders>
            <w:vAlign w:val="center"/>
            <w:hideMark/>
          </w:tcPr>
          <w:p w14:paraId="29E0C97C"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PFDS</w:t>
            </w:r>
          </w:p>
        </w:tc>
        <w:tc>
          <w:tcPr>
            <w:tcW w:w="2774" w:type="dxa"/>
            <w:tcBorders>
              <w:top w:val="nil"/>
              <w:left w:val="nil"/>
              <w:bottom w:val="nil"/>
              <w:right w:val="nil"/>
            </w:tcBorders>
            <w:vAlign w:val="center"/>
            <w:hideMark/>
          </w:tcPr>
          <w:p w14:paraId="2F9E620E"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Perfluorodecane</w:t>
            </w:r>
            <w:proofErr w:type="spellEnd"/>
            <w:r w:rsidRPr="00FF1E05">
              <w:rPr>
                <w:rFonts w:eastAsia="Times New Roman" w:cs="Arial"/>
                <w:color w:val="000000"/>
                <w:sz w:val="16"/>
                <w:szCs w:val="16"/>
                <w:lang w:val="en-GB" w:eastAsia="en-GB"/>
              </w:rPr>
              <w:t xml:space="preserve"> sulfonate</w:t>
            </w:r>
          </w:p>
        </w:tc>
        <w:tc>
          <w:tcPr>
            <w:tcW w:w="2764" w:type="dxa"/>
            <w:tcBorders>
              <w:top w:val="nil"/>
              <w:left w:val="nil"/>
              <w:bottom w:val="nil"/>
              <w:right w:val="nil"/>
            </w:tcBorders>
            <w:vAlign w:val="center"/>
            <w:hideMark/>
          </w:tcPr>
          <w:p w14:paraId="6A247BEA"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PFSA</w:t>
            </w:r>
          </w:p>
        </w:tc>
        <w:tc>
          <w:tcPr>
            <w:tcW w:w="2227" w:type="dxa"/>
            <w:tcBorders>
              <w:top w:val="nil"/>
              <w:left w:val="nil"/>
              <w:bottom w:val="nil"/>
              <w:right w:val="nil"/>
            </w:tcBorders>
            <w:vAlign w:val="center"/>
            <w:hideMark/>
          </w:tcPr>
          <w:p w14:paraId="14B2AF21"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Sulfonate</w:t>
            </w:r>
          </w:p>
        </w:tc>
        <w:tc>
          <w:tcPr>
            <w:tcW w:w="2031" w:type="dxa"/>
            <w:tcBorders>
              <w:top w:val="nil"/>
              <w:left w:val="nil"/>
              <w:bottom w:val="nil"/>
              <w:right w:val="nil"/>
            </w:tcBorders>
            <w:vAlign w:val="center"/>
            <w:hideMark/>
          </w:tcPr>
          <w:p w14:paraId="25F546C7"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10</w:t>
            </w:r>
          </w:p>
        </w:tc>
        <w:tc>
          <w:tcPr>
            <w:tcW w:w="1443" w:type="dxa"/>
            <w:tcBorders>
              <w:top w:val="nil"/>
              <w:left w:val="nil"/>
              <w:bottom w:val="nil"/>
              <w:right w:val="nil"/>
            </w:tcBorders>
            <w:vAlign w:val="center"/>
            <w:hideMark/>
          </w:tcPr>
          <w:p w14:paraId="4DA90633"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Long</w:t>
            </w:r>
          </w:p>
        </w:tc>
      </w:tr>
      <w:tr w:rsidR="00AC5EDF" w:rsidRPr="00FF1E05" w14:paraId="56BC1DBC" w14:textId="77777777" w:rsidTr="00AC5EDF">
        <w:trPr>
          <w:trHeight w:val="330"/>
        </w:trPr>
        <w:tc>
          <w:tcPr>
            <w:tcW w:w="1873" w:type="dxa"/>
            <w:tcBorders>
              <w:top w:val="nil"/>
              <w:left w:val="nil"/>
              <w:bottom w:val="nil"/>
              <w:right w:val="nil"/>
            </w:tcBorders>
            <w:vAlign w:val="center"/>
            <w:hideMark/>
          </w:tcPr>
          <w:p w14:paraId="3C1924A7"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HFPO-DA (GenX)</w:t>
            </w:r>
          </w:p>
        </w:tc>
        <w:tc>
          <w:tcPr>
            <w:tcW w:w="2774" w:type="dxa"/>
            <w:tcBorders>
              <w:top w:val="nil"/>
              <w:left w:val="nil"/>
              <w:bottom w:val="nil"/>
              <w:right w:val="nil"/>
            </w:tcBorders>
            <w:vAlign w:val="center"/>
            <w:hideMark/>
          </w:tcPr>
          <w:p w14:paraId="2B9FF854"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Hexafluoropropylene oxide dimer acid</w:t>
            </w:r>
          </w:p>
        </w:tc>
        <w:tc>
          <w:tcPr>
            <w:tcW w:w="2764" w:type="dxa"/>
            <w:tcBorders>
              <w:top w:val="nil"/>
              <w:left w:val="nil"/>
              <w:bottom w:val="nil"/>
              <w:right w:val="nil"/>
            </w:tcBorders>
            <w:vAlign w:val="center"/>
            <w:hideMark/>
          </w:tcPr>
          <w:p w14:paraId="33068A4E"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PFECA</w:t>
            </w:r>
          </w:p>
        </w:tc>
        <w:tc>
          <w:tcPr>
            <w:tcW w:w="2227" w:type="dxa"/>
            <w:tcBorders>
              <w:top w:val="nil"/>
              <w:left w:val="nil"/>
              <w:bottom w:val="nil"/>
              <w:right w:val="nil"/>
            </w:tcBorders>
            <w:vAlign w:val="center"/>
            <w:hideMark/>
          </w:tcPr>
          <w:p w14:paraId="1CF4995F"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Carboxylate</w:t>
            </w:r>
          </w:p>
        </w:tc>
        <w:tc>
          <w:tcPr>
            <w:tcW w:w="2031" w:type="dxa"/>
            <w:tcBorders>
              <w:top w:val="nil"/>
              <w:left w:val="nil"/>
              <w:bottom w:val="nil"/>
              <w:right w:val="nil"/>
            </w:tcBorders>
            <w:vAlign w:val="center"/>
            <w:hideMark/>
          </w:tcPr>
          <w:p w14:paraId="6EAC8C7A"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6</w:t>
            </w:r>
          </w:p>
        </w:tc>
        <w:tc>
          <w:tcPr>
            <w:tcW w:w="1443" w:type="dxa"/>
            <w:tcBorders>
              <w:top w:val="nil"/>
              <w:left w:val="nil"/>
              <w:bottom w:val="nil"/>
              <w:right w:val="nil"/>
            </w:tcBorders>
            <w:vAlign w:val="center"/>
            <w:hideMark/>
          </w:tcPr>
          <w:p w14:paraId="6C9622A6"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w:t>
            </w:r>
          </w:p>
        </w:tc>
      </w:tr>
      <w:tr w:rsidR="00AC5EDF" w:rsidRPr="00FF1E05" w14:paraId="040355A1" w14:textId="77777777" w:rsidTr="00AC5EDF">
        <w:trPr>
          <w:trHeight w:val="272"/>
        </w:trPr>
        <w:tc>
          <w:tcPr>
            <w:tcW w:w="1873" w:type="dxa"/>
            <w:tcBorders>
              <w:top w:val="nil"/>
              <w:left w:val="nil"/>
              <w:bottom w:val="nil"/>
              <w:right w:val="nil"/>
            </w:tcBorders>
            <w:vAlign w:val="center"/>
            <w:hideMark/>
          </w:tcPr>
          <w:p w14:paraId="09CD90A3"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4:2 FTS</w:t>
            </w:r>
          </w:p>
        </w:tc>
        <w:tc>
          <w:tcPr>
            <w:tcW w:w="2774" w:type="dxa"/>
            <w:tcBorders>
              <w:top w:val="nil"/>
              <w:left w:val="nil"/>
              <w:bottom w:val="nil"/>
              <w:right w:val="nil"/>
            </w:tcBorders>
            <w:vAlign w:val="center"/>
            <w:hideMark/>
          </w:tcPr>
          <w:p w14:paraId="2E3280CD"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4:2 fluorotelomer sulfonate</w:t>
            </w:r>
          </w:p>
        </w:tc>
        <w:tc>
          <w:tcPr>
            <w:tcW w:w="2764" w:type="dxa"/>
            <w:tcBorders>
              <w:top w:val="nil"/>
              <w:left w:val="nil"/>
              <w:bottom w:val="nil"/>
              <w:right w:val="nil"/>
            </w:tcBorders>
            <w:vAlign w:val="center"/>
            <w:hideMark/>
          </w:tcPr>
          <w:p w14:paraId="62840C2A"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Fluorotelomer precursor</w:t>
            </w:r>
          </w:p>
        </w:tc>
        <w:tc>
          <w:tcPr>
            <w:tcW w:w="2227" w:type="dxa"/>
            <w:tcBorders>
              <w:top w:val="nil"/>
              <w:left w:val="nil"/>
              <w:bottom w:val="nil"/>
              <w:right w:val="nil"/>
            </w:tcBorders>
            <w:vAlign w:val="center"/>
            <w:hideMark/>
          </w:tcPr>
          <w:p w14:paraId="7ED3A356"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Sulfonate</w:t>
            </w:r>
          </w:p>
        </w:tc>
        <w:tc>
          <w:tcPr>
            <w:tcW w:w="2031" w:type="dxa"/>
            <w:tcBorders>
              <w:top w:val="nil"/>
              <w:left w:val="nil"/>
              <w:bottom w:val="nil"/>
              <w:right w:val="nil"/>
            </w:tcBorders>
            <w:vAlign w:val="center"/>
            <w:hideMark/>
          </w:tcPr>
          <w:p w14:paraId="182E12A8"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6</w:t>
            </w:r>
          </w:p>
        </w:tc>
        <w:tc>
          <w:tcPr>
            <w:tcW w:w="1443" w:type="dxa"/>
            <w:tcBorders>
              <w:top w:val="nil"/>
              <w:left w:val="nil"/>
              <w:bottom w:val="nil"/>
              <w:right w:val="nil"/>
            </w:tcBorders>
            <w:vAlign w:val="center"/>
            <w:hideMark/>
          </w:tcPr>
          <w:p w14:paraId="3A8E669D"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w:t>
            </w:r>
          </w:p>
        </w:tc>
      </w:tr>
      <w:tr w:rsidR="00AC5EDF" w:rsidRPr="00FF1E05" w14:paraId="411912E6" w14:textId="77777777" w:rsidTr="00AC5EDF">
        <w:trPr>
          <w:trHeight w:val="272"/>
        </w:trPr>
        <w:tc>
          <w:tcPr>
            <w:tcW w:w="1873" w:type="dxa"/>
            <w:tcBorders>
              <w:top w:val="nil"/>
              <w:left w:val="nil"/>
              <w:bottom w:val="nil"/>
              <w:right w:val="nil"/>
            </w:tcBorders>
            <w:vAlign w:val="center"/>
            <w:hideMark/>
          </w:tcPr>
          <w:p w14:paraId="0EF8A4A2"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6:2 FTS</w:t>
            </w:r>
          </w:p>
        </w:tc>
        <w:tc>
          <w:tcPr>
            <w:tcW w:w="2774" w:type="dxa"/>
            <w:tcBorders>
              <w:top w:val="nil"/>
              <w:left w:val="nil"/>
              <w:bottom w:val="nil"/>
              <w:right w:val="nil"/>
            </w:tcBorders>
            <w:vAlign w:val="center"/>
            <w:hideMark/>
          </w:tcPr>
          <w:p w14:paraId="73D09598"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6:2 fluorotelomer sulfonate</w:t>
            </w:r>
          </w:p>
        </w:tc>
        <w:tc>
          <w:tcPr>
            <w:tcW w:w="2764" w:type="dxa"/>
            <w:tcBorders>
              <w:top w:val="nil"/>
              <w:left w:val="nil"/>
              <w:bottom w:val="nil"/>
              <w:right w:val="nil"/>
            </w:tcBorders>
            <w:vAlign w:val="center"/>
            <w:hideMark/>
          </w:tcPr>
          <w:p w14:paraId="2407D1A5"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Fluorotelomer precursor</w:t>
            </w:r>
          </w:p>
        </w:tc>
        <w:tc>
          <w:tcPr>
            <w:tcW w:w="2227" w:type="dxa"/>
            <w:tcBorders>
              <w:top w:val="nil"/>
              <w:left w:val="nil"/>
              <w:bottom w:val="nil"/>
              <w:right w:val="nil"/>
            </w:tcBorders>
            <w:vAlign w:val="center"/>
            <w:hideMark/>
          </w:tcPr>
          <w:p w14:paraId="5B02704B"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Sulfonate</w:t>
            </w:r>
          </w:p>
        </w:tc>
        <w:tc>
          <w:tcPr>
            <w:tcW w:w="2031" w:type="dxa"/>
            <w:tcBorders>
              <w:top w:val="nil"/>
              <w:left w:val="nil"/>
              <w:bottom w:val="nil"/>
              <w:right w:val="nil"/>
            </w:tcBorders>
            <w:vAlign w:val="center"/>
            <w:hideMark/>
          </w:tcPr>
          <w:p w14:paraId="079AE6C9"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8</w:t>
            </w:r>
          </w:p>
        </w:tc>
        <w:tc>
          <w:tcPr>
            <w:tcW w:w="1443" w:type="dxa"/>
            <w:tcBorders>
              <w:top w:val="nil"/>
              <w:left w:val="nil"/>
              <w:bottom w:val="nil"/>
              <w:right w:val="nil"/>
            </w:tcBorders>
            <w:vAlign w:val="center"/>
            <w:hideMark/>
          </w:tcPr>
          <w:p w14:paraId="5C9451F5"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w:t>
            </w:r>
          </w:p>
        </w:tc>
      </w:tr>
      <w:tr w:rsidR="00AC5EDF" w:rsidRPr="00FF1E05" w14:paraId="5CC931C1" w14:textId="77777777" w:rsidTr="00AC5EDF">
        <w:trPr>
          <w:trHeight w:val="272"/>
        </w:trPr>
        <w:tc>
          <w:tcPr>
            <w:tcW w:w="1873" w:type="dxa"/>
            <w:tcBorders>
              <w:top w:val="nil"/>
              <w:left w:val="nil"/>
              <w:bottom w:val="nil"/>
              <w:right w:val="nil"/>
            </w:tcBorders>
            <w:vAlign w:val="center"/>
            <w:hideMark/>
          </w:tcPr>
          <w:p w14:paraId="79F6D4CC"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8:2 FTS</w:t>
            </w:r>
          </w:p>
        </w:tc>
        <w:tc>
          <w:tcPr>
            <w:tcW w:w="2774" w:type="dxa"/>
            <w:tcBorders>
              <w:top w:val="nil"/>
              <w:left w:val="nil"/>
              <w:bottom w:val="nil"/>
              <w:right w:val="nil"/>
            </w:tcBorders>
            <w:vAlign w:val="center"/>
            <w:hideMark/>
          </w:tcPr>
          <w:p w14:paraId="0D4E8EBF"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8:2 fluorotelomer sulfonate</w:t>
            </w:r>
          </w:p>
        </w:tc>
        <w:tc>
          <w:tcPr>
            <w:tcW w:w="2764" w:type="dxa"/>
            <w:tcBorders>
              <w:top w:val="nil"/>
              <w:left w:val="nil"/>
              <w:bottom w:val="nil"/>
              <w:right w:val="nil"/>
            </w:tcBorders>
            <w:vAlign w:val="center"/>
            <w:hideMark/>
          </w:tcPr>
          <w:p w14:paraId="19C6F9F3"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Fluorotelomer precursor</w:t>
            </w:r>
          </w:p>
        </w:tc>
        <w:tc>
          <w:tcPr>
            <w:tcW w:w="2227" w:type="dxa"/>
            <w:tcBorders>
              <w:top w:val="nil"/>
              <w:left w:val="nil"/>
              <w:bottom w:val="nil"/>
              <w:right w:val="nil"/>
            </w:tcBorders>
            <w:vAlign w:val="center"/>
            <w:hideMark/>
          </w:tcPr>
          <w:p w14:paraId="016F9A7A"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Sulfonate</w:t>
            </w:r>
          </w:p>
        </w:tc>
        <w:tc>
          <w:tcPr>
            <w:tcW w:w="2031" w:type="dxa"/>
            <w:tcBorders>
              <w:top w:val="nil"/>
              <w:left w:val="nil"/>
              <w:bottom w:val="nil"/>
              <w:right w:val="nil"/>
            </w:tcBorders>
            <w:vAlign w:val="center"/>
            <w:hideMark/>
          </w:tcPr>
          <w:p w14:paraId="3185DA77"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10</w:t>
            </w:r>
          </w:p>
        </w:tc>
        <w:tc>
          <w:tcPr>
            <w:tcW w:w="1443" w:type="dxa"/>
            <w:tcBorders>
              <w:top w:val="nil"/>
              <w:left w:val="nil"/>
              <w:bottom w:val="nil"/>
              <w:right w:val="nil"/>
            </w:tcBorders>
            <w:vAlign w:val="center"/>
            <w:hideMark/>
          </w:tcPr>
          <w:p w14:paraId="771ADE25"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w:t>
            </w:r>
          </w:p>
        </w:tc>
      </w:tr>
      <w:tr w:rsidR="00AC5EDF" w:rsidRPr="00FF1E05" w14:paraId="3579CE8F" w14:textId="77777777" w:rsidTr="00AC5EDF">
        <w:trPr>
          <w:trHeight w:val="330"/>
        </w:trPr>
        <w:tc>
          <w:tcPr>
            <w:tcW w:w="1873" w:type="dxa"/>
            <w:tcBorders>
              <w:top w:val="nil"/>
              <w:left w:val="nil"/>
              <w:bottom w:val="nil"/>
              <w:right w:val="nil"/>
            </w:tcBorders>
            <w:vAlign w:val="center"/>
            <w:hideMark/>
          </w:tcPr>
          <w:p w14:paraId="2D86A888"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5:3 FTCA</w:t>
            </w:r>
          </w:p>
        </w:tc>
        <w:tc>
          <w:tcPr>
            <w:tcW w:w="2774" w:type="dxa"/>
            <w:tcBorders>
              <w:top w:val="nil"/>
              <w:left w:val="nil"/>
              <w:bottom w:val="nil"/>
              <w:right w:val="nil"/>
            </w:tcBorders>
            <w:vAlign w:val="center"/>
            <w:hideMark/>
          </w:tcPr>
          <w:p w14:paraId="21FC4712"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5:3 fluorotelomer carboxylic acid</w:t>
            </w:r>
          </w:p>
        </w:tc>
        <w:tc>
          <w:tcPr>
            <w:tcW w:w="2764" w:type="dxa"/>
            <w:tcBorders>
              <w:top w:val="nil"/>
              <w:left w:val="nil"/>
              <w:bottom w:val="nil"/>
              <w:right w:val="nil"/>
            </w:tcBorders>
            <w:vAlign w:val="center"/>
            <w:hideMark/>
          </w:tcPr>
          <w:p w14:paraId="663F32F6"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Fluorotelomer precursor</w:t>
            </w:r>
          </w:p>
        </w:tc>
        <w:tc>
          <w:tcPr>
            <w:tcW w:w="2227" w:type="dxa"/>
            <w:tcBorders>
              <w:top w:val="nil"/>
              <w:left w:val="nil"/>
              <w:bottom w:val="nil"/>
              <w:right w:val="nil"/>
            </w:tcBorders>
            <w:vAlign w:val="center"/>
            <w:hideMark/>
          </w:tcPr>
          <w:p w14:paraId="2192F4C4"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Carboxylate</w:t>
            </w:r>
          </w:p>
        </w:tc>
        <w:tc>
          <w:tcPr>
            <w:tcW w:w="2031" w:type="dxa"/>
            <w:tcBorders>
              <w:top w:val="nil"/>
              <w:left w:val="nil"/>
              <w:bottom w:val="nil"/>
              <w:right w:val="nil"/>
            </w:tcBorders>
            <w:vAlign w:val="center"/>
            <w:hideMark/>
          </w:tcPr>
          <w:p w14:paraId="1DC4BE2D"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8</w:t>
            </w:r>
          </w:p>
        </w:tc>
        <w:tc>
          <w:tcPr>
            <w:tcW w:w="1443" w:type="dxa"/>
            <w:tcBorders>
              <w:top w:val="nil"/>
              <w:left w:val="nil"/>
              <w:bottom w:val="nil"/>
              <w:right w:val="nil"/>
            </w:tcBorders>
            <w:vAlign w:val="center"/>
            <w:hideMark/>
          </w:tcPr>
          <w:p w14:paraId="1FC075F4"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w:t>
            </w:r>
          </w:p>
        </w:tc>
      </w:tr>
      <w:tr w:rsidR="00AC5EDF" w:rsidRPr="00FF1E05" w14:paraId="22EAD37E" w14:textId="77777777" w:rsidTr="00AC5EDF">
        <w:trPr>
          <w:trHeight w:val="330"/>
        </w:trPr>
        <w:tc>
          <w:tcPr>
            <w:tcW w:w="1873" w:type="dxa"/>
            <w:tcBorders>
              <w:top w:val="nil"/>
              <w:left w:val="nil"/>
              <w:bottom w:val="nil"/>
              <w:right w:val="nil"/>
            </w:tcBorders>
            <w:vAlign w:val="center"/>
            <w:hideMark/>
          </w:tcPr>
          <w:p w14:paraId="1CF61147"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7:3 FTCA</w:t>
            </w:r>
          </w:p>
        </w:tc>
        <w:tc>
          <w:tcPr>
            <w:tcW w:w="2774" w:type="dxa"/>
            <w:tcBorders>
              <w:top w:val="nil"/>
              <w:left w:val="nil"/>
              <w:bottom w:val="nil"/>
              <w:right w:val="nil"/>
            </w:tcBorders>
            <w:vAlign w:val="center"/>
            <w:hideMark/>
          </w:tcPr>
          <w:p w14:paraId="270195A7"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7:3 fluorotelomer carboxylic acid</w:t>
            </w:r>
          </w:p>
        </w:tc>
        <w:tc>
          <w:tcPr>
            <w:tcW w:w="2764" w:type="dxa"/>
            <w:tcBorders>
              <w:top w:val="nil"/>
              <w:left w:val="nil"/>
              <w:bottom w:val="nil"/>
              <w:right w:val="nil"/>
            </w:tcBorders>
            <w:vAlign w:val="center"/>
            <w:hideMark/>
          </w:tcPr>
          <w:p w14:paraId="02D6FEBD"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Fluorotelomer precursor</w:t>
            </w:r>
          </w:p>
        </w:tc>
        <w:tc>
          <w:tcPr>
            <w:tcW w:w="2227" w:type="dxa"/>
            <w:tcBorders>
              <w:top w:val="nil"/>
              <w:left w:val="nil"/>
              <w:bottom w:val="nil"/>
              <w:right w:val="nil"/>
            </w:tcBorders>
            <w:vAlign w:val="center"/>
            <w:hideMark/>
          </w:tcPr>
          <w:p w14:paraId="0CF74EB0"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Carboxylate</w:t>
            </w:r>
          </w:p>
        </w:tc>
        <w:tc>
          <w:tcPr>
            <w:tcW w:w="2031" w:type="dxa"/>
            <w:tcBorders>
              <w:top w:val="nil"/>
              <w:left w:val="nil"/>
              <w:bottom w:val="nil"/>
              <w:right w:val="nil"/>
            </w:tcBorders>
            <w:vAlign w:val="center"/>
            <w:hideMark/>
          </w:tcPr>
          <w:p w14:paraId="069267FF"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10</w:t>
            </w:r>
          </w:p>
        </w:tc>
        <w:tc>
          <w:tcPr>
            <w:tcW w:w="1443" w:type="dxa"/>
            <w:tcBorders>
              <w:top w:val="nil"/>
              <w:left w:val="nil"/>
              <w:bottom w:val="nil"/>
              <w:right w:val="nil"/>
            </w:tcBorders>
            <w:vAlign w:val="center"/>
            <w:hideMark/>
          </w:tcPr>
          <w:p w14:paraId="39AC52A2"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w:t>
            </w:r>
          </w:p>
        </w:tc>
      </w:tr>
      <w:tr w:rsidR="00AC5EDF" w:rsidRPr="00FF1E05" w14:paraId="3DAF1FA1" w14:textId="77777777" w:rsidTr="00AC5EDF">
        <w:trPr>
          <w:trHeight w:val="272"/>
        </w:trPr>
        <w:tc>
          <w:tcPr>
            <w:tcW w:w="1873" w:type="dxa"/>
            <w:tcBorders>
              <w:top w:val="nil"/>
              <w:left w:val="nil"/>
              <w:bottom w:val="nil"/>
              <w:right w:val="nil"/>
            </w:tcBorders>
            <w:vAlign w:val="center"/>
            <w:hideMark/>
          </w:tcPr>
          <w:p w14:paraId="25C05607"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FOSA / PFOSA</w:t>
            </w:r>
          </w:p>
        </w:tc>
        <w:tc>
          <w:tcPr>
            <w:tcW w:w="2774" w:type="dxa"/>
            <w:tcBorders>
              <w:top w:val="nil"/>
              <w:left w:val="nil"/>
              <w:bottom w:val="nil"/>
              <w:right w:val="nil"/>
            </w:tcBorders>
            <w:vAlign w:val="center"/>
            <w:hideMark/>
          </w:tcPr>
          <w:p w14:paraId="5EB1086F"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Perfluorooctane</w:t>
            </w:r>
            <w:proofErr w:type="spellEnd"/>
            <w:r w:rsidRPr="00FF1E05">
              <w:rPr>
                <w:rFonts w:eastAsia="Times New Roman" w:cs="Arial"/>
                <w:color w:val="000000"/>
                <w:sz w:val="16"/>
                <w:szCs w:val="16"/>
                <w:lang w:val="en-GB" w:eastAsia="en-GB"/>
              </w:rPr>
              <w:t xml:space="preserve"> </w:t>
            </w:r>
            <w:proofErr w:type="spellStart"/>
            <w:r w:rsidRPr="00FF1E05">
              <w:rPr>
                <w:rFonts w:eastAsia="Times New Roman" w:cs="Arial"/>
                <w:color w:val="000000"/>
                <w:sz w:val="16"/>
                <w:szCs w:val="16"/>
                <w:lang w:val="en-GB" w:eastAsia="en-GB"/>
              </w:rPr>
              <w:t>sulfonamide</w:t>
            </w:r>
            <w:proofErr w:type="spellEnd"/>
          </w:p>
        </w:tc>
        <w:tc>
          <w:tcPr>
            <w:tcW w:w="2764" w:type="dxa"/>
            <w:tcBorders>
              <w:top w:val="nil"/>
              <w:left w:val="nil"/>
              <w:bottom w:val="nil"/>
              <w:right w:val="nil"/>
            </w:tcBorders>
            <w:vAlign w:val="center"/>
            <w:hideMark/>
          </w:tcPr>
          <w:p w14:paraId="489D6583"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PFSA precursor</w:t>
            </w:r>
          </w:p>
        </w:tc>
        <w:tc>
          <w:tcPr>
            <w:tcW w:w="2227" w:type="dxa"/>
            <w:tcBorders>
              <w:top w:val="nil"/>
              <w:left w:val="nil"/>
              <w:bottom w:val="nil"/>
              <w:right w:val="nil"/>
            </w:tcBorders>
            <w:vAlign w:val="center"/>
            <w:hideMark/>
          </w:tcPr>
          <w:p w14:paraId="594C2E9A"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Sulfonamide</w:t>
            </w:r>
            <w:proofErr w:type="spellEnd"/>
          </w:p>
        </w:tc>
        <w:tc>
          <w:tcPr>
            <w:tcW w:w="2031" w:type="dxa"/>
            <w:tcBorders>
              <w:top w:val="nil"/>
              <w:left w:val="nil"/>
              <w:bottom w:val="nil"/>
              <w:right w:val="nil"/>
            </w:tcBorders>
            <w:vAlign w:val="center"/>
            <w:hideMark/>
          </w:tcPr>
          <w:p w14:paraId="5AA4A5E2"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8</w:t>
            </w:r>
          </w:p>
        </w:tc>
        <w:tc>
          <w:tcPr>
            <w:tcW w:w="1443" w:type="dxa"/>
            <w:tcBorders>
              <w:top w:val="nil"/>
              <w:left w:val="nil"/>
              <w:bottom w:val="nil"/>
              <w:right w:val="nil"/>
            </w:tcBorders>
            <w:vAlign w:val="center"/>
            <w:hideMark/>
          </w:tcPr>
          <w:p w14:paraId="797CA411"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w:t>
            </w:r>
          </w:p>
        </w:tc>
      </w:tr>
      <w:tr w:rsidR="00AC5EDF" w:rsidRPr="00FF1E05" w14:paraId="2EC7F19D" w14:textId="77777777" w:rsidTr="00AC5EDF">
        <w:trPr>
          <w:trHeight w:val="330"/>
        </w:trPr>
        <w:tc>
          <w:tcPr>
            <w:tcW w:w="1873" w:type="dxa"/>
            <w:tcBorders>
              <w:top w:val="nil"/>
              <w:left w:val="nil"/>
              <w:bottom w:val="nil"/>
              <w:right w:val="nil"/>
            </w:tcBorders>
            <w:vAlign w:val="center"/>
            <w:hideMark/>
          </w:tcPr>
          <w:p w14:paraId="025D3C48"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MeFOSAA</w:t>
            </w:r>
            <w:proofErr w:type="spellEnd"/>
          </w:p>
        </w:tc>
        <w:tc>
          <w:tcPr>
            <w:tcW w:w="2774" w:type="dxa"/>
            <w:tcBorders>
              <w:top w:val="nil"/>
              <w:left w:val="nil"/>
              <w:bottom w:val="nil"/>
              <w:right w:val="nil"/>
            </w:tcBorders>
            <w:vAlign w:val="center"/>
            <w:hideMark/>
          </w:tcPr>
          <w:p w14:paraId="4DDE52FF" w14:textId="77777777" w:rsidR="00AC5EDF" w:rsidRPr="00FF1E05" w:rsidRDefault="00AC5EDF" w:rsidP="00AC5EDF">
            <w:pPr>
              <w:spacing w:after="0" w:line="240" w:lineRule="auto"/>
              <w:rPr>
                <w:rFonts w:eastAsia="Times New Roman" w:cs="Arial"/>
                <w:color w:val="000000"/>
                <w:sz w:val="16"/>
                <w:szCs w:val="16"/>
                <w:lang w:val="pt-PT" w:eastAsia="en-GB"/>
              </w:rPr>
            </w:pPr>
            <w:r w:rsidRPr="00FF1E05">
              <w:rPr>
                <w:rFonts w:eastAsia="Times New Roman" w:cs="Arial"/>
                <w:color w:val="000000"/>
                <w:sz w:val="16"/>
                <w:szCs w:val="16"/>
                <w:lang w:val="pt-PT" w:eastAsia="en-GB"/>
              </w:rPr>
              <w:t>N-</w:t>
            </w:r>
            <w:proofErr w:type="spellStart"/>
            <w:r w:rsidRPr="00FF1E05">
              <w:rPr>
                <w:rFonts w:eastAsia="Times New Roman" w:cs="Arial"/>
                <w:color w:val="000000"/>
                <w:sz w:val="16"/>
                <w:szCs w:val="16"/>
                <w:lang w:val="pt-PT" w:eastAsia="en-GB"/>
              </w:rPr>
              <w:t>methyl</w:t>
            </w:r>
            <w:proofErr w:type="spellEnd"/>
            <w:r w:rsidRPr="00FF1E05">
              <w:rPr>
                <w:rFonts w:eastAsia="Times New Roman" w:cs="Arial"/>
                <w:color w:val="000000"/>
                <w:sz w:val="16"/>
                <w:szCs w:val="16"/>
                <w:lang w:val="pt-PT" w:eastAsia="en-GB"/>
              </w:rPr>
              <w:t xml:space="preserve"> </w:t>
            </w:r>
            <w:proofErr w:type="spellStart"/>
            <w:r w:rsidRPr="00FF1E05">
              <w:rPr>
                <w:rFonts w:eastAsia="Times New Roman" w:cs="Arial"/>
                <w:color w:val="000000"/>
                <w:sz w:val="16"/>
                <w:szCs w:val="16"/>
                <w:lang w:val="pt-PT" w:eastAsia="en-GB"/>
              </w:rPr>
              <w:t>perfluorooctane</w:t>
            </w:r>
            <w:proofErr w:type="spellEnd"/>
            <w:r w:rsidRPr="00FF1E05">
              <w:rPr>
                <w:rFonts w:eastAsia="Times New Roman" w:cs="Arial"/>
                <w:color w:val="000000"/>
                <w:sz w:val="16"/>
                <w:szCs w:val="16"/>
                <w:lang w:val="pt-PT" w:eastAsia="en-GB"/>
              </w:rPr>
              <w:t xml:space="preserve"> </w:t>
            </w:r>
            <w:proofErr w:type="spellStart"/>
            <w:r w:rsidRPr="00FF1E05">
              <w:rPr>
                <w:rFonts w:eastAsia="Times New Roman" w:cs="Arial"/>
                <w:color w:val="000000"/>
                <w:sz w:val="16"/>
                <w:szCs w:val="16"/>
                <w:lang w:val="pt-PT" w:eastAsia="en-GB"/>
              </w:rPr>
              <w:t>sulfonamidoacetic</w:t>
            </w:r>
            <w:proofErr w:type="spellEnd"/>
            <w:r w:rsidRPr="00FF1E05">
              <w:rPr>
                <w:rFonts w:eastAsia="Times New Roman" w:cs="Arial"/>
                <w:color w:val="000000"/>
                <w:sz w:val="16"/>
                <w:szCs w:val="16"/>
                <w:lang w:val="pt-PT" w:eastAsia="en-GB"/>
              </w:rPr>
              <w:t xml:space="preserve"> </w:t>
            </w:r>
            <w:proofErr w:type="spellStart"/>
            <w:r w:rsidRPr="00FF1E05">
              <w:rPr>
                <w:rFonts w:eastAsia="Times New Roman" w:cs="Arial"/>
                <w:color w:val="000000"/>
                <w:sz w:val="16"/>
                <w:szCs w:val="16"/>
                <w:lang w:val="pt-PT" w:eastAsia="en-GB"/>
              </w:rPr>
              <w:t>acid</w:t>
            </w:r>
            <w:proofErr w:type="spellEnd"/>
          </w:p>
        </w:tc>
        <w:tc>
          <w:tcPr>
            <w:tcW w:w="2764" w:type="dxa"/>
            <w:tcBorders>
              <w:top w:val="nil"/>
              <w:left w:val="nil"/>
              <w:bottom w:val="nil"/>
              <w:right w:val="nil"/>
            </w:tcBorders>
            <w:vAlign w:val="center"/>
            <w:hideMark/>
          </w:tcPr>
          <w:p w14:paraId="6522ED5C"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PFSA precursor</w:t>
            </w:r>
          </w:p>
        </w:tc>
        <w:tc>
          <w:tcPr>
            <w:tcW w:w="2227" w:type="dxa"/>
            <w:tcBorders>
              <w:top w:val="nil"/>
              <w:left w:val="nil"/>
              <w:bottom w:val="nil"/>
              <w:right w:val="nil"/>
            </w:tcBorders>
            <w:vAlign w:val="center"/>
            <w:hideMark/>
          </w:tcPr>
          <w:p w14:paraId="07F8C269"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Sulfonamidoacetate</w:t>
            </w:r>
            <w:proofErr w:type="spellEnd"/>
          </w:p>
        </w:tc>
        <w:tc>
          <w:tcPr>
            <w:tcW w:w="2031" w:type="dxa"/>
            <w:tcBorders>
              <w:top w:val="nil"/>
              <w:left w:val="nil"/>
              <w:bottom w:val="nil"/>
              <w:right w:val="nil"/>
            </w:tcBorders>
            <w:vAlign w:val="center"/>
            <w:hideMark/>
          </w:tcPr>
          <w:p w14:paraId="6D46DD68"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10</w:t>
            </w:r>
          </w:p>
        </w:tc>
        <w:tc>
          <w:tcPr>
            <w:tcW w:w="1443" w:type="dxa"/>
            <w:tcBorders>
              <w:top w:val="nil"/>
              <w:left w:val="nil"/>
              <w:bottom w:val="nil"/>
              <w:right w:val="nil"/>
            </w:tcBorders>
            <w:vAlign w:val="center"/>
            <w:hideMark/>
          </w:tcPr>
          <w:p w14:paraId="52A8BF83"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w:t>
            </w:r>
          </w:p>
        </w:tc>
      </w:tr>
      <w:tr w:rsidR="00AC5EDF" w:rsidRPr="00FF1E05" w14:paraId="61DEC912" w14:textId="77777777" w:rsidTr="00AC5EDF">
        <w:trPr>
          <w:trHeight w:val="330"/>
        </w:trPr>
        <w:tc>
          <w:tcPr>
            <w:tcW w:w="1873" w:type="dxa"/>
            <w:tcBorders>
              <w:top w:val="nil"/>
              <w:left w:val="nil"/>
              <w:right w:val="nil"/>
            </w:tcBorders>
            <w:vAlign w:val="center"/>
            <w:hideMark/>
          </w:tcPr>
          <w:p w14:paraId="478CD286"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EtFOSAA</w:t>
            </w:r>
            <w:proofErr w:type="spellEnd"/>
          </w:p>
        </w:tc>
        <w:tc>
          <w:tcPr>
            <w:tcW w:w="2774" w:type="dxa"/>
            <w:tcBorders>
              <w:top w:val="nil"/>
              <w:left w:val="nil"/>
              <w:right w:val="nil"/>
            </w:tcBorders>
            <w:vAlign w:val="center"/>
            <w:hideMark/>
          </w:tcPr>
          <w:p w14:paraId="00754B41" w14:textId="77777777" w:rsidR="00AC5EDF" w:rsidRPr="00FF1E05" w:rsidRDefault="00AC5EDF" w:rsidP="00AC5EDF">
            <w:pPr>
              <w:spacing w:after="0" w:line="240" w:lineRule="auto"/>
              <w:rPr>
                <w:rFonts w:eastAsia="Times New Roman" w:cs="Arial"/>
                <w:color w:val="000000"/>
                <w:sz w:val="16"/>
                <w:szCs w:val="16"/>
                <w:lang w:val="pt-PT" w:eastAsia="en-GB"/>
              </w:rPr>
            </w:pPr>
            <w:r w:rsidRPr="00FF1E05">
              <w:rPr>
                <w:rFonts w:eastAsia="Times New Roman" w:cs="Arial"/>
                <w:color w:val="000000"/>
                <w:sz w:val="16"/>
                <w:szCs w:val="16"/>
                <w:lang w:val="pt-PT" w:eastAsia="en-GB"/>
              </w:rPr>
              <w:t>N-</w:t>
            </w:r>
            <w:proofErr w:type="spellStart"/>
            <w:r w:rsidRPr="00FF1E05">
              <w:rPr>
                <w:rFonts w:eastAsia="Times New Roman" w:cs="Arial"/>
                <w:color w:val="000000"/>
                <w:sz w:val="16"/>
                <w:szCs w:val="16"/>
                <w:lang w:val="pt-PT" w:eastAsia="en-GB"/>
              </w:rPr>
              <w:t>ethyl</w:t>
            </w:r>
            <w:proofErr w:type="spellEnd"/>
            <w:r w:rsidRPr="00FF1E05">
              <w:rPr>
                <w:rFonts w:eastAsia="Times New Roman" w:cs="Arial"/>
                <w:color w:val="000000"/>
                <w:sz w:val="16"/>
                <w:szCs w:val="16"/>
                <w:lang w:val="pt-PT" w:eastAsia="en-GB"/>
              </w:rPr>
              <w:t xml:space="preserve"> </w:t>
            </w:r>
            <w:proofErr w:type="spellStart"/>
            <w:r w:rsidRPr="00FF1E05">
              <w:rPr>
                <w:rFonts w:eastAsia="Times New Roman" w:cs="Arial"/>
                <w:color w:val="000000"/>
                <w:sz w:val="16"/>
                <w:szCs w:val="16"/>
                <w:lang w:val="pt-PT" w:eastAsia="en-GB"/>
              </w:rPr>
              <w:t>perfluorooctane</w:t>
            </w:r>
            <w:proofErr w:type="spellEnd"/>
            <w:r w:rsidRPr="00FF1E05">
              <w:rPr>
                <w:rFonts w:eastAsia="Times New Roman" w:cs="Arial"/>
                <w:color w:val="000000"/>
                <w:sz w:val="16"/>
                <w:szCs w:val="16"/>
                <w:lang w:val="pt-PT" w:eastAsia="en-GB"/>
              </w:rPr>
              <w:t xml:space="preserve"> </w:t>
            </w:r>
            <w:proofErr w:type="spellStart"/>
            <w:r w:rsidRPr="00FF1E05">
              <w:rPr>
                <w:rFonts w:eastAsia="Times New Roman" w:cs="Arial"/>
                <w:color w:val="000000"/>
                <w:sz w:val="16"/>
                <w:szCs w:val="16"/>
                <w:lang w:val="pt-PT" w:eastAsia="en-GB"/>
              </w:rPr>
              <w:t>sulfonamidoacetic</w:t>
            </w:r>
            <w:proofErr w:type="spellEnd"/>
            <w:r w:rsidRPr="00FF1E05">
              <w:rPr>
                <w:rFonts w:eastAsia="Times New Roman" w:cs="Arial"/>
                <w:color w:val="000000"/>
                <w:sz w:val="16"/>
                <w:szCs w:val="16"/>
                <w:lang w:val="pt-PT" w:eastAsia="en-GB"/>
              </w:rPr>
              <w:t xml:space="preserve"> </w:t>
            </w:r>
            <w:proofErr w:type="spellStart"/>
            <w:r w:rsidRPr="00FF1E05">
              <w:rPr>
                <w:rFonts w:eastAsia="Times New Roman" w:cs="Arial"/>
                <w:color w:val="000000"/>
                <w:sz w:val="16"/>
                <w:szCs w:val="16"/>
                <w:lang w:val="pt-PT" w:eastAsia="en-GB"/>
              </w:rPr>
              <w:t>acid</w:t>
            </w:r>
            <w:proofErr w:type="spellEnd"/>
          </w:p>
        </w:tc>
        <w:tc>
          <w:tcPr>
            <w:tcW w:w="2764" w:type="dxa"/>
            <w:tcBorders>
              <w:top w:val="nil"/>
              <w:left w:val="nil"/>
              <w:right w:val="nil"/>
            </w:tcBorders>
            <w:vAlign w:val="center"/>
            <w:hideMark/>
          </w:tcPr>
          <w:p w14:paraId="2ED4B7A8"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PFSA precursor</w:t>
            </w:r>
          </w:p>
        </w:tc>
        <w:tc>
          <w:tcPr>
            <w:tcW w:w="2227" w:type="dxa"/>
            <w:tcBorders>
              <w:top w:val="nil"/>
              <w:left w:val="nil"/>
              <w:right w:val="nil"/>
            </w:tcBorders>
            <w:vAlign w:val="center"/>
            <w:hideMark/>
          </w:tcPr>
          <w:p w14:paraId="319686F8"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Sulfonamidoacetate</w:t>
            </w:r>
            <w:proofErr w:type="spellEnd"/>
          </w:p>
        </w:tc>
        <w:tc>
          <w:tcPr>
            <w:tcW w:w="2031" w:type="dxa"/>
            <w:tcBorders>
              <w:top w:val="nil"/>
              <w:left w:val="nil"/>
              <w:right w:val="nil"/>
            </w:tcBorders>
            <w:vAlign w:val="center"/>
            <w:hideMark/>
          </w:tcPr>
          <w:p w14:paraId="76C49C63"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11</w:t>
            </w:r>
          </w:p>
        </w:tc>
        <w:tc>
          <w:tcPr>
            <w:tcW w:w="1443" w:type="dxa"/>
            <w:tcBorders>
              <w:top w:val="nil"/>
              <w:left w:val="nil"/>
              <w:right w:val="nil"/>
            </w:tcBorders>
            <w:vAlign w:val="center"/>
            <w:hideMark/>
          </w:tcPr>
          <w:p w14:paraId="6FB084AD"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w:t>
            </w:r>
          </w:p>
        </w:tc>
      </w:tr>
      <w:tr w:rsidR="00AC5EDF" w:rsidRPr="00FF1E05" w14:paraId="6BA83F62" w14:textId="77777777" w:rsidTr="00AC5EDF">
        <w:trPr>
          <w:trHeight w:val="330"/>
        </w:trPr>
        <w:tc>
          <w:tcPr>
            <w:tcW w:w="1873" w:type="dxa"/>
            <w:tcBorders>
              <w:top w:val="nil"/>
              <w:left w:val="nil"/>
              <w:bottom w:val="single" w:sz="4" w:space="0" w:color="auto"/>
              <w:right w:val="nil"/>
            </w:tcBorders>
            <w:vAlign w:val="center"/>
            <w:hideMark/>
          </w:tcPr>
          <w:p w14:paraId="3AD4AADB"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EtFOSA</w:t>
            </w:r>
            <w:proofErr w:type="spellEnd"/>
          </w:p>
        </w:tc>
        <w:tc>
          <w:tcPr>
            <w:tcW w:w="2774" w:type="dxa"/>
            <w:tcBorders>
              <w:top w:val="nil"/>
              <w:left w:val="nil"/>
              <w:bottom w:val="single" w:sz="4" w:space="0" w:color="auto"/>
              <w:right w:val="nil"/>
            </w:tcBorders>
            <w:vAlign w:val="center"/>
            <w:hideMark/>
          </w:tcPr>
          <w:p w14:paraId="0BAB5BF1"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 xml:space="preserve">N-ethyl </w:t>
            </w:r>
            <w:proofErr w:type="spellStart"/>
            <w:r w:rsidRPr="00FF1E05">
              <w:rPr>
                <w:rFonts w:eastAsia="Times New Roman" w:cs="Arial"/>
                <w:color w:val="000000"/>
                <w:sz w:val="16"/>
                <w:szCs w:val="16"/>
                <w:lang w:val="en-GB" w:eastAsia="en-GB"/>
              </w:rPr>
              <w:t>perfluorooctane</w:t>
            </w:r>
            <w:proofErr w:type="spellEnd"/>
            <w:r w:rsidRPr="00FF1E05">
              <w:rPr>
                <w:rFonts w:eastAsia="Times New Roman" w:cs="Arial"/>
                <w:color w:val="000000"/>
                <w:sz w:val="16"/>
                <w:szCs w:val="16"/>
                <w:lang w:val="en-GB" w:eastAsia="en-GB"/>
              </w:rPr>
              <w:t xml:space="preserve"> </w:t>
            </w:r>
            <w:proofErr w:type="spellStart"/>
            <w:r w:rsidRPr="00FF1E05">
              <w:rPr>
                <w:rFonts w:eastAsia="Times New Roman" w:cs="Arial"/>
                <w:color w:val="000000"/>
                <w:sz w:val="16"/>
                <w:szCs w:val="16"/>
                <w:lang w:val="en-GB" w:eastAsia="en-GB"/>
              </w:rPr>
              <w:t>sulfonamide</w:t>
            </w:r>
            <w:proofErr w:type="spellEnd"/>
          </w:p>
        </w:tc>
        <w:tc>
          <w:tcPr>
            <w:tcW w:w="2764" w:type="dxa"/>
            <w:tcBorders>
              <w:top w:val="nil"/>
              <w:left w:val="nil"/>
              <w:bottom w:val="single" w:sz="4" w:space="0" w:color="auto"/>
              <w:right w:val="nil"/>
            </w:tcBorders>
            <w:vAlign w:val="center"/>
            <w:hideMark/>
          </w:tcPr>
          <w:p w14:paraId="47F2F1DC"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PFSA precursor</w:t>
            </w:r>
          </w:p>
        </w:tc>
        <w:tc>
          <w:tcPr>
            <w:tcW w:w="2227" w:type="dxa"/>
            <w:tcBorders>
              <w:top w:val="nil"/>
              <w:left w:val="nil"/>
              <w:bottom w:val="single" w:sz="4" w:space="0" w:color="auto"/>
              <w:right w:val="nil"/>
            </w:tcBorders>
            <w:vAlign w:val="center"/>
            <w:hideMark/>
          </w:tcPr>
          <w:p w14:paraId="4E355F6F" w14:textId="77777777" w:rsidR="00AC5EDF" w:rsidRPr="00FF1E05" w:rsidRDefault="00AC5EDF" w:rsidP="00AC5EDF">
            <w:pPr>
              <w:spacing w:after="0" w:line="240" w:lineRule="auto"/>
              <w:rPr>
                <w:rFonts w:eastAsia="Times New Roman" w:cs="Arial"/>
                <w:color w:val="000000"/>
                <w:sz w:val="16"/>
                <w:szCs w:val="16"/>
                <w:lang w:val="en-GB" w:eastAsia="en-GB"/>
              </w:rPr>
            </w:pPr>
            <w:proofErr w:type="spellStart"/>
            <w:r w:rsidRPr="00FF1E05">
              <w:rPr>
                <w:rFonts w:eastAsia="Times New Roman" w:cs="Arial"/>
                <w:color w:val="000000"/>
                <w:sz w:val="16"/>
                <w:szCs w:val="16"/>
                <w:lang w:val="en-GB" w:eastAsia="en-GB"/>
              </w:rPr>
              <w:t>Sulfonamide</w:t>
            </w:r>
            <w:proofErr w:type="spellEnd"/>
          </w:p>
        </w:tc>
        <w:tc>
          <w:tcPr>
            <w:tcW w:w="2031" w:type="dxa"/>
            <w:tcBorders>
              <w:top w:val="nil"/>
              <w:left w:val="nil"/>
              <w:bottom w:val="single" w:sz="4" w:space="0" w:color="auto"/>
              <w:right w:val="nil"/>
            </w:tcBorders>
            <w:vAlign w:val="center"/>
            <w:hideMark/>
          </w:tcPr>
          <w:p w14:paraId="709B0F58"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10</w:t>
            </w:r>
          </w:p>
        </w:tc>
        <w:tc>
          <w:tcPr>
            <w:tcW w:w="1443" w:type="dxa"/>
            <w:tcBorders>
              <w:top w:val="nil"/>
              <w:left w:val="nil"/>
              <w:bottom w:val="single" w:sz="4" w:space="0" w:color="auto"/>
              <w:right w:val="nil"/>
            </w:tcBorders>
            <w:vAlign w:val="center"/>
            <w:hideMark/>
          </w:tcPr>
          <w:p w14:paraId="07A8A400" w14:textId="77777777" w:rsidR="00AC5EDF" w:rsidRPr="00FF1E05" w:rsidRDefault="00AC5EDF" w:rsidP="00AC5EDF">
            <w:pPr>
              <w:spacing w:after="0" w:line="240" w:lineRule="auto"/>
              <w:rPr>
                <w:rFonts w:eastAsia="Times New Roman" w:cs="Arial"/>
                <w:color w:val="000000"/>
                <w:sz w:val="16"/>
                <w:szCs w:val="16"/>
                <w:lang w:val="en-GB" w:eastAsia="en-GB"/>
              </w:rPr>
            </w:pPr>
            <w:r w:rsidRPr="00FF1E05">
              <w:rPr>
                <w:rFonts w:eastAsia="Times New Roman" w:cs="Arial"/>
                <w:color w:val="000000"/>
                <w:sz w:val="16"/>
                <w:szCs w:val="16"/>
                <w:lang w:val="en-GB" w:eastAsia="en-GB"/>
              </w:rPr>
              <w:t>—</w:t>
            </w:r>
          </w:p>
        </w:tc>
      </w:tr>
    </w:tbl>
    <w:p w14:paraId="323B4E21" w14:textId="77777777" w:rsidR="007F0C34" w:rsidRPr="00FF1E05" w:rsidRDefault="007F0C34" w:rsidP="0072319D">
      <w:pPr>
        <w:jc w:val="both"/>
        <w:rPr>
          <w:rFonts w:cs="Arial"/>
          <w:color w:val="000000" w:themeColor="text1"/>
          <w:sz w:val="22"/>
        </w:rPr>
      </w:pPr>
    </w:p>
    <w:p w14:paraId="5233D225" w14:textId="77777777" w:rsidR="001B60F0" w:rsidRPr="00FF1E05" w:rsidRDefault="001B60F0" w:rsidP="0072319D">
      <w:pPr>
        <w:jc w:val="both"/>
        <w:rPr>
          <w:rFonts w:cs="Arial"/>
          <w:color w:val="000000" w:themeColor="text1"/>
          <w:sz w:val="22"/>
        </w:rPr>
        <w:sectPr w:rsidR="001B60F0" w:rsidRPr="00FF1E05" w:rsidSect="0072319D">
          <w:pgSz w:w="16838" w:h="11906" w:orient="landscape"/>
          <w:pgMar w:top="907" w:right="1700" w:bottom="907" w:left="1560" w:header="720" w:footer="720" w:gutter="0"/>
          <w:cols w:space="720"/>
          <w:docGrid w:linePitch="360"/>
        </w:sectPr>
      </w:pPr>
    </w:p>
    <w:p w14:paraId="51EBFBDA" w14:textId="6D6F7615" w:rsidR="00274385" w:rsidRPr="00FF1E05" w:rsidRDefault="00274385" w:rsidP="00274385">
      <w:pPr>
        <w:keepNext/>
        <w:jc w:val="both"/>
        <w:rPr>
          <w:rFonts w:cs="Arial"/>
          <w:bCs/>
          <w:sz w:val="18"/>
          <w:szCs w:val="18"/>
        </w:rPr>
      </w:pPr>
      <w:r w:rsidRPr="00FF1E05">
        <w:rPr>
          <w:rFonts w:cs="Arial"/>
          <w:bCs/>
          <w:sz w:val="18"/>
          <w:szCs w:val="18"/>
        </w:rPr>
        <w:lastRenderedPageBreak/>
        <w:t xml:space="preserve">Table S14. Study-balanced mechanistic and contextual controls on biochar performance for PFAS </w:t>
      </w:r>
      <w:proofErr w:type="spellStart"/>
      <w:r w:rsidRPr="00FF1E05">
        <w:rPr>
          <w:rFonts w:cs="Arial"/>
          <w:bCs/>
          <w:sz w:val="18"/>
          <w:szCs w:val="18"/>
        </w:rPr>
        <w:t>immobilisation</w:t>
      </w:r>
      <w:proofErr w:type="spellEnd"/>
    </w:p>
    <w:tbl>
      <w:tblPr>
        <w:tblW w:w="8647" w:type="dxa"/>
        <w:tblInd w:w="108" w:type="dxa"/>
        <w:tblLook w:val="04A0" w:firstRow="1" w:lastRow="0" w:firstColumn="1" w:lastColumn="0" w:noHBand="0" w:noVBand="1"/>
      </w:tblPr>
      <w:tblGrid>
        <w:gridCol w:w="1353"/>
        <w:gridCol w:w="1539"/>
        <w:gridCol w:w="1638"/>
        <w:gridCol w:w="1536"/>
        <w:gridCol w:w="1540"/>
        <w:gridCol w:w="1148"/>
      </w:tblGrid>
      <w:tr w:rsidR="00274385" w:rsidRPr="00FF1E05" w14:paraId="37346076" w14:textId="77777777" w:rsidTr="009E044D">
        <w:trPr>
          <w:trHeight w:val="483"/>
        </w:trPr>
        <w:tc>
          <w:tcPr>
            <w:tcW w:w="1248" w:type="dxa"/>
            <w:tcBorders>
              <w:top w:val="single" w:sz="4" w:space="0" w:color="auto"/>
              <w:left w:val="nil"/>
              <w:bottom w:val="single" w:sz="4" w:space="0" w:color="auto"/>
              <w:right w:val="nil"/>
            </w:tcBorders>
            <w:shd w:val="clear" w:color="000000" w:fill="EDEDED"/>
            <w:vAlign w:val="center"/>
            <w:hideMark/>
          </w:tcPr>
          <w:p w14:paraId="6529ADE3"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sz w:val="18"/>
                <w:szCs w:val="32"/>
                <w:lang w:eastAsia="en-GB"/>
              </w:rPr>
              <w:t>Moderator</w:t>
            </w:r>
          </w:p>
        </w:tc>
        <w:tc>
          <w:tcPr>
            <w:tcW w:w="1441" w:type="dxa"/>
            <w:tcBorders>
              <w:top w:val="single" w:sz="4" w:space="0" w:color="auto"/>
              <w:left w:val="nil"/>
              <w:bottom w:val="single" w:sz="4" w:space="0" w:color="auto"/>
              <w:right w:val="nil"/>
            </w:tcBorders>
            <w:shd w:val="clear" w:color="000000" w:fill="EDEDED"/>
            <w:vAlign w:val="center"/>
            <w:hideMark/>
          </w:tcPr>
          <w:p w14:paraId="0B00D98D"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sz w:val="18"/>
                <w:szCs w:val="32"/>
                <w:lang w:eastAsia="en-GB"/>
              </w:rPr>
              <w:t>Evidence structure</w:t>
            </w:r>
          </w:p>
        </w:tc>
        <w:tc>
          <w:tcPr>
            <w:tcW w:w="1506" w:type="dxa"/>
            <w:tcBorders>
              <w:top w:val="single" w:sz="4" w:space="0" w:color="auto"/>
              <w:left w:val="nil"/>
              <w:bottom w:val="single" w:sz="4" w:space="0" w:color="auto"/>
              <w:right w:val="nil"/>
            </w:tcBorders>
            <w:shd w:val="clear" w:color="000000" w:fill="EDEDED"/>
            <w:vAlign w:val="center"/>
            <w:hideMark/>
          </w:tcPr>
          <w:p w14:paraId="3AA6A1E8" w14:textId="5E0B6990" w:rsidR="00274385" w:rsidRPr="00FF1E05" w:rsidRDefault="00EC77E5" w:rsidP="005F3F4D">
            <w:pPr>
              <w:spacing w:after="0" w:line="240" w:lineRule="auto"/>
              <w:rPr>
                <w:rFonts w:eastAsia="Times New Roman" w:cs="Arial"/>
                <w:color w:val="000000"/>
                <w:sz w:val="18"/>
                <w:szCs w:val="32"/>
                <w:lang w:eastAsia="en-GB"/>
              </w:rPr>
            </w:pPr>
            <w:r w:rsidRPr="00FF1E05">
              <w:rPr>
                <w:rFonts w:eastAsia="Times New Roman" w:cs="Arial"/>
                <w:sz w:val="18"/>
                <w:szCs w:val="32"/>
                <w:lang w:eastAsia="en-GB"/>
              </w:rPr>
              <w:t>Range/groups</w:t>
            </w:r>
          </w:p>
        </w:tc>
        <w:tc>
          <w:tcPr>
            <w:tcW w:w="1451" w:type="dxa"/>
            <w:tcBorders>
              <w:top w:val="single" w:sz="4" w:space="0" w:color="auto"/>
              <w:left w:val="nil"/>
              <w:bottom w:val="single" w:sz="4" w:space="0" w:color="auto"/>
              <w:right w:val="nil"/>
            </w:tcBorders>
            <w:shd w:val="clear" w:color="000000" w:fill="EDEDED"/>
            <w:vAlign w:val="center"/>
            <w:hideMark/>
          </w:tcPr>
          <w:p w14:paraId="259E1727"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sz w:val="18"/>
                <w:szCs w:val="32"/>
                <w:lang w:eastAsia="en-GB"/>
              </w:rPr>
              <w:t>Study-balanced estimate</w:t>
            </w:r>
          </w:p>
        </w:tc>
        <w:tc>
          <w:tcPr>
            <w:tcW w:w="1570" w:type="dxa"/>
            <w:tcBorders>
              <w:top w:val="single" w:sz="4" w:space="0" w:color="auto"/>
              <w:left w:val="nil"/>
              <w:bottom w:val="single" w:sz="4" w:space="0" w:color="auto"/>
              <w:right w:val="nil"/>
            </w:tcBorders>
            <w:shd w:val="clear" w:color="000000" w:fill="EDEDED"/>
            <w:vAlign w:val="center"/>
            <w:hideMark/>
          </w:tcPr>
          <w:p w14:paraId="3CEAECCA"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sz w:val="18"/>
                <w:szCs w:val="32"/>
                <w:lang w:eastAsia="en-GB"/>
              </w:rPr>
              <w:t>Back-transformed interpretation</w:t>
            </w:r>
          </w:p>
        </w:tc>
        <w:tc>
          <w:tcPr>
            <w:tcW w:w="1431" w:type="dxa"/>
            <w:tcBorders>
              <w:top w:val="single" w:sz="4" w:space="0" w:color="auto"/>
              <w:left w:val="nil"/>
              <w:bottom w:val="single" w:sz="4" w:space="0" w:color="auto"/>
              <w:right w:val="nil"/>
            </w:tcBorders>
            <w:shd w:val="clear" w:color="000000" w:fill="EDEDED"/>
            <w:vAlign w:val="center"/>
            <w:hideMark/>
          </w:tcPr>
          <w:p w14:paraId="1B8ACF03"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sz w:val="18"/>
                <w:szCs w:val="32"/>
                <w:lang w:eastAsia="en-GB"/>
              </w:rPr>
              <w:t>Inference / within-study evidence</w:t>
            </w:r>
          </w:p>
        </w:tc>
      </w:tr>
      <w:tr w:rsidR="00274385" w:rsidRPr="00FF1E05" w14:paraId="0AA24199" w14:textId="77777777" w:rsidTr="009E044D">
        <w:trPr>
          <w:trHeight w:val="858"/>
        </w:trPr>
        <w:tc>
          <w:tcPr>
            <w:tcW w:w="1248" w:type="dxa"/>
            <w:tcBorders>
              <w:top w:val="single" w:sz="4" w:space="0" w:color="auto"/>
              <w:left w:val="nil"/>
              <w:bottom w:val="nil"/>
              <w:right w:val="nil"/>
            </w:tcBorders>
            <w:vAlign w:val="center"/>
            <w:hideMark/>
          </w:tcPr>
          <w:p w14:paraId="6F655572"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PFSA vs PFCA</w:t>
            </w:r>
          </w:p>
        </w:tc>
        <w:tc>
          <w:tcPr>
            <w:tcW w:w="1441" w:type="dxa"/>
            <w:tcBorders>
              <w:top w:val="single" w:sz="4" w:space="0" w:color="auto"/>
              <w:left w:val="nil"/>
              <w:bottom w:val="nil"/>
              <w:right w:val="nil"/>
            </w:tcBorders>
            <w:vAlign w:val="center"/>
            <w:hideMark/>
          </w:tcPr>
          <w:p w14:paraId="1D8BFAAA"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k=12 paired studies; 12 paired study contrasts</w:t>
            </w:r>
          </w:p>
        </w:tc>
        <w:tc>
          <w:tcPr>
            <w:tcW w:w="1506" w:type="dxa"/>
            <w:tcBorders>
              <w:top w:val="single" w:sz="4" w:space="0" w:color="auto"/>
              <w:left w:val="nil"/>
              <w:bottom w:val="nil"/>
              <w:right w:val="nil"/>
            </w:tcBorders>
            <w:vAlign w:val="center"/>
            <w:hideMark/>
          </w:tcPr>
          <w:p w14:paraId="1E1C162A"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Paired classes</w:t>
            </w:r>
          </w:p>
        </w:tc>
        <w:tc>
          <w:tcPr>
            <w:tcW w:w="1451" w:type="dxa"/>
            <w:tcBorders>
              <w:top w:val="single" w:sz="4" w:space="0" w:color="auto"/>
              <w:left w:val="nil"/>
              <w:bottom w:val="nil"/>
              <w:right w:val="nil"/>
            </w:tcBorders>
            <w:vAlign w:val="center"/>
            <w:hideMark/>
          </w:tcPr>
          <w:p w14:paraId="368B0AE5"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 xml:space="preserve">Median contrast=0.367 benefit </w:t>
            </w:r>
            <w:proofErr w:type="spellStart"/>
            <w:r w:rsidRPr="00FF1E05">
              <w:rPr>
                <w:rFonts w:eastAsia="Times New Roman" w:cs="Arial"/>
                <w:color w:val="000000"/>
                <w:sz w:val="18"/>
                <w:szCs w:val="32"/>
                <w:lang w:eastAsia="en-GB"/>
              </w:rPr>
              <w:t>lnRR</w:t>
            </w:r>
            <w:proofErr w:type="spellEnd"/>
          </w:p>
        </w:tc>
        <w:tc>
          <w:tcPr>
            <w:tcW w:w="1570" w:type="dxa"/>
            <w:tcBorders>
              <w:top w:val="single" w:sz="4" w:space="0" w:color="auto"/>
              <w:left w:val="nil"/>
              <w:bottom w:val="nil"/>
              <w:right w:val="nil"/>
            </w:tcBorders>
            <w:vAlign w:val="center"/>
            <w:hideMark/>
          </w:tcPr>
          <w:p w14:paraId="0F2DD188"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30.7% lower PFSA mobility ratio</w:t>
            </w:r>
          </w:p>
        </w:tc>
        <w:tc>
          <w:tcPr>
            <w:tcW w:w="1431" w:type="dxa"/>
            <w:tcBorders>
              <w:top w:val="single" w:sz="4" w:space="0" w:color="auto"/>
              <w:left w:val="nil"/>
              <w:bottom w:val="nil"/>
              <w:right w:val="nil"/>
            </w:tcBorders>
            <w:vAlign w:val="center"/>
            <w:hideMark/>
          </w:tcPr>
          <w:p w14:paraId="6BCBF5D1"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9/12 PFSA stronger; exact sign P=0.146; suggestive</w:t>
            </w:r>
          </w:p>
        </w:tc>
      </w:tr>
      <w:tr w:rsidR="00274385" w:rsidRPr="00FF1E05" w14:paraId="0928DE44" w14:textId="77777777" w:rsidTr="009E044D">
        <w:trPr>
          <w:trHeight w:val="1073"/>
        </w:trPr>
        <w:tc>
          <w:tcPr>
            <w:tcW w:w="1248" w:type="dxa"/>
            <w:tcBorders>
              <w:top w:val="nil"/>
              <w:left w:val="nil"/>
              <w:bottom w:val="nil"/>
              <w:right w:val="nil"/>
            </w:tcBorders>
            <w:vAlign w:val="center"/>
            <w:hideMark/>
          </w:tcPr>
          <w:p w14:paraId="0DBB4900"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Biochar dose</w:t>
            </w:r>
          </w:p>
        </w:tc>
        <w:tc>
          <w:tcPr>
            <w:tcW w:w="1441" w:type="dxa"/>
            <w:tcBorders>
              <w:top w:val="nil"/>
              <w:left w:val="nil"/>
              <w:bottom w:val="nil"/>
              <w:right w:val="nil"/>
            </w:tcBorders>
            <w:vAlign w:val="center"/>
            <w:hideMark/>
          </w:tcPr>
          <w:p w14:paraId="64EC443D"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 xml:space="preserve">k=11; </w:t>
            </w:r>
            <w:proofErr w:type="spellStart"/>
            <w:r w:rsidRPr="00FF1E05">
              <w:rPr>
                <w:rFonts w:eastAsia="Times New Roman" w:cs="Arial"/>
                <w:color w:val="000000"/>
                <w:sz w:val="18"/>
                <w:szCs w:val="32"/>
                <w:lang w:eastAsia="en-GB"/>
              </w:rPr>
              <w:t>nES</w:t>
            </w:r>
            <w:proofErr w:type="spellEnd"/>
            <w:r w:rsidRPr="00FF1E05">
              <w:rPr>
                <w:rFonts w:eastAsia="Times New Roman" w:cs="Arial"/>
                <w:color w:val="000000"/>
                <w:sz w:val="18"/>
                <w:szCs w:val="32"/>
                <w:lang w:eastAsia="en-GB"/>
              </w:rPr>
              <w:t>=520 exact rows; within-study slopes k=4</w:t>
            </w:r>
          </w:p>
        </w:tc>
        <w:tc>
          <w:tcPr>
            <w:tcW w:w="1506" w:type="dxa"/>
            <w:tcBorders>
              <w:top w:val="nil"/>
              <w:left w:val="nil"/>
              <w:bottom w:val="nil"/>
              <w:right w:val="nil"/>
            </w:tcBorders>
            <w:vAlign w:val="center"/>
            <w:hideMark/>
          </w:tcPr>
          <w:p w14:paraId="5702BDB0"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0.1-6% w/w</w:t>
            </w:r>
          </w:p>
        </w:tc>
        <w:tc>
          <w:tcPr>
            <w:tcW w:w="1451" w:type="dxa"/>
            <w:tcBorders>
              <w:top w:val="nil"/>
              <w:left w:val="nil"/>
              <w:bottom w:val="nil"/>
              <w:right w:val="nil"/>
            </w:tcBorders>
            <w:vAlign w:val="center"/>
            <w:hideMark/>
          </w:tcPr>
          <w:p w14:paraId="1F33E780"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 xml:space="preserve">Spearman ρ=0.334; Theil-Sen=0.1369 </w:t>
            </w:r>
            <w:proofErr w:type="spellStart"/>
            <w:r w:rsidRPr="00FF1E05">
              <w:rPr>
                <w:rFonts w:eastAsia="Times New Roman" w:cs="Arial"/>
                <w:color w:val="000000"/>
                <w:sz w:val="18"/>
                <w:szCs w:val="32"/>
                <w:lang w:eastAsia="en-GB"/>
              </w:rPr>
              <w:t>lnRR</w:t>
            </w:r>
            <w:proofErr w:type="spellEnd"/>
            <w:r w:rsidRPr="00FF1E05">
              <w:rPr>
                <w:rFonts w:eastAsia="Times New Roman" w:cs="Arial"/>
                <w:color w:val="000000"/>
                <w:sz w:val="18"/>
                <w:szCs w:val="32"/>
                <w:lang w:eastAsia="en-GB"/>
              </w:rPr>
              <w:t xml:space="preserve"> per +1%</w:t>
            </w:r>
          </w:p>
        </w:tc>
        <w:tc>
          <w:tcPr>
            <w:tcW w:w="1570" w:type="dxa"/>
            <w:tcBorders>
              <w:top w:val="nil"/>
              <w:left w:val="nil"/>
              <w:bottom w:val="nil"/>
              <w:right w:val="nil"/>
            </w:tcBorders>
            <w:vAlign w:val="center"/>
            <w:hideMark/>
          </w:tcPr>
          <w:p w14:paraId="2544D5D2"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12.8% lower mobility ratio per +1% w/w</w:t>
            </w:r>
          </w:p>
        </w:tc>
        <w:tc>
          <w:tcPr>
            <w:tcW w:w="1431" w:type="dxa"/>
            <w:tcBorders>
              <w:top w:val="nil"/>
              <w:left w:val="nil"/>
              <w:bottom w:val="nil"/>
              <w:right w:val="nil"/>
            </w:tcBorders>
            <w:vAlign w:val="center"/>
            <w:hideMark/>
          </w:tcPr>
          <w:p w14:paraId="5CCB953B"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Between-study P=0.315; 4/4 within-study slopes positive, sign P=0.125</w:t>
            </w:r>
          </w:p>
        </w:tc>
      </w:tr>
      <w:tr w:rsidR="00274385" w:rsidRPr="00FF1E05" w14:paraId="7C99F236" w14:textId="77777777" w:rsidTr="009E044D">
        <w:trPr>
          <w:trHeight w:val="1287"/>
        </w:trPr>
        <w:tc>
          <w:tcPr>
            <w:tcW w:w="1248" w:type="dxa"/>
            <w:tcBorders>
              <w:top w:val="nil"/>
              <w:left w:val="nil"/>
              <w:bottom w:val="nil"/>
              <w:right w:val="nil"/>
            </w:tcBorders>
            <w:vAlign w:val="center"/>
            <w:hideMark/>
          </w:tcPr>
          <w:p w14:paraId="7FE38468"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Soil TOC</w:t>
            </w:r>
          </w:p>
        </w:tc>
        <w:tc>
          <w:tcPr>
            <w:tcW w:w="1441" w:type="dxa"/>
            <w:tcBorders>
              <w:top w:val="nil"/>
              <w:left w:val="nil"/>
              <w:bottom w:val="nil"/>
              <w:right w:val="nil"/>
            </w:tcBorders>
            <w:vAlign w:val="center"/>
            <w:hideMark/>
          </w:tcPr>
          <w:p w14:paraId="565B8257"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 xml:space="preserve">k=12; </w:t>
            </w:r>
            <w:proofErr w:type="spellStart"/>
            <w:r w:rsidRPr="00FF1E05">
              <w:rPr>
                <w:rFonts w:eastAsia="Times New Roman" w:cs="Arial"/>
                <w:color w:val="000000"/>
                <w:sz w:val="18"/>
                <w:szCs w:val="32"/>
                <w:lang w:eastAsia="en-GB"/>
              </w:rPr>
              <w:t>nES</w:t>
            </w:r>
            <w:proofErr w:type="spellEnd"/>
            <w:r w:rsidRPr="00FF1E05">
              <w:rPr>
                <w:rFonts w:eastAsia="Times New Roman" w:cs="Arial"/>
                <w:color w:val="000000"/>
                <w:sz w:val="18"/>
                <w:szCs w:val="32"/>
                <w:lang w:eastAsia="en-GB"/>
              </w:rPr>
              <w:t>=578 exact rows; within-study slopes k=7</w:t>
            </w:r>
          </w:p>
        </w:tc>
        <w:tc>
          <w:tcPr>
            <w:tcW w:w="1506" w:type="dxa"/>
            <w:tcBorders>
              <w:top w:val="nil"/>
              <w:left w:val="nil"/>
              <w:bottom w:val="nil"/>
              <w:right w:val="nil"/>
            </w:tcBorders>
            <w:vAlign w:val="center"/>
            <w:hideMark/>
          </w:tcPr>
          <w:p w14:paraId="0FA4277D"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0.4-34.2%</w:t>
            </w:r>
          </w:p>
        </w:tc>
        <w:tc>
          <w:tcPr>
            <w:tcW w:w="1451" w:type="dxa"/>
            <w:tcBorders>
              <w:top w:val="nil"/>
              <w:left w:val="nil"/>
              <w:bottom w:val="nil"/>
              <w:right w:val="nil"/>
            </w:tcBorders>
            <w:vAlign w:val="center"/>
            <w:hideMark/>
          </w:tcPr>
          <w:p w14:paraId="278B9EC2"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Spearman ρ=-0.550; Theil-Sen=-0.0617 per +1 %-point</w:t>
            </w:r>
          </w:p>
        </w:tc>
        <w:tc>
          <w:tcPr>
            <w:tcW w:w="1570" w:type="dxa"/>
            <w:tcBorders>
              <w:top w:val="nil"/>
              <w:left w:val="nil"/>
              <w:bottom w:val="nil"/>
              <w:right w:val="nil"/>
            </w:tcBorders>
            <w:vAlign w:val="center"/>
            <w:hideMark/>
          </w:tcPr>
          <w:p w14:paraId="325642BB"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6.4% higher mobility ratio per +1 %-point TOC</w:t>
            </w:r>
          </w:p>
        </w:tc>
        <w:tc>
          <w:tcPr>
            <w:tcW w:w="1431" w:type="dxa"/>
            <w:tcBorders>
              <w:top w:val="nil"/>
              <w:left w:val="nil"/>
              <w:bottom w:val="nil"/>
              <w:right w:val="nil"/>
            </w:tcBorders>
            <w:vAlign w:val="center"/>
            <w:hideMark/>
          </w:tcPr>
          <w:p w14:paraId="324ADA00"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Between-study P=0.064; 7/7 within-study slopes negative, sign P=0.0156</w:t>
            </w:r>
          </w:p>
        </w:tc>
      </w:tr>
      <w:tr w:rsidR="00274385" w:rsidRPr="00FF1E05" w14:paraId="2FC97B58" w14:textId="77777777" w:rsidTr="009E044D">
        <w:trPr>
          <w:trHeight w:val="1073"/>
        </w:trPr>
        <w:tc>
          <w:tcPr>
            <w:tcW w:w="1248" w:type="dxa"/>
            <w:tcBorders>
              <w:top w:val="nil"/>
              <w:left w:val="nil"/>
              <w:bottom w:val="nil"/>
              <w:right w:val="nil"/>
            </w:tcBorders>
            <w:vAlign w:val="center"/>
            <w:hideMark/>
          </w:tcPr>
          <w:p w14:paraId="38EDF502"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Pyrolysis temperature</w:t>
            </w:r>
          </w:p>
        </w:tc>
        <w:tc>
          <w:tcPr>
            <w:tcW w:w="1441" w:type="dxa"/>
            <w:tcBorders>
              <w:top w:val="nil"/>
              <w:left w:val="nil"/>
              <w:bottom w:val="nil"/>
              <w:right w:val="nil"/>
            </w:tcBorders>
            <w:vAlign w:val="center"/>
            <w:hideMark/>
          </w:tcPr>
          <w:p w14:paraId="1BDD1D14"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 xml:space="preserve">k=11; </w:t>
            </w:r>
            <w:proofErr w:type="spellStart"/>
            <w:r w:rsidRPr="00FF1E05">
              <w:rPr>
                <w:rFonts w:eastAsia="Times New Roman" w:cs="Arial"/>
                <w:color w:val="000000"/>
                <w:sz w:val="18"/>
                <w:szCs w:val="32"/>
                <w:lang w:eastAsia="en-GB"/>
              </w:rPr>
              <w:t>nES</w:t>
            </w:r>
            <w:proofErr w:type="spellEnd"/>
            <w:r w:rsidRPr="00FF1E05">
              <w:rPr>
                <w:rFonts w:eastAsia="Times New Roman" w:cs="Arial"/>
                <w:color w:val="000000"/>
                <w:sz w:val="18"/>
                <w:szCs w:val="32"/>
                <w:lang w:eastAsia="en-GB"/>
              </w:rPr>
              <w:t>=393 exact rows; within-study slopes k=4</w:t>
            </w:r>
          </w:p>
        </w:tc>
        <w:tc>
          <w:tcPr>
            <w:tcW w:w="1506" w:type="dxa"/>
            <w:tcBorders>
              <w:top w:val="nil"/>
              <w:left w:val="nil"/>
              <w:bottom w:val="nil"/>
              <w:right w:val="nil"/>
            </w:tcBorders>
            <w:vAlign w:val="center"/>
            <w:hideMark/>
          </w:tcPr>
          <w:p w14:paraId="0CB14975"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350-1000 °C</w:t>
            </w:r>
          </w:p>
        </w:tc>
        <w:tc>
          <w:tcPr>
            <w:tcW w:w="1451" w:type="dxa"/>
            <w:tcBorders>
              <w:top w:val="nil"/>
              <w:left w:val="nil"/>
              <w:bottom w:val="nil"/>
              <w:right w:val="nil"/>
            </w:tcBorders>
            <w:vAlign w:val="center"/>
            <w:hideMark/>
          </w:tcPr>
          <w:p w14:paraId="085BC208"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Spearman ρ=-0.112; Theil-Sen=-0.000782 per °C</w:t>
            </w:r>
          </w:p>
        </w:tc>
        <w:tc>
          <w:tcPr>
            <w:tcW w:w="1570" w:type="dxa"/>
            <w:tcBorders>
              <w:top w:val="nil"/>
              <w:left w:val="nil"/>
              <w:bottom w:val="nil"/>
              <w:right w:val="nil"/>
            </w:tcBorders>
            <w:vAlign w:val="center"/>
            <w:hideMark/>
          </w:tcPr>
          <w:p w14:paraId="432F6D0C"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8.1% higher mobility ratio per +100 °C</w:t>
            </w:r>
          </w:p>
        </w:tc>
        <w:tc>
          <w:tcPr>
            <w:tcW w:w="1431" w:type="dxa"/>
            <w:tcBorders>
              <w:top w:val="nil"/>
              <w:left w:val="nil"/>
              <w:bottom w:val="nil"/>
              <w:right w:val="nil"/>
            </w:tcBorders>
            <w:vAlign w:val="center"/>
            <w:hideMark/>
          </w:tcPr>
          <w:p w14:paraId="0D772B6C"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Between-study P=0.743; 2/4 within-study slopes positive, sign P=1.000</w:t>
            </w:r>
          </w:p>
        </w:tc>
      </w:tr>
      <w:tr w:rsidR="00274385" w:rsidRPr="00FF1E05" w14:paraId="094A90E0" w14:textId="77777777" w:rsidTr="009E044D">
        <w:trPr>
          <w:trHeight w:val="1073"/>
        </w:trPr>
        <w:tc>
          <w:tcPr>
            <w:tcW w:w="1248" w:type="dxa"/>
            <w:tcBorders>
              <w:top w:val="nil"/>
              <w:left w:val="nil"/>
              <w:right w:val="nil"/>
            </w:tcBorders>
            <w:vAlign w:val="center"/>
            <w:hideMark/>
          </w:tcPr>
          <w:p w14:paraId="5F8D9FC8"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Contamination regime</w:t>
            </w:r>
          </w:p>
        </w:tc>
        <w:tc>
          <w:tcPr>
            <w:tcW w:w="1441" w:type="dxa"/>
            <w:tcBorders>
              <w:top w:val="nil"/>
              <w:left w:val="nil"/>
              <w:right w:val="nil"/>
            </w:tcBorders>
            <w:vAlign w:val="center"/>
            <w:hideMark/>
          </w:tcPr>
          <w:p w14:paraId="57379A11"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k=15 study medians; native/legacy k=6, introduced k=9</w:t>
            </w:r>
          </w:p>
        </w:tc>
        <w:tc>
          <w:tcPr>
            <w:tcW w:w="1506" w:type="dxa"/>
            <w:tcBorders>
              <w:top w:val="nil"/>
              <w:left w:val="nil"/>
              <w:right w:val="nil"/>
            </w:tcBorders>
            <w:vAlign w:val="center"/>
            <w:hideMark/>
          </w:tcPr>
          <w:p w14:paraId="0B1E52EC"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Native/legacy vs introduced</w:t>
            </w:r>
          </w:p>
        </w:tc>
        <w:tc>
          <w:tcPr>
            <w:tcW w:w="1451" w:type="dxa"/>
            <w:tcBorders>
              <w:top w:val="nil"/>
              <w:left w:val="nil"/>
              <w:right w:val="nil"/>
            </w:tcBorders>
            <w:vAlign w:val="center"/>
            <w:hideMark/>
          </w:tcPr>
          <w:p w14:paraId="255FEBEC"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 xml:space="preserve">Median benefit </w:t>
            </w:r>
            <w:proofErr w:type="spellStart"/>
            <w:r w:rsidRPr="00FF1E05">
              <w:rPr>
                <w:rFonts w:eastAsia="Times New Roman" w:cs="Arial"/>
                <w:color w:val="000000"/>
                <w:sz w:val="18"/>
                <w:szCs w:val="32"/>
                <w:lang w:eastAsia="en-GB"/>
              </w:rPr>
              <w:t>lnRR</w:t>
            </w:r>
            <w:proofErr w:type="spellEnd"/>
            <w:r w:rsidRPr="00FF1E05">
              <w:rPr>
                <w:rFonts w:eastAsia="Times New Roman" w:cs="Arial"/>
                <w:color w:val="000000"/>
                <w:sz w:val="18"/>
                <w:szCs w:val="32"/>
                <w:lang w:eastAsia="en-GB"/>
              </w:rPr>
              <w:t xml:space="preserve"> 0.871 vs 2.280; difference=1.408</w:t>
            </w:r>
          </w:p>
        </w:tc>
        <w:tc>
          <w:tcPr>
            <w:tcW w:w="1570" w:type="dxa"/>
            <w:tcBorders>
              <w:top w:val="nil"/>
              <w:left w:val="nil"/>
              <w:right w:val="nil"/>
            </w:tcBorders>
            <w:vAlign w:val="center"/>
            <w:hideMark/>
          </w:tcPr>
          <w:p w14:paraId="6BEA7B72"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75.5% lower mobility ratio in introduced-contamination studies</w:t>
            </w:r>
          </w:p>
        </w:tc>
        <w:tc>
          <w:tcPr>
            <w:tcW w:w="1431" w:type="dxa"/>
            <w:tcBorders>
              <w:top w:val="nil"/>
              <w:left w:val="nil"/>
              <w:right w:val="nil"/>
            </w:tcBorders>
            <w:vAlign w:val="center"/>
            <w:hideMark/>
          </w:tcPr>
          <w:p w14:paraId="1D8EC5E4"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Exact permutation P=0.096; contextual</w:t>
            </w:r>
          </w:p>
        </w:tc>
      </w:tr>
      <w:tr w:rsidR="00274385" w:rsidRPr="00FF1E05" w14:paraId="15D2FE5C" w14:textId="77777777" w:rsidTr="009E044D">
        <w:trPr>
          <w:trHeight w:val="1073"/>
        </w:trPr>
        <w:tc>
          <w:tcPr>
            <w:tcW w:w="1248" w:type="dxa"/>
            <w:tcBorders>
              <w:top w:val="nil"/>
              <w:left w:val="nil"/>
              <w:bottom w:val="single" w:sz="4" w:space="0" w:color="auto"/>
              <w:right w:val="nil"/>
            </w:tcBorders>
            <w:vAlign w:val="center"/>
            <w:hideMark/>
          </w:tcPr>
          <w:p w14:paraId="0CA49B13"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Experimental system</w:t>
            </w:r>
          </w:p>
        </w:tc>
        <w:tc>
          <w:tcPr>
            <w:tcW w:w="1441" w:type="dxa"/>
            <w:tcBorders>
              <w:top w:val="nil"/>
              <w:left w:val="nil"/>
              <w:bottom w:val="single" w:sz="4" w:space="0" w:color="auto"/>
              <w:right w:val="nil"/>
            </w:tcBorders>
            <w:vAlign w:val="center"/>
            <w:hideMark/>
          </w:tcPr>
          <w:p w14:paraId="21DDD623"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k=12 study medians; batch k=6, column/lysimeter k=6</w:t>
            </w:r>
          </w:p>
        </w:tc>
        <w:tc>
          <w:tcPr>
            <w:tcW w:w="1506" w:type="dxa"/>
            <w:tcBorders>
              <w:top w:val="nil"/>
              <w:left w:val="nil"/>
              <w:bottom w:val="single" w:sz="4" w:space="0" w:color="auto"/>
              <w:right w:val="nil"/>
            </w:tcBorders>
            <w:vAlign w:val="center"/>
            <w:hideMark/>
          </w:tcPr>
          <w:p w14:paraId="566CB2F6"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Batch/stabilization vs column/lysimeter</w:t>
            </w:r>
          </w:p>
        </w:tc>
        <w:tc>
          <w:tcPr>
            <w:tcW w:w="1451" w:type="dxa"/>
            <w:tcBorders>
              <w:top w:val="nil"/>
              <w:left w:val="nil"/>
              <w:bottom w:val="single" w:sz="4" w:space="0" w:color="auto"/>
              <w:right w:val="nil"/>
            </w:tcBorders>
            <w:vAlign w:val="center"/>
            <w:hideMark/>
          </w:tcPr>
          <w:p w14:paraId="231A74B1"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 xml:space="preserve">Median benefit </w:t>
            </w:r>
            <w:proofErr w:type="spellStart"/>
            <w:r w:rsidRPr="00FF1E05">
              <w:rPr>
                <w:rFonts w:eastAsia="Times New Roman" w:cs="Arial"/>
                <w:color w:val="000000"/>
                <w:sz w:val="18"/>
                <w:szCs w:val="32"/>
                <w:lang w:eastAsia="en-GB"/>
              </w:rPr>
              <w:t>lnRR</w:t>
            </w:r>
            <w:proofErr w:type="spellEnd"/>
            <w:r w:rsidRPr="00FF1E05">
              <w:rPr>
                <w:rFonts w:eastAsia="Times New Roman" w:cs="Arial"/>
                <w:color w:val="000000"/>
                <w:sz w:val="18"/>
                <w:szCs w:val="32"/>
                <w:lang w:eastAsia="en-GB"/>
              </w:rPr>
              <w:t xml:space="preserve"> 0.835 vs 1.242; difference=0.408</w:t>
            </w:r>
          </w:p>
        </w:tc>
        <w:tc>
          <w:tcPr>
            <w:tcW w:w="1570" w:type="dxa"/>
            <w:tcBorders>
              <w:top w:val="nil"/>
              <w:left w:val="nil"/>
              <w:bottom w:val="single" w:sz="4" w:space="0" w:color="auto"/>
              <w:right w:val="nil"/>
            </w:tcBorders>
            <w:vAlign w:val="center"/>
            <w:hideMark/>
          </w:tcPr>
          <w:p w14:paraId="48FB5E4D"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33.5% lower mobility ratio in column/lysimeter studies</w:t>
            </w:r>
          </w:p>
        </w:tc>
        <w:tc>
          <w:tcPr>
            <w:tcW w:w="1431" w:type="dxa"/>
            <w:tcBorders>
              <w:top w:val="nil"/>
              <w:left w:val="nil"/>
              <w:bottom w:val="single" w:sz="4" w:space="0" w:color="auto"/>
              <w:right w:val="nil"/>
            </w:tcBorders>
            <w:vAlign w:val="center"/>
            <w:hideMark/>
          </w:tcPr>
          <w:p w14:paraId="6E5D8C0F" w14:textId="77777777" w:rsidR="00274385" w:rsidRPr="00FF1E05" w:rsidRDefault="00274385" w:rsidP="005F3F4D">
            <w:pPr>
              <w:spacing w:after="0" w:line="240" w:lineRule="auto"/>
              <w:rPr>
                <w:rFonts w:eastAsia="Times New Roman" w:cs="Arial"/>
                <w:color w:val="000000"/>
                <w:sz w:val="18"/>
                <w:szCs w:val="32"/>
                <w:lang w:eastAsia="en-GB"/>
              </w:rPr>
            </w:pPr>
            <w:r w:rsidRPr="00FF1E05">
              <w:rPr>
                <w:rFonts w:eastAsia="Times New Roman" w:cs="Arial"/>
                <w:color w:val="000000"/>
                <w:sz w:val="18"/>
                <w:szCs w:val="32"/>
                <w:lang w:eastAsia="en-GB"/>
              </w:rPr>
              <w:t>Exact permutation P=0.481; contextual</w:t>
            </w:r>
          </w:p>
        </w:tc>
      </w:tr>
    </w:tbl>
    <w:p w14:paraId="21C25E55" w14:textId="370430B8" w:rsidR="009E044D" w:rsidRPr="00E43036" w:rsidRDefault="00274385" w:rsidP="009E044D">
      <w:pPr>
        <w:spacing w:before="60" w:after="120"/>
        <w:jc w:val="both"/>
        <w:rPr>
          <w:rFonts w:cs="Arial"/>
          <w:bCs/>
          <w:iCs/>
          <w:sz w:val="18"/>
          <w:szCs w:val="18"/>
        </w:rPr>
      </w:pPr>
      <w:r w:rsidRPr="00E43036">
        <w:rPr>
          <w:rFonts w:cs="Arial"/>
          <w:bCs/>
          <w:iCs/>
          <w:sz w:val="18"/>
          <w:szCs w:val="18"/>
        </w:rPr>
        <w:t xml:space="preserve">Note: </w:t>
      </w:r>
      <w:proofErr w:type="spellStart"/>
      <w:r w:rsidRPr="00E43036">
        <w:rPr>
          <w:rFonts w:cs="Arial"/>
          <w:bCs/>
          <w:iCs/>
          <w:sz w:val="18"/>
          <w:szCs w:val="18"/>
        </w:rPr>
        <w:t>nES</w:t>
      </w:r>
      <w:proofErr w:type="spellEnd"/>
      <w:r w:rsidRPr="00E43036">
        <w:rPr>
          <w:rFonts w:cs="Arial"/>
          <w:bCs/>
          <w:iCs/>
          <w:sz w:val="18"/>
          <w:szCs w:val="18"/>
        </w:rPr>
        <w:t xml:space="preserve"> denotes exact compound-resolved effect-size rows available in the corresponding moderator universe. These rows were collapsed to study-balanced summaries and are not independent replicates. Continuous moderator slopes are descriptive associations, not causal dose-response functions.</w:t>
      </w:r>
    </w:p>
    <w:p w14:paraId="5E95003C" w14:textId="6070BCF6" w:rsidR="009E044D" w:rsidRPr="00FF1E05" w:rsidRDefault="009E044D" w:rsidP="009E044D">
      <w:pPr>
        <w:keepNext/>
        <w:jc w:val="both"/>
        <w:rPr>
          <w:rFonts w:cs="Arial"/>
          <w:b/>
          <w:bCs/>
          <w:color w:val="000000" w:themeColor="text1"/>
          <w:sz w:val="22"/>
        </w:rPr>
      </w:pPr>
      <w:r w:rsidRPr="00FF1E05">
        <w:rPr>
          <w:rFonts w:cs="Arial"/>
          <w:b/>
          <w:bCs/>
          <w:color w:val="000000" w:themeColor="text1"/>
          <w:sz w:val="22"/>
        </w:rPr>
        <w:lastRenderedPageBreak/>
        <w:t>Supplementary Figures</w:t>
      </w:r>
    </w:p>
    <w:p w14:paraId="42AED055" w14:textId="77777777" w:rsidR="009E044D" w:rsidRPr="00FF1E05" w:rsidRDefault="009E044D" w:rsidP="009E044D">
      <w:pPr>
        <w:keepNext/>
        <w:jc w:val="both"/>
        <w:rPr>
          <w:rFonts w:cs="Arial"/>
          <w:b/>
          <w:bCs/>
          <w:color w:val="000000" w:themeColor="text1"/>
          <w:sz w:val="22"/>
        </w:rPr>
      </w:pPr>
    </w:p>
    <w:p w14:paraId="072333D8" w14:textId="77777777" w:rsidR="007F0C34" w:rsidRPr="00FF1E05" w:rsidRDefault="00ED14B9" w:rsidP="0072319D">
      <w:pPr>
        <w:jc w:val="both"/>
        <w:rPr>
          <w:rFonts w:cs="Arial"/>
          <w:color w:val="000000" w:themeColor="text1"/>
          <w:sz w:val="22"/>
        </w:rPr>
      </w:pPr>
      <w:r w:rsidRPr="00FF1E05">
        <w:rPr>
          <w:rFonts w:cs="Arial"/>
          <w:noProof/>
          <w:color w:val="000000" w:themeColor="text1"/>
          <w:sz w:val="22"/>
        </w:rPr>
        <w:drawing>
          <wp:inline distT="0" distB="0" distL="0" distR="0" wp14:anchorId="3DD1FB5D" wp14:editId="0EF338CC">
            <wp:extent cx="5360458" cy="64839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_PRISMA_2020_v8(1).png"/>
                    <pic:cNvPicPr/>
                  </pic:nvPicPr>
                  <pic:blipFill rotWithShape="1">
                    <a:blip r:embed="rId13"/>
                    <a:srcRect l="8892" t="6757" r="7664" b="6995"/>
                    <a:stretch>
                      <a:fillRect/>
                    </a:stretch>
                  </pic:blipFill>
                  <pic:spPr bwMode="auto">
                    <a:xfrm>
                      <a:off x="0" y="0"/>
                      <a:ext cx="5363650" cy="6487846"/>
                    </a:xfrm>
                    <a:prstGeom prst="rect">
                      <a:avLst/>
                    </a:prstGeom>
                    <a:ln>
                      <a:noFill/>
                    </a:ln>
                    <a:extLst>
                      <a:ext uri="{53640926-AAD7-44D8-BBD7-CCE9431645EC}">
                        <a14:shadowObscured xmlns:a14="http://schemas.microsoft.com/office/drawing/2010/main"/>
                      </a:ext>
                    </a:extLst>
                  </pic:spPr>
                </pic:pic>
              </a:graphicData>
            </a:graphic>
          </wp:inline>
        </w:drawing>
      </w:r>
    </w:p>
    <w:p w14:paraId="7520B054" w14:textId="77777777" w:rsidR="007A72CD" w:rsidRPr="00FF1E05" w:rsidRDefault="007A72CD" w:rsidP="007A72CD">
      <w:pPr>
        <w:jc w:val="both"/>
        <w:rPr>
          <w:rFonts w:cs="Arial"/>
          <w:color w:val="000000" w:themeColor="text1"/>
          <w:sz w:val="18"/>
          <w:szCs w:val="18"/>
        </w:rPr>
      </w:pPr>
    </w:p>
    <w:p w14:paraId="23955AE1" w14:textId="77777777" w:rsidR="007A72CD" w:rsidRPr="00FF1E05" w:rsidRDefault="007A72CD" w:rsidP="007A72CD">
      <w:pPr>
        <w:jc w:val="both"/>
        <w:rPr>
          <w:rFonts w:cs="Arial"/>
          <w:color w:val="000000" w:themeColor="text1"/>
          <w:sz w:val="18"/>
          <w:szCs w:val="18"/>
        </w:rPr>
      </w:pPr>
    </w:p>
    <w:p w14:paraId="0559DEC9" w14:textId="77777777" w:rsidR="009E044D" w:rsidRPr="00FF1E05" w:rsidRDefault="009E044D" w:rsidP="009E044D">
      <w:pPr>
        <w:jc w:val="both"/>
        <w:rPr>
          <w:rFonts w:cs="Arial"/>
          <w:color w:val="000000" w:themeColor="text1"/>
          <w:sz w:val="18"/>
          <w:szCs w:val="18"/>
        </w:rPr>
      </w:pPr>
      <w:r w:rsidRPr="00FF1E05">
        <w:rPr>
          <w:rFonts w:cs="Arial"/>
          <w:color w:val="000000" w:themeColor="text1"/>
          <w:sz w:val="18"/>
          <w:szCs w:val="18"/>
        </w:rPr>
        <w:t>Figure S1. PRISMA 2020 flow diagram for study identification, screening, eligibility and inclusion. The flow comprises 144 screened records, 117 title/abstract exclusions, 27 reports sought for retrieval, one report not retrieved, 26 full-text reports assessed, six full-text exclusions and 20 included primary studies. The included corpus contains 18 studies with quantitative information in at least one domain, 16 studies in the broad mobility synthesis and six in the variance-supported mobility core.</w:t>
      </w:r>
    </w:p>
    <w:p w14:paraId="6BFA631E" w14:textId="77777777" w:rsidR="009E044D" w:rsidRPr="00FF1E05" w:rsidRDefault="009E044D" w:rsidP="007A72CD">
      <w:pPr>
        <w:jc w:val="both"/>
        <w:rPr>
          <w:rFonts w:cs="Arial"/>
          <w:color w:val="000000" w:themeColor="text1"/>
          <w:sz w:val="18"/>
          <w:szCs w:val="18"/>
        </w:rPr>
      </w:pPr>
    </w:p>
    <w:p w14:paraId="28FC9A6C" w14:textId="77777777" w:rsidR="009E044D" w:rsidRPr="00FF1E05" w:rsidRDefault="009E044D" w:rsidP="007A72CD">
      <w:pPr>
        <w:jc w:val="both"/>
        <w:rPr>
          <w:rFonts w:cs="Arial"/>
          <w:color w:val="000000" w:themeColor="text1"/>
          <w:sz w:val="18"/>
          <w:szCs w:val="18"/>
        </w:rPr>
      </w:pPr>
    </w:p>
    <w:p w14:paraId="525E2316" w14:textId="77777777" w:rsidR="009E044D" w:rsidRPr="00FF1E05" w:rsidRDefault="009E044D" w:rsidP="007A72CD">
      <w:pPr>
        <w:jc w:val="both"/>
        <w:rPr>
          <w:rFonts w:cs="Arial"/>
          <w:color w:val="000000" w:themeColor="text1"/>
          <w:sz w:val="18"/>
          <w:szCs w:val="18"/>
        </w:rPr>
      </w:pPr>
    </w:p>
    <w:p w14:paraId="210049C2" w14:textId="77777777" w:rsidR="009E044D" w:rsidRPr="00FF1E05" w:rsidRDefault="009E044D" w:rsidP="007A72CD">
      <w:pPr>
        <w:jc w:val="both"/>
        <w:rPr>
          <w:rFonts w:cs="Arial"/>
          <w:color w:val="000000" w:themeColor="text1"/>
          <w:sz w:val="18"/>
          <w:szCs w:val="18"/>
        </w:rPr>
      </w:pPr>
    </w:p>
    <w:p w14:paraId="4F912B63" w14:textId="71AF2CA1" w:rsidR="007F0C34" w:rsidRPr="00FF1E05" w:rsidRDefault="007F0C34" w:rsidP="0072319D">
      <w:pPr>
        <w:keepNext/>
        <w:jc w:val="both"/>
        <w:rPr>
          <w:rFonts w:cs="Arial"/>
          <w:color w:val="000000" w:themeColor="text1"/>
          <w:sz w:val="18"/>
          <w:szCs w:val="18"/>
        </w:rPr>
      </w:pPr>
    </w:p>
    <w:p w14:paraId="0F3A551A" w14:textId="77777777" w:rsidR="007F0C34" w:rsidRPr="00FF1E05" w:rsidRDefault="00ED14B9" w:rsidP="0072319D">
      <w:pPr>
        <w:jc w:val="both"/>
        <w:rPr>
          <w:rFonts w:cs="Arial"/>
          <w:color w:val="000000" w:themeColor="text1"/>
          <w:sz w:val="22"/>
        </w:rPr>
      </w:pPr>
      <w:r w:rsidRPr="00FF1E05">
        <w:rPr>
          <w:rFonts w:cs="Arial"/>
          <w:noProof/>
          <w:color w:val="000000" w:themeColor="text1"/>
          <w:sz w:val="22"/>
        </w:rPr>
        <w:drawing>
          <wp:inline distT="0" distB="0" distL="0" distR="0" wp14:anchorId="40594106" wp14:editId="33484AF7">
            <wp:extent cx="5285384" cy="5486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2_leave_one_out(1).png"/>
                    <pic:cNvPicPr/>
                  </pic:nvPicPr>
                  <pic:blipFill>
                    <a:blip r:embed="rId14"/>
                    <a:stretch>
                      <a:fillRect/>
                    </a:stretch>
                  </pic:blipFill>
                  <pic:spPr>
                    <a:xfrm>
                      <a:off x="0" y="0"/>
                      <a:ext cx="5290645" cy="5491861"/>
                    </a:xfrm>
                    <a:prstGeom prst="rect">
                      <a:avLst/>
                    </a:prstGeom>
                  </pic:spPr>
                </pic:pic>
              </a:graphicData>
            </a:graphic>
          </wp:inline>
        </w:drawing>
      </w:r>
    </w:p>
    <w:p w14:paraId="2215EDFC" w14:textId="77777777" w:rsidR="007A72CD" w:rsidRPr="00FF1E05" w:rsidRDefault="007A72CD" w:rsidP="0072319D">
      <w:pPr>
        <w:jc w:val="both"/>
        <w:rPr>
          <w:rFonts w:cs="Arial"/>
          <w:color w:val="000000" w:themeColor="text1"/>
          <w:sz w:val="18"/>
          <w:szCs w:val="18"/>
        </w:rPr>
      </w:pPr>
    </w:p>
    <w:p w14:paraId="2091D55C" w14:textId="77777777" w:rsidR="009E044D" w:rsidRPr="00FF1E05" w:rsidRDefault="009E044D" w:rsidP="009E044D">
      <w:pPr>
        <w:jc w:val="both"/>
        <w:rPr>
          <w:rFonts w:cs="Arial"/>
          <w:color w:val="000000" w:themeColor="text1"/>
          <w:sz w:val="18"/>
          <w:szCs w:val="18"/>
        </w:rPr>
      </w:pPr>
      <w:r w:rsidRPr="00FF1E05">
        <w:rPr>
          <w:rFonts w:cs="Arial"/>
          <w:color w:val="000000" w:themeColor="text1"/>
          <w:sz w:val="18"/>
          <w:szCs w:val="18"/>
        </w:rPr>
        <w:t>Figure S2. Leave-one-study-out robustness of the study-balanced mobility and molecular-structure analyses. Panel (a) shows the exact-point study-level median mobility reduction after omitting each independent study; the horizontal reference line is the full-data exact median (62.0% lower mobility). Panels (b) and (c) show omission-specific medians for the long-minus-short chain contrast and the headgroup-adjusted carbon-number slope, respectively. The dashed zero line denotes no chain-class difference or no carbon-number gradient. Both molecular-structure conclusions remained positive under every study omission.</w:t>
      </w:r>
    </w:p>
    <w:p w14:paraId="4264EF05" w14:textId="77777777" w:rsidR="007A72CD" w:rsidRPr="00FF1E05" w:rsidRDefault="007A72CD" w:rsidP="0072319D">
      <w:pPr>
        <w:jc w:val="both"/>
        <w:rPr>
          <w:rFonts w:cs="Arial"/>
          <w:color w:val="000000" w:themeColor="text1"/>
          <w:sz w:val="18"/>
          <w:szCs w:val="18"/>
        </w:rPr>
      </w:pPr>
    </w:p>
    <w:p w14:paraId="6C95E2A5" w14:textId="77777777" w:rsidR="007A72CD" w:rsidRPr="00FF1E05" w:rsidRDefault="007A72CD" w:rsidP="0072319D">
      <w:pPr>
        <w:jc w:val="both"/>
        <w:rPr>
          <w:rFonts w:cs="Arial"/>
          <w:color w:val="000000" w:themeColor="text1"/>
          <w:sz w:val="18"/>
          <w:szCs w:val="18"/>
        </w:rPr>
      </w:pPr>
    </w:p>
    <w:p w14:paraId="18F6E0AC" w14:textId="77777777" w:rsidR="007A72CD" w:rsidRPr="00FF1E05" w:rsidRDefault="007A72CD" w:rsidP="0072319D">
      <w:pPr>
        <w:jc w:val="both"/>
        <w:rPr>
          <w:rFonts w:cs="Arial"/>
          <w:color w:val="000000" w:themeColor="text1"/>
          <w:sz w:val="18"/>
          <w:szCs w:val="18"/>
        </w:rPr>
      </w:pPr>
    </w:p>
    <w:p w14:paraId="2F98F307" w14:textId="77777777" w:rsidR="007A72CD" w:rsidRPr="00FF1E05" w:rsidRDefault="007A72CD" w:rsidP="0072319D">
      <w:pPr>
        <w:jc w:val="both"/>
        <w:rPr>
          <w:rFonts w:cs="Arial"/>
          <w:color w:val="000000" w:themeColor="text1"/>
          <w:sz w:val="18"/>
          <w:szCs w:val="18"/>
        </w:rPr>
      </w:pPr>
    </w:p>
    <w:p w14:paraId="129F6A42" w14:textId="77777777" w:rsidR="007A72CD" w:rsidRPr="00FF1E05" w:rsidRDefault="007A72CD" w:rsidP="0072319D">
      <w:pPr>
        <w:jc w:val="both"/>
        <w:rPr>
          <w:rFonts w:cs="Arial"/>
          <w:color w:val="000000" w:themeColor="text1"/>
          <w:sz w:val="18"/>
          <w:szCs w:val="18"/>
        </w:rPr>
      </w:pPr>
    </w:p>
    <w:p w14:paraId="3240734A" w14:textId="77777777" w:rsidR="007A72CD" w:rsidRPr="00FF1E05" w:rsidRDefault="007A72CD" w:rsidP="0072319D">
      <w:pPr>
        <w:jc w:val="both"/>
        <w:rPr>
          <w:rFonts w:cs="Arial"/>
          <w:color w:val="000000" w:themeColor="text1"/>
          <w:sz w:val="18"/>
          <w:szCs w:val="18"/>
        </w:rPr>
      </w:pPr>
    </w:p>
    <w:p w14:paraId="5532FA71" w14:textId="77777777" w:rsidR="007A72CD" w:rsidRPr="00FF1E05" w:rsidRDefault="007A72CD" w:rsidP="0072319D">
      <w:pPr>
        <w:jc w:val="both"/>
        <w:rPr>
          <w:rFonts w:cs="Arial"/>
          <w:color w:val="000000" w:themeColor="text1"/>
          <w:sz w:val="18"/>
          <w:szCs w:val="18"/>
        </w:rPr>
      </w:pPr>
    </w:p>
    <w:p w14:paraId="6EB069D7" w14:textId="77777777" w:rsidR="007A72CD" w:rsidRPr="00FF1E05" w:rsidRDefault="007A72CD" w:rsidP="0072319D">
      <w:pPr>
        <w:jc w:val="both"/>
        <w:rPr>
          <w:rFonts w:cs="Arial"/>
          <w:color w:val="000000" w:themeColor="text1"/>
          <w:sz w:val="18"/>
          <w:szCs w:val="18"/>
        </w:rPr>
      </w:pPr>
    </w:p>
    <w:p w14:paraId="05991423" w14:textId="669B9837" w:rsidR="007A72CD" w:rsidRPr="00FF1E05" w:rsidRDefault="00ED14B9" w:rsidP="009E044D">
      <w:pPr>
        <w:jc w:val="both"/>
        <w:rPr>
          <w:rFonts w:cs="Arial"/>
          <w:color w:val="000000" w:themeColor="text1"/>
          <w:sz w:val="22"/>
        </w:rPr>
      </w:pPr>
      <w:r w:rsidRPr="00FF1E05">
        <w:rPr>
          <w:rFonts w:cs="Arial"/>
          <w:noProof/>
          <w:color w:val="000000" w:themeColor="text1"/>
          <w:sz w:val="22"/>
        </w:rPr>
        <w:drawing>
          <wp:inline distT="0" distB="0" distL="0" distR="0" wp14:anchorId="652448E6" wp14:editId="1F1716B8">
            <wp:extent cx="5261628" cy="2528048"/>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3_variance_sensitivity(1).png"/>
                    <pic:cNvPicPr/>
                  </pic:nvPicPr>
                  <pic:blipFill>
                    <a:blip r:embed="rId15"/>
                    <a:stretch>
                      <a:fillRect/>
                    </a:stretch>
                  </pic:blipFill>
                  <pic:spPr>
                    <a:xfrm>
                      <a:off x="0" y="0"/>
                      <a:ext cx="5264733" cy="2529540"/>
                    </a:xfrm>
                    <a:prstGeom prst="rect">
                      <a:avLst/>
                    </a:prstGeom>
                  </pic:spPr>
                </pic:pic>
              </a:graphicData>
            </a:graphic>
          </wp:inline>
        </w:drawing>
      </w:r>
    </w:p>
    <w:p w14:paraId="71B360DC" w14:textId="77777777" w:rsidR="009E044D" w:rsidRPr="00FF1E05" w:rsidRDefault="009E044D" w:rsidP="009E044D">
      <w:pPr>
        <w:jc w:val="both"/>
        <w:rPr>
          <w:rFonts w:cs="Arial"/>
          <w:color w:val="000000" w:themeColor="text1"/>
          <w:sz w:val="18"/>
          <w:szCs w:val="18"/>
        </w:rPr>
      </w:pPr>
      <w:r w:rsidRPr="00FF1E05">
        <w:rPr>
          <w:rFonts w:cs="Arial"/>
          <w:color w:val="000000" w:themeColor="text1"/>
          <w:sz w:val="18"/>
          <w:szCs w:val="18"/>
        </w:rPr>
        <w:t xml:space="preserve">Figure S3. Variance-supported sensitivity analyses. Panel a compares the study-level REML + Hartung-Knapp estimate, the multilevel REML + study-clustered CR2 estimate and the eight-study missing-variance expansion. Error bars are 95% confidence intervals on the benefit-aligned </w:t>
      </w:r>
      <w:proofErr w:type="spellStart"/>
      <w:r w:rsidRPr="00FF1E05">
        <w:rPr>
          <w:rFonts w:cs="Arial"/>
          <w:color w:val="000000" w:themeColor="text1"/>
          <w:sz w:val="18"/>
          <w:szCs w:val="18"/>
        </w:rPr>
        <w:t>lnRR</w:t>
      </w:r>
      <w:proofErr w:type="spellEnd"/>
      <w:r w:rsidRPr="00FF1E05">
        <w:rPr>
          <w:rFonts w:cs="Arial"/>
          <w:color w:val="000000" w:themeColor="text1"/>
          <w:sz w:val="18"/>
          <w:szCs w:val="18"/>
        </w:rPr>
        <w:t xml:space="preserve"> scale; zero denotes no effect. Panel b shows the multilevel estimate across assumed within-context correlations from 0 to 0.8. The point estimate was insensitive to this working-correlation assumption.</w:t>
      </w:r>
    </w:p>
    <w:p w14:paraId="46597A3D" w14:textId="77777777" w:rsidR="009E044D" w:rsidRPr="00FF1E05" w:rsidRDefault="009E044D" w:rsidP="007A72CD">
      <w:pPr>
        <w:jc w:val="both"/>
        <w:rPr>
          <w:rFonts w:cs="Arial"/>
          <w:color w:val="000000" w:themeColor="text1"/>
          <w:sz w:val="18"/>
          <w:szCs w:val="18"/>
        </w:rPr>
      </w:pPr>
    </w:p>
    <w:p w14:paraId="36C2DE33" w14:textId="77777777" w:rsidR="008F7E28" w:rsidRPr="00FF1E05" w:rsidRDefault="008F7E28" w:rsidP="007A72CD">
      <w:pPr>
        <w:jc w:val="both"/>
        <w:rPr>
          <w:rFonts w:cs="Arial"/>
          <w:color w:val="000000" w:themeColor="text1"/>
          <w:sz w:val="18"/>
          <w:szCs w:val="18"/>
        </w:rPr>
      </w:pPr>
    </w:p>
    <w:p w14:paraId="76FC8BCC" w14:textId="77777777" w:rsidR="008F7E28" w:rsidRPr="00FF1E05" w:rsidRDefault="008F7E28" w:rsidP="007A72CD">
      <w:pPr>
        <w:jc w:val="both"/>
        <w:rPr>
          <w:rFonts w:cs="Arial"/>
          <w:color w:val="000000" w:themeColor="text1"/>
          <w:sz w:val="18"/>
          <w:szCs w:val="18"/>
        </w:rPr>
      </w:pPr>
    </w:p>
    <w:p w14:paraId="049B0629" w14:textId="77777777" w:rsidR="008F7E28" w:rsidRPr="00FF1E05" w:rsidRDefault="008F7E28" w:rsidP="007A72CD">
      <w:pPr>
        <w:jc w:val="both"/>
        <w:rPr>
          <w:rFonts w:cs="Arial"/>
          <w:color w:val="000000" w:themeColor="text1"/>
          <w:sz w:val="18"/>
          <w:szCs w:val="18"/>
        </w:rPr>
      </w:pPr>
    </w:p>
    <w:p w14:paraId="46CD6BD5" w14:textId="77777777" w:rsidR="008F7E28" w:rsidRPr="00FF1E05" w:rsidRDefault="008F7E28" w:rsidP="007A72CD">
      <w:pPr>
        <w:jc w:val="both"/>
        <w:rPr>
          <w:rFonts w:cs="Arial"/>
          <w:color w:val="000000" w:themeColor="text1"/>
          <w:sz w:val="18"/>
          <w:szCs w:val="18"/>
        </w:rPr>
      </w:pPr>
    </w:p>
    <w:p w14:paraId="33CAAAEC" w14:textId="77777777" w:rsidR="008F7E28" w:rsidRPr="00FF1E05" w:rsidRDefault="008F7E28" w:rsidP="007A72CD">
      <w:pPr>
        <w:jc w:val="both"/>
        <w:rPr>
          <w:rFonts w:cs="Arial"/>
          <w:color w:val="000000" w:themeColor="text1"/>
          <w:sz w:val="18"/>
          <w:szCs w:val="18"/>
        </w:rPr>
      </w:pPr>
    </w:p>
    <w:p w14:paraId="41F3FF46" w14:textId="77777777" w:rsidR="008F7E28" w:rsidRPr="00FF1E05" w:rsidRDefault="008F7E28" w:rsidP="007A72CD">
      <w:pPr>
        <w:jc w:val="both"/>
        <w:rPr>
          <w:rFonts w:cs="Arial"/>
          <w:color w:val="000000" w:themeColor="text1"/>
          <w:sz w:val="18"/>
          <w:szCs w:val="18"/>
        </w:rPr>
      </w:pPr>
    </w:p>
    <w:p w14:paraId="17E753F8" w14:textId="77777777" w:rsidR="008F7E28" w:rsidRPr="00FF1E05" w:rsidRDefault="008F7E28" w:rsidP="007A72CD">
      <w:pPr>
        <w:jc w:val="both"/>
        <w:rPr>
          <w:rFonts w:cs="Arial"/>
          <w:color w:val="000000" w:themeColor="text1"/>
          <w:sz w:val="18"/>
          <w:szCs w:val="18"/>
        </w:rPr>
      </w:pPr>
    </w:p>
    <w:p w14:paraId="60987CCF" w14:textId="77777777" w:rsidR="008F7E28" w:rsidRPr="00FF1E05" w:rsidRDefault="008F7E28" w:rsidP="007A72CD">
      <w:pPr>
        <w:jc w:val="both"/>
        <w:rPr>
          <w:rFonts w:cs="Arial"/>
          <w:color w:val="000000" w:themeColor="text1"/>
          <w:sz w:val="18"/>
          <w:szCs w:val="18"/>
        </w:rPr>
      </w:pPr>
    </w:p>
    <w:p w14:paraId="6D6BE425" w14:textId="77777777" w:rsidR="008F7E28" w:rsidRPr="00FF1E05" w:rsidRDefault="008F7E28" w:rsidP="007A72CD">
      <w:pPr>
        <w:jc w:val="both"/>
        <w:rPr>
          <w:rFonts w:cs="Arial"/>
          <w:color w:val="000000" w:themeColor="text1"/>
          <w:sz w:val="18"/>
          <w:szCs w:val="18"/>
        </w:rPr>
      </w:pPr>
    </w:p>
    <w:p w14:paraId="5DED15EE" w14:textId="77777777" w:rsidR="008F7E28" w:rsidRPr="00FF1E05" w:rsidRDefault="008F7E28" w:rsidP="007A72CD">
      <w:pPr>
        <w:jc w:val="both"/>
        <w:rPr>
          <w:rFonts w:cs="Arial"/>
          <w:color w:val="000000" w:themeColor="text1"/>
          <w:sz w:val="18"/>
          <w:szCs w:val="18"/>
        </w:rPr>
      </w:pPr>
    </w:p>
    <w:p w14:paraId="2307E05C" w14:textId="77777777" w:rsidR="008F7E28" w:rsidRPr="00FF1E05" w:rsidRDefault="008F7E28" w:rsidP="007A72CD">
      <w:pPr>
        <w:jc w:val="both"/>
        <w:rPr>
          <w:rFonts w:cs="Arial"/>
          <w:color w:val="000000" w:themeColor="text1"/>
          <w:sz w:val="18"/>
          <w:szCs w:val="18"/>
        </w:rPr>
      </w:pPr>
    </w:p>
    <w:p w14:paraId="5848C13D" w14:textId="77777777" w:rsidR="008F7E28" w:rsidRPr="00FF1E05" w:rsidRDefault="008F7E28" w:rsidP="007A72CD">
      <w:pPr>
        <w:jc w:val="both"/>
        <w:rPr>
          <w:rFonts w:cs="Arial"/>
          <w:color w:val="000000" w:themeColor="text1"/>
          <w:sz w:val="18"/>
          <w:szCs w:val="18"/>
        </w:rPr>
      </w:pPr>
    </w:p>
    <w:p w14:paraId="67C825DB" w14:textId="3399A62D" w:rsidR="007F0C34" w:rsidRPr="00FF1E05" w:rsidRDefault="007F0C34" w:rsidP="0072319D">
      <w:pPr>
        <w:keepNext/>
        <w:jc w:val="both"/>
        <w:rPr>
          <w:rFonts w:cs="Arial"/>
          <w:color w:val="000000" w:themeColor="text1"/>
          <w:sz w:val="18"/>
          <w:szCs w:val="18"/>
        </w:rPr>
      </w:pPr>
    </w:p>
    <w:p w14:paraId="04612757" w14:textId="77777777" w:rsidR="007F0C34" w:rsidRPr="00FF1E05" w:rsidRDefault="00ED14B9" w:rsidP="0072319D">
      <w:pPr>
        <w:jc w:val="both"/>
        <w:rPr>
          <w:rFonts w:cs="Arial"/>
          <w:color w:val="000000" w:themeColor="text1"/>
          <w:sz w:val="22"/>
        </w:rPr>
      </w:pPr>
      <w:r w:rsidRPr="00FF1E05">
        <w:rPr>
          <w:rFonts w:cs="Arial"/>
          <w:noProof/>
          <w:color w:val="000000" w:themeColor="text1"/>
          <w:sz w:val="22"/>
        </w:rPr>
        <w:drawing>
          <wp:inline distT="0" distB="0" distL="0" distR="0" wp14:anchorId="6E249046" wp14:editId="341ED2FA">
            <wp:extent cx="5291755" cy="2253130"/>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4_secondary_outcomes(1).png"/>
                    <pic:cNvPicPr/>
                  </pic:nvPicPr>
                  <pic:blipFill>
                    <a:blip r:embed="rId16"/>
                    <a:stretch>
                      <a:fillRect/>
                    </a:stretch>
                  </pic:blipFill>
                  <pic:spPr>
                    <a:xfrm>
                      <a:off x="0" y="0"/>
                      <a:ext cx="5310656" cy="2261178"/>
                    </a:xfrm>
                    <a:prstGeom prst="rect">
                      <a:avLst/>
                    </a:prstGeom>
                  </pic:spPr>
                </pic:pic>
              </a:graphicData>
            </a:graphic>
          </wp:inline>
        </w:drawing>
      </w:r>
    </w:p>
    <w:p w14:paraId="26CBAE56" w14:textId="77777777" w:rsidR="009E044D" w:rsidRPr="00FF1E05" w:rsidRDefault="009E044D" w:rsidP="009E044D">
      <w:pPr>
        <w:jc w:val="both"/>
        <w:rPr>
          <w:rFonts w:cs="Arial"/>
          <w:color w:val="000000" w:themeColor="text1"/>
          <w:sz w:val="18"/>
          <w:szCs w:val="18"/>
        </w:rPr>
      </w:pPr>
      <w:r w:rsidRPr="00FF1E05">
        <w:rPr>
          <w:rFonts w:cs="Arial"/>
          <w:color w:val="000000" w:themeColor="text1"/>
          <w:sz w:val="18"/>
          <w:szCs w:val="18"/>
        </w:rPr>
        <w:t xml:space="preserve">Figure S4. Study-level evidence for secondary soil-retention/accessibility and plant-uptake/bioavailability outcomes. Each point is a study-level, context-balanced estimate with a 95% confidence interval. Positive benefit-aligned </w:t>
      </w:r>
      <w:proofErr w:type="spellStart"/>
      <w:r w:rsidRPr="00FF1E05">
        <w:rPr>
          <w:rFonts w:cs="Arial"/>
          <w:color w:val="000000" w:themeColor="text1"/>
          <w:sz w:val="18"/>
          <w:szCs w:val="18"/>
        </w:rPr>
        <w:t>lnRR</w:t>
      </w:r>
      <w:proofErr w:type="spellEnd"/>
      <w:r w:rsidRPr="00FF1E05">
        <w:rPr>
          <w:rFonts w:cs="Arial"/>
          <w:color w:val="000000" w:themeColor="text1"/>
          <w:sz w:val="18"/>
          <w:szCs w:val="18"/>
        </w:rPr>
        <w:t xml:space="preserve"> denotes a </w:t>
      </w:r>
      <w:proofErr w:type="spellStart"/>
      <w:r w:rsidRPr="00FF1E05">
        <w:rPr>
          <w:rFonts w:cs="Arial"/>
          <w:color w:val="000000" w:themeColor="text1"/>
          <w:sz w:val="18"/>
          <w:szCs w:val="18"/>
        </w:rPr>
        <w:t>favourable</w:t>
      </w:r>
      <w:proofErr w:type="spellEnd"/>
      <w:r w:rsidRPr="00FF1E05">
        <w:rPr>
          <w:rFonts w:cs="Arial"/>
          <w:color w:val="000000" w:themeColor="text1"/>
          <w:sz w:val="18"/>
          <w:szCs w:val="18"/>
        </w:rPr>
        <w:t xml:space="preserve"> </w:t>
      </w:r>
      <w:proofErr w:type="spellStart"/>
      <w:r w:rsidRPr="00FF1E05">
        <w:rPr>
          <w:rFonts w:cs="Arial"/>
          <w:color w:val="000000" w:themeColor="text1"/>
          <w:sz w:val="18"/>
          <w:szCs w:val="18"/>
        </w:rPr>
        <w:t>stabilisation</w:t>
      </w:r>
      <w:proofErr w:type="spellEnd"/>
      <w:r w:rsidRPr="00FF1E05">
        <w:rPr>
          <w:rFonts w:cs="Arial"/>
          <w:color w:val="000000" w:themeColor="text1"/>
          <w:sz w:val="18"/>
          <w:szCs w:val="18"/>
        </w:rPr>
        <w:t xml:space="preserve"> outcome. Soil retention/accessibility had two benefit-aligned study estimates, whereas plant uptake/bioavailability had one </w:t>
      </w:r>
      <w:proofErr w:type="spellStart"/>
      <w:r w:rsidRPr="00FF1E05">
        <w:rPr>
          <w:rFonts w:cs="Arial"/>
          <w:color w:val="000000" w:themeColor="text1"/>
          <w:sz w:val="18"/>
          <w:szCs w:val="18"/>
        </w:rPr>
        <w:t>favourable</w:t>
      </w:r>
      <w:proofErr w:type="spellEnd"/>
      <w:r w:rsidRPr="00FF1E05">
        <w:rPr>
          <w:rFonts w:cs="Arial"/>
          <w:color w:val="000000" w:themeColor="text1"/>
          <w:sz w:val="18"/>
          <w:szCs w:val="18"/>
        </w:rPr>
        <w:t xml:space="preserve"> and one adverse study estimate under a </w:t>
      </w:r>
      <w:proofErr w:type="spellStart"/>
      <w:r w:rsidRPr="00FF1E05">
        <w:rPr>
          <w:rFonts w:cs="Arial"/>
          <w:color w:val="000000" w:themeColor="text1"/>
          <w:sz w:val="18"/>
          <w:szCs w:val="18"/>
        </w:rPr>
        <w:t>stabilisation</w:t>
      </w:r>
      <w:proofErr w:type="spellEnd"/>
      <w:r w:rsidRPr="00FF1E05">
        <w:rPr>
          <w:rFonts w:cs="Arial"/>
          <w:color w:val="000000" w:themeColor="text1"/>
          <w:sz w:val="18"/>
          <w:szCs w:val="18"/>
        </w:rPr>
        <w:t xml:space="preserve"> objective. No pooled estimate is shown because each domain had only two independent studies.</w:t>
      </w:r>
    </w:p>
    <w:p w14:paraId="6F6D05CC" w14:textId="77FA23D9" w:rsidR="00537FD5" w:rsidRPr="00FF1E05" w:rsidRDefault="00537FD5" w:rsidP="0072319D">
      <w:pPr>
        <w:jc w:val="both"/>
        <w:rPr>
          <w:rFonts w:cs="Arial"/>
          <w:color w:val="000000" w:themeColor="text1"/>
          <w:sz w:val="22"/>
        </w:rPr>
      </w:pPr>
    </w:p>
    <w:p w14:paraId="6B0B1BCB" w14:textId="1AD14D23" w:rsidR="00FE2160" w:rsidRPr="00FF1E05" w:rsidRDefault="00FE2160" w:rsidP="00403EC9">
      <w:pPr>
        <w:jc w:val="both"/>
        <w:rPr>
          <w:rFonts w:cs="Arial"/>
          <w:color w:val="000000" w:themeColor="text1"/>
          <w:sz w:val="22"/>
        </w:rPr>
      </w:pPr>
    </w:p>
    <w:p w14:paraId="254B5F17" w14:textId="38873E0F" w:rsidR="00DF18C7" w:rsidRPr="00FF1E05" w:rsidRDefault="00A16812" w:rsidP="00DF18C7">
      <w:pPr>
        <w:keepNext/>
        <w:pageBreakBefore/>
        <w:jc w:val="both"/>
        <w:rPr>
          <w:rFonts w:cs="Arial"/>
          <w:bCs/>
          <w:color w:val="000000" w:themeColor="text1"/>
          <w:sz w:val="18"/>
          <w:szCs w:val="18"/>
        </w:rPr>
      </w:pPr>
      <w:r w:rsidRPr="00FF1E05">
        <w:rPr>
          <w:rFonts w:cs="Arial"/>
          <w:noProof/>
          <w:color w:val="000000" w:themeColor="text1"/>
          <w:sz w:val="22"/>
        </w:rPr>
        <w:lastRenderedPageBreak/>
        <w:drawing>
          <wp:inline distT="0" distB="0" distL="0" distR="0" wp14:anchorId="37648477" wp14:editId="59C83401">
            <wp:extent cx="5490210" cy="7355205"/>
            <wp:effectExtent l="0" t="0" r="0" b="0"/>
            <wp:docPr id="666817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90210" cy="7355205"/>
                    </a:xfrm>
                    <a:prstGeom prst="rect">
                      <a:avLst/>
                    </a:prstGeom>
                    <a:noFill/>
                    <a:ln>
                      <a:noFill/>
                    </a:ln>
                  </pic:spPr>
                </pic:pic>
              </a:graphicData>
            </a:graphic>
          </wp:inline>
        </w:drawing>
      </w:r>
    </w:p>
    <w:p w14:paraId="007D32F6" w14:textId="58DF434E" w:rsidR="00A16812" w:rsidRPr="00FF1E05" w:rsidRDefault="00A16812" w:rsidP="00A16812">
      <w:pPr>
        <w:keepNext/>
        <w:pageBreakBefore/>
        <w:jc w:val="both"/>
        <w:rPr>
          <w:rFonts w:cs="Arial"/>
          <w:bCs/>
          <w:color w:val="000000" w:themeColor="text1"/>
          <w:sz w:val="18"/>
          <w:szCs w:val="18"/>
        </w:rPr>
      </w:pPr>
      <w:r w:rsidRPr="00FF1E05">
        <w:rPr>
          <w:rFonts w:cs="Arial"/>
          <w:bCs/>
          <w:color w:val="000000" w:themeColor="text1"/>
          <w:sz w:val="18"/>
          <w:szCs w:val="18"/>
        </w:rPr>
        <w:lastRenderedPageBreak/>
        <w:t xml:space="preserve">Figure S5. Orchard-style view of the extracted and paired evidence supporting PFAS mobility mechanisms. Panel a shows the 598 exact compound-resolved biochar-control effect-size rows from 14 studies as descriptive evidence density, with study-level medians providing the independent visual anchor. Panel b shows context-specific long-minus-short paired contrasts within each study, collapsed to one independent study median and </w:t>
      </w:r>
      <w:proofErr w:type="spellStart"/>
      <w:r w:rsidRPr="00FF1E05">
        <w:rPr>
          <w:rFonts w:cs="Arial"/>
          <w:bCs/>
          <w:color w:val="000000" w:themeColor="text1"/>
          <w:sz w:val="18"/>
          <w:szCs w:val="18"/>
        </w:rPr>
        <w:t>summarised</w:t>
      </w:r>
      <w:proofErr w:type="spellEnd"/>
      <w:r w:rsidRPr="00FF1E05">
        <w:rPr>
          <w:rFonts w:cs="Arial"/>
          <w:bCs/>
          <w:color w:val="000000" w:themeColor="text1"/>
          <w:sz w:val="18"/>
          <w:szCs w:val="18"/>
        </w:rPr>
        <w:t xml:space="preserve"> across 12 paired studies. Panel c shows the analogous PFSA-minus-PFCA paired contrasts across 12 studies. Row-level and context-level points are displayed to show the underlying evidence structure but are not treated as independent replicates; cross-study inference remains </w:t>
      </w:r>
      <w:r w:rsidR="008F7E28" w:rsidRPr="00FF1E05">
        <w:rPr>
          <w:rFonts w:cs="Arial"/>
          <w:bCs/>
          <w:color w:val="000000" w:themeColor="text1"/>
          <w:sz w:val="18"/>
          <w:szCs w:val="18"/>
        </w:rPr>
        <w:t>study-balanced</w:t>
      </w:r>
      <w:r w:rsidRPr="00FF1E05">
        <w:rPr>
          <w:rFonts w:cs="Arial"/>
          <w:bCs/>
          <w:color w:val="000000" w:themeColor="text1"/>
          <w:sz w:val="18"/>
          <w:szCs w:val="18"/>
        </w:rPr>
        <w:t>. The vertical reference line denotes no effect or no paired difference, as appropriate.</w:t>
      </w:r>
    </w:p>
    <w:p w14:paraId="362CAB45" w14:textId="77777777" w:rsidR="008F7E28" w:rsidRDefault="008F7E28" w:rsidP="0072319D">
      <w:pPr>
        <w:keepNext/>
        <w:jc w:val="both"/>
        <w:rPr>
          <w:rFonts w:cs="Arial"/>
          <w:b/>
          <w:bCs/>
          <w:color w:val="000000" w:themeColor="text1"/>
          <w:sz w:val="22"/>
        </w:rPr>
      </w:pPr>
    </w:p>
    <w:p w14:paraId="127A27CA" w14:textId="24B8A5A9" w:rsidR="00F21CBA" w:rsidRDefault="00E54495" w:rsidP="0072319D">
      <w:pPr>
        <w:keepNext/>
        <w:jc w:val="both"/>
        <w:rPr>
          <w:rFonts w:cs="Arial"/>
          <w:b/>
          <w:bCs/>
          <w:color w:val="000000" w:themeColor="text1"/>
          <w:sz w:val="22"/>
        </w:rPr>
      </w:pPr>
      <w:r>
        <w:rPr>
          <w:rFonts w:cs="Arial"/>
          <w:b/>
          <w:bCs/>
          <w:color w:val="000000" w:themeColor="text1"/>
          <w:sz w:val="22"/>
        </w:rPr>
        <w:t>Distribution of studies</w:t>
      </w:r>
    </w:p>
    <w:p w14:paraId="4910B7F4" w14:textId="28AD555B" w:rsidR="00E54495" w:rsidRDefault="008F44F7" w:rsidP="0072319D">
      <w:pPr>
        <w:keepNext/>
        <w:jc w:val="both"/>
        <w:rPr>
          <w:rFonts w:cs="Arial"/>
          <w:b/>
          <w:bCs/>
          <w:color w:val="000000" w:themeColor="text1"/>
          <w:sz w:val="22"/>
        </w:rPr>
      </w:pPr>
      <w:r>
        <w:rPr>
          <w:noProof/>
        </w:rPr>
        <w:drawing>
          <wp:inline distT="0" distB="0" distL="0" distR="0" wp14:anchorId="0650B361" wp14:editId="237B6DA6">
            <wp:extent cx="5490210" cy="2649855"/>
            <wp:effectExtent l="0" t="0" r="0" b="0"/>
            <wp:docPr id="1269310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90210" cy="2649855"/>
                    </a:xfrm>
                    <a:prstGeom prst="rect">
                      <a:avLst/>
                    </a:prstGeom>
                    <a:noFill/>
                    <a:ln>
                      <a:noFill/>
                    </a:ln>
                  </pic:spPr>
                </pic:pic>
              </a:graphicData>
            </a:graphic>
          </wp:inline>
        </w:drawing>
      </w:r>
    </w:p>
    <w:p w14:paraId="5F4DF071" w14:textId="160725B8" w:rsidR="00E54495" w:rsidRPr="00E54495" w:rsidRDefault="008F44F7" w:rsidP="0072319D">
      <w:pPr>
        <w:keepNext/>
        <w:jc w:val="both"/>
        <w:rPr>
          <w:rFonts w:cs="Arial"/>
          <w:color w:val="000000" w:themeColor="text1"/>
          <w:sz w:val="22"/>
        </w:rPr>
      </w:pPr>
      <w:r w:rsidRPr="008F44F7">
        <w:rPr>
          <w:rFonts w:cs="Arial"/>
          <w:color w:val="000000" w:themeColor="text1"/>
          <w:sz w:val="22"/>
        </w:rPr>
        <w:t>Figure S</w:t>
      </w:r>
      <w:r>
        <w:rPr>
          <w:rFonts w:cs="Arial"/>
          <w:color w:val="000000" w:themeColor="text1"/>
          <w:sz w:val="22"/>
        </w:rPr>
        <w:t>6</w:t>
      </w:r>
      <w:r w:rsidRPr="008F44F7">
        <w:rPr>
          <w:rFonts w:cs="Arial"/>
          <w:color w:val="000000" w:themeColor="text1"/>
          <w:sz w:val="22"/>
        </w:rPr>
        <w:t xml:space="preserve">. </w:t>
      </w:r>
      <w:r>
        <w:rPr>
          <w:rFonts w:cs="Arial"/>
          <w:color w:val="000000" w:themeColor="text1"/>
          <w:sz w:val="22"/>
        </w:rPr>
        <w:t>Global distribution of independent studies</w:t>
      </w:r>
      <w:r w:rsidR="001B3504">
        <w:rPr>
          <w:rFonts w:cs="Arial"/>
          <w:color w:val="000000" w:themeColor="text1"/>
          <w:sz w:val="22"/>
        </w:rPr>
        <w:t xml:space="preserve"> </w:t>
      </w:r>
      <w:r>
        <w:rPr>
          <w:rFonts w:cs="Arial"/>
          <w:color w:val="000000" w:themeColor="text1"/>
          <w:sz w:val="22"/>
        </w:rPr>
        <w:t xml:space="preserve">in the meta-analysis. Link to the Interactive map: </w:t>
      </w:r>
      <w:r w:rsidRPr="008F44F7">
        <w:rPr>
          <w:rFonts w:cs="Arial"/>
          <w:color w:val="000000" w:themeColor="text1"/>
          <w:sz w:val="22"/>
        </w:rPr>
        <w:t xml:space="preserve"> </w:t>
      </w:r>
      <w:r w:rsidR="00E54495" w:rsidRPr="00E54495">
        <w:rPr>
          <w:rFonts w:cs="Arial"/>
          <w:color w:val="000000" w:themeColor="text1"/>
          <w:sz w:val="22"/>
        </w:rPr>
        <w:t>https://datawrapper.dwcdn.net/0Lqo5/1/</w:t>
      </w:r>
    </w:p>
    <w:p w14:paraId="2A034EA3" w14:textId="77777777" w:rsidR="002676BA" w:rsidRDefault="002676BA" w:rsidP="0072319D">
      <w:pPr>
        <w:keepNext/>
        <w:jc w:val="both"/>
        <w:rPr>
          <w:rFonts w:cs="Arial"/>
          <w:b/>
          <w:bCs/>
          <w:color w:val="000000" w:themeColor="text1"/>
          <w:sz w:val="22"/>
        </w:rPr>
      </w:pPr>
    </w:p>
    <w:p w14:paraId="0A4D8B00" w14:textId="0A639978" w:rsidR="007F0C34" w:rsidRPr="00FF1E05" w:rsidRDefault="00ED14B9" w:rsidP="0072319D">
      <w:pPr>
        <w:keepNext/>
        <w:jc w:val="both"/>
        <w:rPr>
          <w:rFonts w:cs="Arial"/>
          <w:b/>
          <w:bCs/>
          <w:color w:val="000000" w:themeColor="text1"/>
          <w:sz w:val="22"/>
        </w:rPr>
      </w:pPr>
      <w:r w:rsidRPr="00FF1E05">
        <w:rPr>
          <w:rFonts w:cs="Arial"/>
          <w:b/>
          <w:bCs/>
          <w:color w:val="000000" w:themeColor="text1"/>
          <w:sz w:val="22"/>
        </w:rPr>
        <w:t>References to included studies</w:t>
      </w:r>
    </w:p>
    <w:p w14:paraId="5BDA3732" w14:textId="77777777" w:rsidR="007F0C34" w:rsidRPr="00FF1E05" w:rsidRDefault="00ED14B9" w:rsidP="0072319D">
      <w:pPr>
        <w:jc w:val="both"/>
        <w:rPr>
          <w:rFonts w:cs="Arial"/>
          <w:color w:val="000000" w:themeColor="text1"/>
          <w:sz w:val="22"/>
        </w:rPr>
      </w:pPr>
      <w:r w:rsidRPr="00FF1E05">
        <w:rPr>
          <w:rFonts w:cs="Arial"/>
          <w:color w:val="000000" w:themeColor="text1"/>
          <w:sz w:val="22"/>
          <w:lang w:val="en-GB"/>
        </w:rPr>
        <w:t xml:space="preserve">1. </w:t>
      </w:r>
      <w:proofErr w:type="spellStart"/>
      <w:r w:rsidRPr="00FF1E05">
        <w:rPr>
          <w:rFonts w:cs="Arial"/>
          <w:color w:val="000000" w:themeColor="text1"/>
          <w:sz w:val="22"/>
          <w:lang w:val="en-GB"/>
        </w:rPr>
        <w:t>Kupryianchyk</w:t>
      </w:r>
      <w:proofErr w:type="spellEnd"/>
      <w:r w:rsidRPr="00FF1E05">
        <w:rPr>
          <w:rFonts w:cs="Arial"/>
          <w:color w:val="000000" w:themeColor="text1"/>
          <w:sz w:val="22"/>
          <w:lang w:val="en-GB"/>
        </w:rPr>
        <w:t xml:space="preserve"> D., Hale S.E., </w:t>
      </w:r>
      <w:proofErr w:type="spellStart"/>
      <w:r w:rsidRPr="00FF1E05">
        <w:rPr>
          <w:rFonts w:cs="Arial"/>
          <w:color w:val="000000" w:themeColor="text1"/>
          <w:sz w:val="22"/>
          <w:lang w:val="en-GB"/>
        </w:rPr>
        <w:t>Breedveld</w:t>
      </w:r>
      <w:proofErr w:type="spellEnd"/>
      <w:r w:rsidRPr="00FF1E05">
        <w:rPr>
          <w:rFonts w:cs="Arial"/>
          <w:color w:val="000000" w:themeColor="text1"/>
          <w:sz w:val="22"/>
          <w:lang w:val="en-GB"/>
        </w:rPr>
        <w:t xml:space="preserve"> G.D., Cornelissen </w:t>
      </w:r>
      <w:proofErr w:type="gramStart"/>
      <w:r w:rsidRPr="00FF1E05">
        <w:rPr>
          <w:rFonts w:cs="Arial"/>
          <w:color w:val="000000" w:themeColor="text1"/>
          <w:sz w:val="22"/>
          <w:lang w:val="en-GB"/>
        </w:rPr>
        <w:t>G..</w:t>
      </w:r>
      <w:proofErr w:type="gramEnd"/>
      <w:r w:rsidRPr="00FF1E05">
        <w:rPr>
          <w:rFonts w:cs="Arial"/>
          <w:color w:val="000000" w:themeColor="text1"/>
          <w:sz w:val="22"/>
          <w:lang w:val="en-GB"/>
        </w:rPr>
        <w:t xml:space="preserve"> </w:t>
      </w:r>
      <w:r w:rsidRPr="00FF1E05">
        <w:rPr>
          <w:rFonts w:cs="Arial"/>
          <w:color w:val="000000" w:themeColor="text1"/>
          <w:sz w:val="22"/>
        </w:rPr>
        <w:t>Treatment of sites contaminated with perfluorinated compounds using biochar amendment. Chemosphere (2016), 142, 35-40. https://doi.org/10.1016/j.chemosphere.2015.04.085</w:t>
      </w:r>
    </w:p>
    <w:p w14:paraId="5D845BD8" w14:textId="77777777" w:rsidR="007F0C34" w:rsidRPr="00FF1E05" w:rsidRDefault="00ED14B9" w:rsidP="0072319D">
      <w:pPr>
        <w:jc w:val="both"/>
        <w:rPr>
          <w:rFonts w:cs="Arial"/>
          <w:color w:val="000000" w:themeColor="text1"/>
          <w:sz w:val="22"/>
        </w:rPr>
      </w:pPr>
      <w:r w:rsidRPr="00FF1E05">
        <w:rPr>
          <w:rFonts w:cs="Arial"/>
          <w:color w:val="000000" w:themeColor="text1"/>
          <w:sz w:val="22"/>
        </w:rPr>
        <w:t xml:space="preserve">2. Silvani L., Cornelissen G., Botnen </w:t>
      </w:r>
      <w:proofErr w:type="spellStart"/>
      <w:r w:rsidRPr="00FF1E05">
        <w:rPr>
          <w:rFonts w:cs="Arial"/>
          <w:color w:val="000000" w:themeColor="text1"/>
          <w:sz w:val="22"/>
        </w:rPr>
        <w:t>Smebye</w:t>
      </w:r>
      <w:proofErr w:type="spellEnd"/>
      <w:r w:rsidRPr="00FF1E05">
        <w:rPr>
          <w:rFonts w:cs="Arial"/>
          <w:color w:val="000000" w:themeColor="text1"/>
          <w:sz w:val="22"/>
        </w:rPr>
        <w:t xml:space="preserve"> A., Zhang Y., Okkenhaug G., Zimmerman A.R., Thune G., Sævarsson H., Hale </w:t>
      </w:r>
      <w:proofErr w:type="gramStart"/>
      <w:r w:rsidRPr="00FF1E05">
        <w:rPr>
          <w:rFonts w:cs="Arial"/>
          <w:color w:val="000000" w:themeColor="text1"/>
          <w:sz w:val="22"/>
        </w:rPr>
        <w:t>S.E..</w:t>
      </w:r>
      <w:proofErr w:type="gramEnd"/>
      <w:r w:rsidRPr="00FF1E05">
        <w:rPr>
          <w:rFonts w:cs="Arial"/>
          <w:color w:val="000000" w:themeColor="text1"/>
          <w:sz w:val="22"/>
        </w:rPr>
        <w:t xml:space="preserve"> Can biochar and designer biochar be used to remediate per- and polyfluorinated alkyl substances (PFAS) and lead and antimony contaminated </w:t>
      </w:r>
      <w:proofErr w:type="gramStart"/>
      <w:r w:rsidRPr="00FF1E05">
        <w:rPr>
          <w:rFonts w:cs="Arial"/>
          <w:color w:val="000000" w:themeColor="text1"/>
          <w:sz w:val="22"/>
        </w:rPr>
        <w:t>soils?.</w:t>
      </w:r>
      <w:proofErr w:type="gramEnd"/>
      <w:r w:rsidRPr="00FF1E05">
        <w:rPr>
          <w:rFonts w:cs="Arial"/>
          <w:color w:val="000000" w:themeColor="text1"/>
          <w:sz w:val="22"/>
        </w:rPr>
        <w:t xml:space="preserve"> Science of the Total Environment (2019), 694, 133693. https://doi.org/10.1016/j.scitotenv.2019.133693</w:t>
      </w:r>
    </w:p>
    <w:p w14:paraId="39C44FC6" w14:textId="77777777" w:rsidR="007F0C34" w:rsidRPr="00FF1E05" w:rsidRDefault="00ED14B9" w:rsidP="0072319D">
      <w:pPr>
        <w:jc w:val="both"/>
        <w:rPr>
          <w:rFonts w:cs="Arial"/>
          <w:color w:val="000000" w:themeColor="text1"/>
          <w:sz w:val="22"/>
        </w:rPr>
      </w:pPr>
      <w:r w:rsidRPr="00FF1E05">
        <w:rPr>
          <w:rFonts w:cs="Arial"/>
          <w:color w:val="000000" w:themeColor="text1"/>
          <w:sz w:val="22"/>
          <w:lang w:val="pt-PT"/>
        </w:rPr>
        <w:t xml:space="preserve">3. </w:t>
      </w:r>
      <w:proofErr w:type="spellStart"/>
      <w:r w:rsidRPr="00FF1E05">
        <w:rPr>
          <w:rFonts w:cs="Arial"/>
          <w:color w:val="000000" w:themeColor="text1"/>
          <w:sz w:val="22"/>
          <w:lang w:val="pt-PT"/>
        </w:rPr>
        <w:t>Askeland</w:t>
      </w:r>
      <w:proofErr w:type="spellEnd"/>
      <w:r w:rsidRPr="00FF1E05">
        <w:rPr>
          <w:rFonts w:cs="Arial"/>
          <w:color w:val="000000" w:themeColor="text1"/>
          <w:sz w:val="22"/>
          <w:lang w:val="pt-PT"/>
        </w:rPr>
        <w:t xml:space="preserve"> M., Clarke B.O., </w:t>
      </w:r>
      <w:proofErr w:type="spellStart"/>
      <w:r w:rsidRPr="00FF1E05">
        <w:rPr>
          <w:rFonts w:cs="Arial"/>
          <w:color w:val="000000" w:themeColor="text1"/>
          <w:sz w:val="22"/>
          <w:lang w:val="pt-PT"/>
        </w:rPr>
        <w:t>Cheema</w:t>
      </w:r>
      <w:proofErr w:type="spellEnd"/>
      <w:r w:rsidRPr="00FF1E05">
        <w:rPr>
          <w:rFonts w:cs="Arial"/>
          <w:color w:val="000000" w:themeColor="text1"/>
          <w:sz w:val="22"/>
          <w:lang w:val="pt-PT"/>
        </w:rPr>
        <w:t xml:space="preserve"> S.A., Mendez A., </w:t>
      </w:r>
      <w:proofErr w:type="spellStart"/>
      <w:r w:rsidRPr="00FF1E05">
        <w:rPr>
          <w:rFonts w:cs="Arial"/>
          <w:color w:val="000000" w:themeColor="text1"/>
          <w:sz w:val="22"/>
          <w:lang w:val="pt-PT"/>
        </w:rPr>
        <w:t>Gasco</w:t>
      </w:r>
      <w:proofErr w:type="spellEnd"/>
      <w:r w:rsidRPr="00FF1E05">
        <w:rPr>
          <w:rFonts w:cs="Arial"/>
          <w:color w:val="000000" w:themeColor="text1"/>
          <w:sz w:val="22"/>
          <w:lang w:val="pt-PT"/>
        </w:rPr>
        <w:t xml:space="preserve"> G., Paz-Ferreiro </w:t>
      </w:r>
      <w:proofErr w:type="gramStart"/>
      <w:r w:rsidRPr="00FF1E05">
        <w:rPr>
          <w:rFonts w:cs="Arial"/>
          <w:color w:val="000000" w:themeColor="text1"/>
          <w:sz w:val="22"/>
          <w:lang w:val="pt-PT"/>
        </w:rPr>
        <w:t>J..</w:t>
      </w:r>
      <w:proofErr w:type="gramEnd"/>
      <w:r w:rsidRPr="00FF1E05">
        <w:rPr>
          <w:rFonts w:cs="Arial"/>
          <w:color w:val="000000" w:themeColor="text1"/>
          <w:sz w:val="22"/>
          <w:lang w:val="pt-PT"/>
        </w:rPr>
        <w:t xml:space="preserve"> </w:t>
      </w:r>
      <w:r w:rsidRPr="00FF1E05">
        <w:rPr>
          <w:rFonts w:cs="Arial"/>
          <w:color w:val="000000" w:themeColor="text1"/>
          <w:sz w:val="22"/>
        </w:rPr>
        <w:t xml:space="preserve">Biochar sorption of PFOS, PFOA, </w:t>
      </w:r>
      <w:proofErr w:type="spellStart"/>
      <w:r w:rsidRPr="00FF1E05">
        <w:rPr>
          <w:rFonts w:cs="Arial"/>
          <w:color w:val="000000" w:themeColor="text1"/>
          <w:sz w:val="22"/>
        </w:rPr>
        <w:t>PFHxS</w:t>
      </w:r>
      <w:proofErr w:type="spellEnd"/>
      <w:r w:rsidRPr="00FF1E05">
        <w:rPr>
          <w:rFonts w:cs="Arial"/>
          <w:color w:val="000000" w:themeColor="text1"/>
          <w:sz w:val="22"/>
        </w:rPr>
        <w:t xml:space="preserve"> and </w:t>
      </w:r>
      <w:proofErr w:type="spellStart"/>
      <w:r w:rsidRPr="00FF1E05">
        <w:rPr>
          <w:rFonts w:cs="Arial"/>
          <w:color w:val="000000" w:themeColor="text1"/>
          <w:sz w:val="22"/>
        </w:rPr>
        <w:t>PFHxA</w:t>
      </w:r>
      <w:proofErr w:type="spellEnd"/>
      <w:r w:rsidRPr="00FF1E05">
        <w:rPr>
          <w:rFonts w:cs="Arial"/>
          <w:color w:val="000000" w:themeColor="text1"/>
          <w:sz w:val="22"/>
        </w:rPr>
        <w:t xml:space="preserve"> in two soils with contrasting texture. Chemosphere (2020), 249, 126072. https://doi.org/10.1016/j.chemosphere.2020.126072</w:t>
      </w:r>
    </w:p>
    <w:p w14:paraId="3B3544C2" w14:textId="77777777" w:rsidR="007F0C34" w:rsidRPr="00FF1E05" w:rsidRDefault="00ED14B9" w:rsidP="0072319D">
      <w:pPr>
        <w:jc w:val="both"/>
        <w:rPr>
          <w:rFonts w:cs="Arial"/>
          <w:color w:val="000000" w:themeColor="text1"/>
          <w:sz w:val="22"/>
        </w:rPr>
      </w:pPr>
      <w:r w:rsidRPr="00FF1E05">
        <w:rPr>
          <w:rFonts w:cs="Arial"/>
          <w:color w:val="000000" w:themeColor="text1"/>
          <w:sz w:val="22"/>
        </w:rPr>
        <w:t xml:space="preserve">4. Sørmo E., Silvani L., Bjerkli N., Hagemann N., Zimmerman A.R., Hale S.E., Hansen C.B., </w:t>
      </w:r>
      <w:proofErr w:type="spellStart"/>
      <w:r w:rsidRPr="00FF1E05">
        <w:rPr>
          <w:rFonts w:cs="Arial"/>
          <w:color w:val="000000" w:themeColor="text1"/>
          <w:sz w:val="22"/>
        </w:rPr>
        <w:t>Hartnik</w:t>
      </w:r>
      <w:proofErr w:type="spellEnd"/>
      <w:r w:rsidRPr="00FF1E05">
        <w:rPr>
          <w:rFonts w:cs="Arial"/>
          <w:color w:val="000000" w:themeColor="text1"/>
          <w:sz w:val="22"/>
        </w:rPr>
        <w:t xml:space="preserve"> T., Cornelissen </w:t>
      </w:r>
      <w:proofErr w:type="gramStart"/>
      <w:r w:rsidRPr="00FF1E05">
        <w:rPr>
          <w:rFonts w:cs="Arial"/>
          <w:color w:val="000000" w:themeColor="text1"/>
          <w:sz w:val="22"/>
        </w:rPr>
        <w:t>G..</w:t>
      </w:r>
      <w:proofErr w:type="gramEnd"/>
      <w:r w:rsidRPr="00FF1E05">
        <w:rPr>
          <w:rFonts w:cs="Arial"/>
          <w:color w:val="000000" w:themeColor="text1"/>
          <w:sz w:val="22"/>
        </w:rPr>
        <w:t xml:space="preserve"> Stabilization of PFAS-contaminated soil with activated biochar. Science of the Total Environment (2021), 763, 144034. https://doi.org/10.1016/j.scitotenv.2020.144034</w:t>
      </w:r>
    </w:p>
    <w:p w14:paraId="059B9A8D" w14:textId="77777777" w:rsidR="007F0C34" w:rsidRPr="00FF1E05" w:rsidRDefault="00ED14B9" w:rsidP="0072319D">
      <w:pPr>
        <w:jc w:val="both"/>
        <w:rPr>
          <w:rFonts w:cs="Arial"/>
          <w:color w:val="000000" w:themeColor="text1"/>
          <w:sz w:val="22"/>
        </w:rPr>
      </w:pPr>
      <w:r w:rsidRPr="00FF1E05">
        <w:rPr>
          <w:rFonts w:cs="Arial"/>
          <w:color w:val="000000" w:themeColor="text1"/>
          <w:sz w:val="22"/>
        </w:rPr>
        <w:lastRenderedPageBreak/>
        <w:t xml:space="preserve">5. Zhang W., Liang </w:t>
      </w:r>
      <w:proofErr w:type="gramStart"/>
      <w:r w:rsidRPr="00FF1E05">
        <w:rPr>
          <w:rFonts w:cs="Arial"/>
          <w:color w:val="000000" w:themeColor="text1"/>
          <w:sz w:val="22"/>
        </w:rPr>
        <w:t>Y..</w:t>
      </w:r>
      <w:proofErr w:type="gramEnd"/>
      <w:r w:rsidRPr="00FF1E05">
        <w:rPr>
          <w:rFonts w:cs="Arial"/>
          <w:color w:val="000000" w:themeColor="text1"/>
          <w:sz w:val="22"/>
        </w:rPr>
        <w:t xml:space="preserve"> Performance of different sorbents toward stabilizing per- and polyfluoroalkyl substances (PFAS) in soil. Environmental Advances (2022), 8, 100217. https://doi.org/10.1016/j.envadv.2022.100217</w:t>
      </w:r>
    </w:p>
    <w:p w14:paraId="3D84BF0E" w14:textId="77777777" w:rsidR="007F0C34" w:rsidRPr="00FF1E05" w:rsidRDefault="00ED14B9" w:rsidP="0072319D">
      <w:pPr>
        <w:jc w:val="both"/>
        <w:rPr>
          <w:rFonts w:cs="Arial"/>
          <w:color w:val="000000" w:themeColor="text1"/>
          <w:sz w:val="22"/>
        </w:rPr>
      </w:pPr>
      <w:r w:rsidRPr="00FF1E05">
        <w:rPr>
          <w:rFonts w:cs="Arial"/>
          <w:color w:val="000000" w:themeColor="text1"/>
          <w:sz w:val="22"/>
        </w:rPr>
        <w:t xml:space="preserve">6. Navarro D.A., Kabiri S., Ho J., Bowles K.C., Davis G., McLaughlin M.J., </w:t>
      </w:r>
      <w:proofErr w:type="spellStart"/>
      <w:r w:rsidRPr="00FF1E05">
        <w:rPr>
          <w:rFonts w:cs="Arial"/>
          <w:color w:val="000000" w:themeColor="text1"/>
          <w:sz w:val="22"/>
        </w:rPr>
        <w:t>Kookana</w:t>
      </w:r>
      <w:proofErr w:type="spellEnd"/>
      <w:r w:rsidRPr="00FF1E05">
        <w:rPr>
          <w:rFonts w:cs="Arial"/>
          <w:color w:val="000000" w:themeColor="text1"/>
          <w:sz w:val="22"/>
        </w:rPr>
        <w:t xml:space="preserve"> </w:t>
      </w:r>
      <w:proofErr w:type="gramStart"/>
      <w:r w:rsidRPr="00FF1E05">
        <w:rPr>
          <w:rFonts w:cs="Arial"/>
          <w:color w:val="000000" w:themeColor="text1"/>
          <w:sz w:val="22"/>
        </w:rPr>
        <w:t>R.S..</w:t>
      </w:r>
      <w:proofErr w:type="gramEnd"/>
      <w:r w:rsidRPr="00FF1E05">
        <w:rPr>
          <w:rFonts w:cs="Arial"/>
          <w:color w:val="000000" w:themeColor="text1"/>
          <w:sz w:val="22"/>
        </w:rPr>
        <w:t xml:space="preserve"> </w:t>
      </w:r>
      <w:proofErr w:type="spellStart"/>
      <w:r w:rsidRPr="00FF1E05">
        <w:rPr>
          <w:rFonts w:cs="Arial"/>
          <w:color w:val="000000" w:themeColor="text1"/>
          <w:sz w:val="22"/>
        </w:rPr>
        <w:t>Stabilisation</w:t>
      </w:r>
      <w:proofErr w:type="spellEnd"/>
      <w:r w:rsidRPr="00FF1E05">
        <w:rPr>
          <w:rFonts w:cs="Arial"/>
          <w:color w:val="000000" w:themeColor="text1"/>
          <w:sz w:val="22"/>
        </w:rPr>
        <w:t xml:space="preserve"> of PFAS in </w:t>
      </w:r>
      <w:proofErr w:type="gramStart"/>
      <w:r w:rsidRPr="00FF1E05">
        <w:rPr>
          <w:rFonts w:cs="Arial"/>
          <w:color w:val="000000" w:themeColor="text1"/>
          <w:sz w:val="22"/>
        </w:rPr>
        <w:t>soils</w:t>
      </w:r>
      <w:proofErr w:type="gramEnd"/>
      <w:r w:rsidRPr="00FF1E05">
        <w:rPr>
          <w:rFonts w:cs="Arial"/>
          <w:color w:val="000000" w:themeColor="text1"/>
          <w:sz w:val="22"/>
        </w:rPr>
        <w:t>: Long-term effectiveness of carbon-based soil amendments. Environmental Pollution (2023), 323, 121249. https://doi.org/10.1016/j.envpol.2023.121249</w:t>
      </w:r>
    </w:p>
    <w:p w14:paraId="28A25FE4" w14:textId="77777777" w:rsidR="007F0C34" w:rsidRPr="00FF1E05" w:rsidRDefault="00ED14B9" w:rsidP="0072319D">
      <w:pPr>
        <w:jc w:val="both"/>
        <w:rPr>
          <w:rFonts w:cs="Arial"/>
          <w:color w:val="000000" w:themeColor="text1"/>
          <w:sz w:val="22"/>
        </w:rPr>
      </w:pPr>
      <w:r w:rsidRPr="00FF1E05">
        <w:rPr>
          <w:rFonts w:cs="Arial"/>
          <w:color w:val="000000" w:themeColor="text1"/>
          <w:sz w:val="22"/>
        </w:rPr>
        <w:t xml:space="preserve">7. Kabiri S., Navarro D.A., Hamad S.A., </w:t>
      </w:r>
      <w:proofErr w:type="spellStart"/>
      <w:r w:rsidRPr="00FF1E05">
        <w:rPr>
          <w:rFonts w:cs="Arial"/>
          <w:color w:val="000000" w:themeColor="text1"/>
          <w:sz w:val="22"/>
        </w:rPr>
        <w:t>Grimison</w:t>
      </w:r>
      <w:proofErr w:type="spellEnd"/>
      <w:r w:rsidRPr="00FF1E05">
        <w:rPr>
          <w:rFonts w:cs="Arial"/>
          <w:color w:val="000000" w:themeColor="text1"/>
          <w:sz w:val="22"/>
        </w:rPr>
        <w:t xml:space="preserve"> C., Higgins C.P., Mueller J.F., </w:t>
      </w:r>
      <w:proofErr w:type="spellStart"/>
      <w:r w:rsidRPr="00FF1E05">
        <w:rPr>
          <w:rFonts w:cs="Arial"/>
          <w:color w:val="000000" w:themeColor="text1"/>
          <w:sz w:val="22"/>
        </w:rPr>
        <w:t>Kookana</w:t>
      </w:r>
      <w:proofErr w:type="spellEnd"/>
      <w:r w:rsidRPr="00FF1E05">
        <w:rPr>
          <w:rFonts w:cs="Arial"/>
          <w:color w:val="000000" w:themeColor="text1"/>
          <w:sz w:val="22"/>
        </w:rPr>
        <w:t xml:space="preserve"> R.S., McLaughlin </w:t>
      </w:r>
      <w:proofErr w:type="gramStart"/>
      <w:r w:rsidRPr="00FF1E05">
        <w:rPr>
          <w:rFonts w:cs="Arial"/>
          <w:color w:val="000000" w:themeColor="text1"/>
          <w:sz w:val="22"/>
        </w:rPr>
        <w:t>M.J..</w:t>
      </w:r>
      <w:proofErr w:type="gramEnd"/>
      <w:r w:rsidRPr="00FF1E05">
        <w:rPr>
          <w:rFonts w:cs="Arial"/>
          <w:color w:val="000000" w:themeColor="text1"/>
          <w:sz w:val="22"/>
        </w:rPr>
        <w:t xml:space="preserve"> Physical and chemical properties of carbon-based sorbents that affect the removal of per- and polyfluoroalkyl substances from solution and soil. Science of the Total Environment (2023), 875, 162653. https://doi.org/10.1016/j.scitotenv.2023.162653</w:t>
      </w:r>
    </w:p>
    <w:p w14:paraId="78458591" w14:textId="77777777" w:rsidR="007F0C34" w:rsidRPr="00FF1E05" w:rsidRDefault="00ED14B9" w:rsidP="0072319D">
      <w:pPr>
        <w:jc w:val="both"/>
        <w:rPr>
          <w:rFonts w:cs="Arial"/>
          <w:color w:val="000000" w:themeColor="text1"/>
          <w:sz w:val="22"/>
        </w:rPr>
      </w:pPr>
      <w:r w:rsidRPr="00FF1E05">
        <w:rPr>
          <w:rFonts w:cs="Arial"/>
          <w:color w:val="000000" w:themeColor="text1"/>
          <w:sz w:val="22"/>
        </w:rPr>
        <w:t xml:space="preserve">8. Sørmo E., Lade C.B.M., Zhang J., Asimakopoulos A.G., </w:t>
      </w:r>
      <w:proofErr w:type="spellStart"/>
      <w:r w:rsidRPr="00FF1E05">
        <w:rPr>
          <w:rFonts w:cs="Arial"/>
          <w:color w:val="000000" w:themeColor="text1"/>
          <w:sz w:val="22"/>
        </w:rPr>
        <w:t>Åsli</w:t>
      </w:r>
      <w:proofErr w:type="spellEnd"/>
      <w:r w:rsidRPr="00FF1E05">
        <w:rPr>
          <w:rFonts w:cs="Arial"/>
          <w:color w:val="000000" w:themeColor="text1"/>
          <w:sz w:val="22"/>
        </w:rPr>
        <w:t xml:space="preserve"> G.W., Hubert M., Goranov A.I., Arp H.P.H., Cornelissen </w:t>
      </w:r>
      <w:proofErr w:type="gramStart"/>
      <w:r w:rsidRPr="00FF1E05">
        <w:rPr>
          <w:rFonts w:cs="Arial"/>
          <w:color w:val="000000" w:themeColor="text1"/>
          <w:sz w:val="22"/>
        </w:rPr>
        <w:t>G..</w:t>
      </w:r>
      <w:proofErr w:type="gramEnd"/>
      <w:r w:rsidRPr="00FF1E05">
        <w:rPr>
          <w:rFonts w:cs="Arial"/>
          <w:color w:val="000000" w:themeColor="text1"/>
          <w:sz w:val="22"/>
        </w:rPr>
        <w:t xml:space="preserve"> Stabilization of PFAS-contaminated soil with sewage sludge- and wood-based biochar sorbents. Science of the Total Environment (2024), 922, 170971. https://doi.org/10.1016/j.scitotenv.2024.170971</w:t>
      </w:r>
    </w:p>
    <w:p w14:paraId="1E22006B" w14:textId="77777777" w:rsidR="007F0C34" w:rsidRPr="00FF1E05" w:rsidRDefault="00ED14B9" w:rsidP="0072319D">
      <w:pPr>
        <w:jc w:val="both"/>
        <w:rPr>
          <w:rFonts w:cs="Arial"/>
          <w:color w:val="000000" w:themeColor="text1"/>
          <w:sz w:val="22"/>
        </w:rPr>
      </w:pPr>
      <w:r w:rsidRPr="00FF1E05">
        <w:rPr>
          <w:rFonts w:cs="Arial"/>
          <w:color w:val="000000" w:themeColor="text1"/>
          <w:sz w:val="22"/>
        </w:rPr>
        <w:t xml:space="preserve">9. Holly M.A., Gunn K.M., Keymer D., Sanford </w:t>
      </w:r>
      <w:proofErr w:type="gramStart"/>
      <w:r w:rsidRPr="00FF1E05">
        <w:rPr>
          <w:rFonts w:cs="Arial"/>
          <w:color w:val="000000" w:themeColor="text1"/>
          <w:sz w:val="22"/>
        </w:rPr>
        <w:t>J.R..</w:t>
      </w:r>
      <w:proofErr w:type="gramEnd"/>
      <w:r w:rsidRPr="00FF1E05">
        <w:rPr>
          <w:rFonts w:cs="Arial"/>
          <w:color w:val="000000" w:themeColor="text1"/>
          <w:sz w:val="22"/>
        </w:rPr>
        <w:t xml:space="preserve"> Evaluation of Per- and Polyfluoroalkyl Substances Leaching from Biosolids and Mitigation Potential of Biochar through Undisturbed Soil Columns. ACS ES and T Water (2024), 4(2), 413-426. https://doi.org/10.1021/acsestwater.3c00414</w:t>
      </w:r>
    </w:p>
    <w:p w14:paraId="1976BC59" w14:textId="77777777" w:rsidR="007F0C34" w:rsidRPr="00FF1E05" w:rsidRDefault="00ED14B9" w:rsidP="0072319D">
      <w:pPr>
        <w:jc w:val="both"/>
        <w:rPr>
          <w:rFonts w:cs="Arial"/>
          <w:color w:val="000000" w:themeColor="text1"/>
          <w:sz w:val="22"/>
        </w:rPr>
      </w:pPr>
      <w:r w:rsidRPr="00FF1E05">
        <w:rPr>
          <w:rFonts w:cs="Arial"/>
          <w:color w:val="000000" w:themeColor="text1"/>
          <w:sz w:val="22"/>
        </w:rPr>
        <w:t xml:space="preserve">10. </w:t>
      </w:r>
      <w:proofErr w:type="spellStart"/>
      <w:r w:rsidRPr="00FF1E05">
        <w:rPr>
          <w:rFonts w:cs="Arial"/>
          <w:color w:val="000000" w:themeColor="text1"/>
          <w:sz w:val="22"/>
        </w:rPr>
        <w:t>Openiyi</w:t>
      </w:r>
      <w:proofErr w:type="spellEnd"/>
      <w:r w:rsidRPr="00FF1E05">
        <w:rPr>
          <w:rFonts w:cs="Arial"/>
          <w:color w:val="000000" w:themeColor="text1"/>
          <w:sz w:val="22"/>
        </w:rPr>
        <w:t xml:space="preserve"> E.O., Lee L.S., </w:t>
      </w:r>
      <w:proofErr w:type="spellStart"/>
      <w:r w:rsidRPr="00FF1E05">
        <w:rPr>
          <w:rFonts w:cs="Arial"/>
          <w:color w:val="000000" w:themeColor="text1"/>
          <w:sz w:val="22"/>
        </w:rPr>
        <w:t>Alukkal</w:t>
      </w:r>
      <w:proofErr w:type="spellEnd"/>
      <w:r w:rsidRPr="00FF1E05">
        <w:rPr>
          <w:rFonts w:cs="Arial"/>
          <w:color w:val="000000" w:themeColor="text1"/>
          <w:sz w:val="22"/>
        </w:rPr>
        <w:t xml:space="preserve"> </w:t>
      </w:r>
      <w:proofErr w:type="gramStart"/>
      <w:r w:rsidRPr="00FF1E05">
        <w:rPr>
          <w:rFonts w:cs="Arial"/>
          <w:color w:val="000000" w:themeColor="text1"/>
          <w:sz w:val="22"/>
        </w:rPr>
        <w:t>C.R..</w:t>
      </w:r>
      <w:proofErr w:type="gramEnd"/>
      <w:r w:rsidRPr="00FF1E05">
        <w:rPr>
          <w:rFonts w:cs="Arial"/>
          <w:color w:val="000000" w:themeColor="text1"/>
          <w:sz w:val="22"/>
        </w:rPr>
        <w:t xml:space="preserve"> Evaluating sorbents for reducing per- and polyfluoroalkyl substance mobility in biosolids-amended soil columns. Journal of Environmental Quality (2025), 54(1), 118-131. https://doi.org/10.1002/jeq2.20658</w:t>
      </w:r>
    </w:p>
    <w:p w14:paraId="7B247400" w14:textId="77777777" w:rsidR="007F0C34" w:rsidRPr="00FF1E05" w:rsidRDefault="00ED14B9" w:rsidP="0072319D">
      <w:pPr>
        <w:jc w:val="both"/>
        <w:rPr>
          <w:rFonts w:cs="Arial"/>
          <w:color w:val="000000" w:themeColor="text1"/>
          <w:sz w:val="22"/>
        </w:rPr>
      </w:pPr>
      <w:r w:rsidRPr="00FF1E05">
        <w:rPr>
          <w:rFonts w:cs="Arial"/>
          <w:color w:val="000000" w:themeColor="text1"/>
          <w:sz w:val="22"/>
        </w:rPr>
        <w:t xml:space="preserve">11. Battisti I., Trentin A.R., Sabia A., Masi A., Renella </w:t>
      </w:r>
      <w:proofErr w:type="gramStart"/>
      <w:r w:rsidRPr="00FF1E05">
        <w:rPr>
          <w:rFonts w:cs="Arial"/>
          <w:color w:val="000000" w:themeColor="text1"/>
          <w:sz w:val="22"/>
        </w:rPr>
        <w:t>G..</w:t>
      </w:r>
      <w:proofErr w:type="gramEnd"/>
      <w:r w:rsidRPr="00FF1E05">
        <w:rPr>
          <w:rFonts w:cs="Arial"/>
          <w:color w:val="000000" w:themeColor="text1"/>
          <w:sz w:val="22"/>
        </w:rPr>
        <w:t xml:space="preserve"> Soil Amendment with Biochar Reduces the Uptake and Translocation of Perfluoroalkyl Substances by Horticultural Plants Grown in a Polluted Area. Soil Systems (2025), 9(3), 100. https://doi.org/10.3390/soilsystems9030100</w:t>
      </w:r>
    </w:p>
    <w:p w14:paraId="408323C1" w14:textId="77777777" w:rsidR="007F0C34" w:rsidRPr="00FF1E05" w:rsidRDefault="00ED14B9" w:rsidP="0072319D">
      <w:pPr>
        <w:jc w:val="both"/>
        <w:rPr>
          <w:rFonts w:cs="Arial"/>
          <w:color w:val="000000" w:themeColor="text1"/>
          <w:sz w:val="22"/>
        </w:rPr>
      </w:pPr>
      <w:r w:rsidRPr="00FF1E05">
        <w:rPr>
          <w:rFonts w:cs="Arial"/>
          <w:color w:val="000000" w:themeColor="text1"/>
          <w:sz w:val="22"/>
        </w:rPr>
        <w:t xml:space="preserve">12. Jiang T., Pervez M.N., Ilango A.K., Liang </w:t>
      </w:r>
      <w:proofErr w:type="gramStart"/>
      <w:r w:rsidRPr="00FF1E05">
        <w:rPr>
          <w:rFonts w:cs="Arial"/>
          <w:color w:val="000000" w:themeColor="text1"/>
          <w:sz w:val="22"/>
        </w:rPr>
        <w:t>Y..</w:t>
      </w:r>
      <w:proofErr w:type="gramEnd"/>
      <w:r w:rsidRPr="00FF1E05">
        <w:rPr>
          <w:rFonts w:cs="Arial"/>
          <w:color w:val="000000" w:themeColor="text1"/>
          <w:sz w:val="22"/>
        </w:rPr>
        <w:t xml:space="preserve"> Stabilizing per- and polyfluoroalkyl substances (PFAS) through amending an adsorbent to contaminated soil planted with alfalfa. Science of the Total Environment (2025), 1000, 180430. https://doi.org/10.1016/j.scitotenv.2025.180430</w:t>
      </w:r>
    </w:p>
    <w:p w14:paraId="01FF716B" w14:textId="77777777" w:rsidR="007F0C34" w:rsidRPr="00FF1E05" w:rsidRDefault="00ED14B9" w:rsidP="0072319D">
      <w:pPr>
        <w:jc w:val="both"/>
        <w:rPr>
          <w:rFonts w:cs="Arial"/>
          <w:color w:val="000000" w:themeColor="text1"/>
          <w:sz w:val="22"/>
        </w:rPr>
      </w:pPr>
      <w:r w:rsidRPr="00FF1E05">
        <w:rPr>
          <w:rFonts w:cs="Arial"/>
          <w:color w:val="000000" w:themeColor="text1"/>
          <w:sz w:val="22"/>
          <w:lang w:val="de-AT"/>
        </w:rPr>
        <w:t xml:space="preserve">13. Fu J., Lyu X., Xiao F., Wang Y., Gao B., Wu J., Sun Y.. </w:t>
      </w:r>
      <w:r w:rsidRPr="00FF1E05">
        <w:rPr>
          <w:rFonts w:cs="Arial"/>
          <w:color w:val="000000" w:themeColor="text1"/>
          <w:sz w:val="22"/>
        </w:rPr>
        <w:t>A one-year study of biochar in immobilizing PFOA in soil-plant rainfall leaching systems: Residue fraction and metabolomics perspectives. Journal of Hazardous Materials (2025), 495, 139101. https://doi.org/10.1016/j.jhazmat.2025.139101</w:t>
      </w:r>
    </w:p>
    <w:p w14:paraId="3FAEC23B" w14:textId="77777777" w:rsidR="007F0C34" w:rsidRPr="00FF1E05" w:rsidRDefault="00ED14B9" w:rsidP="0072319D">
      <w:pPr>
        <w:jc w:val="both"/>
        <w:rPr>
          <w:rFonts w:cs="Arial"/>
          <w:color w:val="000000" w:themeColor="text1"/>
          <w:sz w:val="22"/>
        </w:rPr>
      </w:pPr>
      <w:r w:rsidRPr="00FF1E05">
        <w:rPr>
          <w:rFonts w:cs="Arial"/>
          <w:color w:val="000000" w:themeColor="text1"/>
          <w:sz w:val="22"/>
          <w:lang w:val="en-GB"/>
        </w:rPr>
        <w:t xml:space="preserve">14. Hubert M., Bonnet B., Hale S.E., Sørmo E., Cornelissen G., Ahrens L., Arp </w:t>
      </w:r>
      <w:proofErr w:type="gramStart"/>
      <w:r w:rsidRPr="00FF1E05">
        <w:rPr>
          <w:rFonts w:cs="Arial"/>
          <w:color w:val="000000" w:themeColor="text1"/>
          <w:sz w:val="22"/>
          <w:lang w:val="en-GB"/>
        </w:rPr>
        <w:t>H.P.H..</w:t>
      </w:r>
      <w:proofErr w:type="gramEnd"/>
      <w:r w:rsidRPr="00FF1E05">
        <w:rPr>
          <w:rFonts w:cs="Arial"/>
          <w:color w:val="000000" w:themeColor="text1"/>
          <w:sz w:val="22"/>
          <w:lang w:val="en-GB"/>
        </w:rPr>
        <w:t xml:space="preserve"> </w:t>
      </w:r>
      <w:r w:rsidRPr="00FF1E05">
        <w:rPr>
          <w:rFonts w:cs="Arial"/>
          <w:color w:val="000000" w:themeColor="text1"/>
          <w:sz w:val="22"/>
        </w:rPr>
        <w:t xml:space="preserve">Measurement and modelling of sorbent-amendment </w:t>
      </w:r>
      <w:proofErr w:type="gramStart"/>
      <w:r w:rsidRPr="00FF1E05">
        <w:rPr>
          <w:rFonts w:cs="Arial"/>
          <w:color w:val="000000" w:themeColor="text1"/>
          <w:sz w:val="22"/>
        </w:rPr>
        <w:t>impacts</w:t>
      </w:r>
      <w:proofErr w:type="gramEnd"/>
      <w:r w:rsidRPr="00FF1E05">
        <w:rPr>
          <w:rFonts w:cs="Arial"/>
          <w:color w:val="000000" w:themeColor="text1"/>
          <w:sz w:val="22"/>
        </w:rPr>
        <w:t xml:space="preserve"> on seasonal and long-term PFAS transport through unsaturated soil lysimeters. Journal of Hazardous Materials (2025), 494, 138662. https://doi.org/10.1016/j.jhazmat.2025.138662</w:t>
      </w:r>
    </w:p>
    <w:p w14:paraId="2E5E194B" w14:textId="77777777" w:rsidR="007F0C34" w:rsidRPr="00FF1E05" w:rsidRDefault="00ED14B9" w:rsidP="0072319D">
      <w:pPr>
        <w:jc w:val="both"/>
        <w:rPr>
          <w:rFonts w:cs="Arial"/>
          <w:color w:val="000000" w:themeColor="text1"/>
          <w:sz w:val="22"/>
        </w:rPr>
      </w:pPr>
      <w:r w:rsidRPr="00FF1E05">
        <w:rPr>
          <w:rFonts w:cs="Arial"/>
          <w:color w:val="000000" w:themeColor="text1"/>
          <w:sz w:val="22"/>
        </w:rPr>
        <w:t xml:space="preserve">15. Kabiri S., Bowles K.C., Bhat S., Navarro </w:t>
      </w:r>
      <w:proofErr w:type="gramStart"/>
      <w:r w:rsidRPr="00FF1E05">
        <w:rPr>
          <w:rFonts w:cs="Arial"/>
          <w:color w:val="000000" w:themeColor="text1"/>
          <w:sz w:val="22"/>
        </w:rPr>
        <w:t>D.A..</w:t>
      </w:r>
      <w:proofErr w:type="gramEnd"/>
      <w:r w:rsidRPr="00FF1E05">
        <w:rPr>
          <w:rFonts w:cs="Arial"/>
          <w:color w:val="000000" w:themeColor="text1"/>
          <w:sz w:val="22"/>
        </w:rPr>
        <w:t xml:space="preserve"> Effect of physical, chemical, and biological aging on activated carbon and biochar properties and PFAS </w:t>
      </w:r>
      <w:proofErr w:type="spellStart"/>
      <w:r w:rsidRPr="00FF1E05">
        <w:rPr>
          <w:rFonts w:cs="Arial"/>
          <w:color w:val="000000" w:themeColor="text1"/>
          <w:sz w:val="22"/>
        </w:rPr>
        <w:t>immobilisation</w:t>
      </w:r>
      <w:proofErr w:type="spellEnd"/>
      <w:r w:rsidRPr="00FF1E05">
        <w:rPr>
          <w:rFonts w:cs="Arial"/>
          <w:color w:val="000000" w:themeColor="text1"/>
          <w:sz w:val="22"/>
        </w:rPr>
        <w:t xml:space="preserve"> in soils. Journal of Hazardous Materials (2026), 511, 142258. https://doi.org/10.1016/j.jhazmat.2026.142258</w:t>
      </w:r>
    </w:p>
    <w:p w14:paraId="6AFD2424" w14:textId="77777777" w:rsidR="007F0C34" w:rsidRPr="00FF1E05" w:rsidRDefault="00ED14B9" w:rsidP="0072319D">
      <w:pPr>
        <w:jc w:val="both"/>
        <w:rPr>
          <w:rFonts w:cs="Arial"/>
          <w:color w:val="000000" w:themeColor="text1"/>
          <w:sz w:val="22"/>
        </w:rPr>
      </w:pPr>
      <w:r w:rsidRPr="00FF1E05">
        <w:rPr>
          <w:rFonts w:cs="Arial"/>
          <w:color w:val="000000" w:themeColor="text1"/>
          <w:sz w:val="22"/>
        </w:rPr>
        <w:lastRenderedPageBreak/>
        <w:t xml:space="preserve">16. Zhang J., Hou R., Su A., Wang M., Sun H., Xu H., Huang W., Peng F., Zhao </w:t>
      </w:r>
      <w:proofErr w:type="gramStart"/>
      <w:r w:rsidRPr="00FF1E05">
        <w:rPr>
          <w:rFonts w:cs="Arial"/>
          <w:color w:val="000000" w:themeColor="text1"/>
          <w:sz w:val="22"/>
        </w:rPr>
        <w:t>S..</w:t>
      </w:r>
      <w:proofErr w:type="gramEnd"/>
      <w:r w:rsidRPr="00FF1E05">
        <w:rPr>
          <w:rFonts w:cs="Arial"/>
          <w:color w:val="000000" w:themeColor="text1"/>
          <w:sz w:val="22"/>
        </w:rPr>
        <w:t xml:space="preserve"> Study on the regulatory effect of biochar-based materials on the migration and accumulation of perfluoroalkyl substances in paddy soil-water-plant systems. Agricultural Water Management (2026), 323, 110041. https://doi.org/10.1016/j.agwat.2025.110041</w:t>
      </w:r>
    </w:p>
    <w:p w14:paraId="0C606760" w14:textId="77777777" w:rsidR="007F0C34" w:rsidRPr="00FF1E05" w:rsidRDefault="00ED14B9" w:rsidP="0072319D">
      <w:pPr>
        <w:jc w:val="both"/>
        <w:rPr>
          <w:rFonts w:cs="Arial"/>
          <w:color w:val="000000" w:themeColor="text1"/>
          <w:sz w:val="22"/>
        </w:rPr>
      </w:pPr>
      <w:r w:rsidRPr="001B3504">
        <w:rPr>
          <w:rFonts w:cs="Arial"/>
          <w:color w:val="000000" w:themeColor="text1"/>
          <w:sz w:val="22"/>
          <w:lang w:val="en-GB"/>
        </w:rPr>
        <w:t xml:space="preserve">17. Hu T., Liu Y., Wu J., Chen J.. </w:t>
      </w:r>
      <w:r w:rsidRPr="00FF1E05">
        <w:rPr>
          <w:rFonts w:cs="Arial"/>
          <w:color w:val="000000" w:themeColor="text1"/>
          <w:sz w:val="22"/>
        </w:rPr>
        <w:t>Enhanced immobilization of perfluorooctanoic acid in modified biochar-amended soils: Insights into effects of oxidative ageing and soil property. Journal of Soils and Sediments (2026), 26(4), 131. https://doi.org/10.1007/s11368-026-04345-2</w:t>
      </w:r>
    </w:p>
    <w:p w14:paraId="696A8FBC" w14:textId="77777777" w:rsidR="007F0C34" w:rsidRPr="00FF1E05" w:rsidRDefault="00ED14B9" w:rsidP="0072319D">
      <w:pPr>
        <w:jc w:val="both"/>
        <w:rPr>
          <w:rFonts w:cs="Arial"/>
          <w:color w:val="000000" w:themeColor="text1"/>
          <w:sz w:val="22"/>
        </w:rPr>
      </w:pPr>
      <w:r w:rsidRPr="00FF1E05">
        <w:rPr>
          <w:rFonts w:cs="Arial"/>
          <w:color w:val="000000" w:themeColor="text1"/>
          <w:sz w:val="22"/>
        </w:rPr>
        <w:t xml:space="preserve">18. </w:t>
      </w:r>
      <w:proofErr w:type="spellStart"/>
      <w:r w:rsidRPr="00FF1E05">
        <w:rPr>
          <w:rFonts w:cs="Arial"/>
          <w:color w:val="000000" w:themeColor="text1"/>
          <w:sz w:val="22"/>
        </w:rPr>
        <w:t>Skjennum</w:t>
      </w:r>
      <w:proofErr w:type="spellEnd"/>
      <w:r w:rsidRPr="00FF1E05">
        <w:rPr>
          <w:rFonts w:cs="Arial"/>
          <w:color w:val="000000" w:themeColor="text1"/>
          <w:sz w:val="22"/>
        </w:rPr>
        <w:t xml:space="preserve"> K.A., Mulder J., </w:t>
      </w:r>
      <w:proofErr w:type="spellStart"/>
      <w:r w:rsidRPr="00FF1E05">
        <w:rPr>
          <w:rFonts w:cs="Arial"/>
          <w:color w:val="000000" w:themeColor="text1"/>
          <w:sz w:val="22"/>
        </w:rPr>
        <w:t>Breedveld</w:t>
      </w:r>
      <w:proofErr w:type="spellEnd"/>
      <w:r w:rsidRPr="00FF1E05">
        <w:rPr>
          <w:rFonts w:cs="Arial"/>
          <w:color w:val="000000" w:themeColor="text1"/>
          <w:sz w:val="22"/>
        </w:rPr>
        <w:t xml:space="preserve"> G.D., </w:t>
      </w:r>
      <w:proofErr w:type="spellStart"/>
      <w:r w:rsidRPr="00FF1E05">
        <w:rPr>
          <w:rFonts w:cs="Arial"/>
          <w:color w:val="000000" w:themeColor="text1"/>
          <w:sz w:val="22"/>
        </w:rPr>
        <w:t>Hartnik</w:t>
      </w:r>
      <w:proofErr w:type="spellEnd"/>
      <w:r w:rsidRPr="00FF1E05">
        <w:rPr>
          <w:rFonts w:cs="Arial"/>
          <w:color w:val="000000" w:themeColor="text1"/>
          <w:sz w:val="22"/>
        </w:rPr>
        <w:t xml:space="preserve"> T., </w:t>
      </w:r>
      <w:proofErr w:type="spellStart"/>
      <w:r w:rsidRPr="00FF1E05">
        <w:rPr>
          <w:rFonts w:cs="Arial"/>
          <w:color w:val="000000" w:themeColor="text1"/>
          <w:sz w:val="22"/>
        </w:rPr>
        <w:t>Estoppey</w:t>
      </w:r>
      <w:proofErr w:type="spellEnd"/>
      <w:r w:rsidRPr="00FF1E05">
        <w:rPr>
          <w:rFonts w:cs="Arial"/>
          <w:color w:val="000000" w:themeColor="text1"/>
          <w:sz w:val="22"/>
        </w:rPr>
        <w:t xml:space="preserve"> N., Sørmo </w:t>
      </w:r>
      <w:proofErr w:type="gramStart"/>
      <w:r w:rsidRPr="00FF1E05">
        <w:rPr>
          <w:rFonts w:cs="Arial"/>
          <w:color w:val="000000" w:themeColor="text1"/>
          <w:sz w:val="22"/>
        </w:rPr>
        <w:t>E..</w:t>
      </w:r>
      <w:proofErr w:type="gramEnd"/>
      <w:r w:rsidRPr="00FF1E05">
        <w:rPr>
          <w:rFonts w:cs="Arial"/>
          <w:color w:val="000000" w:themeColor="text1"/>
          <w:sz w:val="22"/>
        </w:rPr>
        <w:t xml:space="preserve"> Long-term efficiency of biochar amendment in PFAS-contaminated soil under unsaturated field conditions. Journal of Hazardous Materials (2026), 510, 142119. https://doi.org/10.1016/j.jhazmat.2026.142119</w:t>
      </w:r>
    </w:p>
    <w:p w14:paraId="3819128A" w14:textId="28FD4E86" w:rsidR="007F0C34" w:rsidRPr="00FF1E05" w:rsidRDefault="0072319D" w:rsidP="0072319D">
      <w:pPr>
        <w:jc w:val="both"/>
        <w:rPr>
          <w:rFonts w:cs="Arial"/>
          <w:color w:val="000000" w:themeColor="text1"/>
          <w:sz w:val="22"/>
        </w:rPr>
      </w:pPr>
      <w:r w:rsidRPr="00FF1E05">
        <w:rPr>
          <w:rFonts w:cs="Arial"/>
          <w:color w:val="000000" w:themeColor="text1"/>
          <w:sz w:val="22"/>
        </w:rPr>
        <w:t xml:space="preserve">19. Zhang W., Liang </w:t>
      </w:r>
      <w:proofErr w:type="gramStart"/>
      <w:r w:rsidRPr="00FF1E05">
        <w:rPr>
          <w:rFonts w:cs="Arial"/>
          <w:color w:val="000000" w:themeColor="text1"/>
          <w:sz w:val="22"/>
        </w:rPr>
        <w:t>Y..</w:t>
      </w:r>
      <w:proofErr w:type="gramEnd"/>
      <w:r w:rsidRPr="00FF1E05">
        <w:rPr>
          <w:rFonts w:cs="Arial"/>
          <w:color w:val="000000" w:themeColor="text1"/>
          <w:sz w:val="22"/>
        </w:rPr>
        <w:t xml:space="preserve"> Changing bioavailability of per- and polyfluoroalkyl substances (PFAS) to plant in biosolids amended soil through stabilization or mobilization. Environmental Pollution (2022), 308, 119724. https://doi.org/10.1016/j.envpol.2022.119724</w:t>
      </w:r>
    </w:p>
    <w:p w14:paraId="34E8F98C" w14:textId="77777777" w:rsidR="007F0C34" w:rsidRPr="00FF1E05" w:rsidRDefault="00ED14B9" w:rsidP="0072319D">
      <w:pPr>
        <w:jc w:val="both"/>
        <w:rPr>
          <w:rFonts w:cs="Arial"/>
          <w:color w:val="000000" w:themeColor="text1"/>
          <w:sz w:val="22"/>
        </w:rPr>
      </w:pPr>
      <w:r w:rsidRPr="00FF1E05">
        <w:rPr>
          <w:rFonts w:cs="Arial"/>
          <w:color w:val="000000" w:themeColor="text1"/>
          <w:sz w:val="22"/>
        </w:rPr>
        <w:t xml:space="preserve">20. Xin Z., Ruan C., Wang J., Tong J., Deng Z., Zhang H., Zhang C., Zhang Y., Shi </w:t>
      </w:r>
      <w:proofErr w:type="gramStart"/>
      <w:r w:rsidRPr="00FF1E05">
        <w:rPr>
          <w:rFonts w:cs="Arial"/>
          <w:color w:val="000000" w:themeColor="text1"/>
          <w:sz w:val="22"/>
        </w:rPr>
        <w:t>J..</w:t>
      </w:r>
      <w:proofErr w:type="gramEnd"/>
      <w:r w:rsidRPr="00FF1E05">
        <w:rPr>
          <w:rFonts w:cs="Arial"/>
          <w:color w:val="000000" w:themeColor="text1"/>
          <w:sz w:val="22"/>
        </w:rPr>
        <w:t xml:space="preserve"> </w:t>
      </w:r>
      <w:proofErr w:type="gramStart"/>
      <w:r w:rsidRPr="00FF1E05">
        <w:rPr>
          <w:rFonts w:cs="Arial"/>
          <w:color w:val="000000" w:themeColor="text1"/>
          <w:sz w:val="22"/>
        </w:rPr>
        <w:t>Nut shell</w:t>
      </w:r>
      <w:proofErr w:type="gramEnd"/>
      <w:r w:rsidRPr="00FF1E05">
        <w:rPr>
          <w:rFonts w:cs="Arial"/>
          <w:color w:val="000000" w:themeColor="text1"/>
          <w:sz w:val="22"/>
        </w:rPr>
        <w:t xml:space="preserve"> biochar effectively repairs mixed pollution of heavy metal anions and PFAS in soil. Journal of Environmental Chemical Engineering (2025), 13(5), 118241. https://doi.org/10.1016/j.jece.2025.118241</w:t>
      </w:r>
    </w:p>
    <w:sectPr w:rsidR="007F0C34" w:rsidRPr="00FF1E05" w:rsidSect="0072319D">
      <w:pgSz w:w="11906" w:h="16838"/>
      <w:pgMar w:top="1134" w:right="1700" w:bottom="1134" w:left="15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5C27F" w14:textId="77777777" w:rsidR="00FA4D80" w:rsidRDefault="00FA4D80">
      <w:pPr>
        <w:spacing w:after="0" w:line="240" w:lineRule="auto"/>
      </w:pPr>
      <w:r>
        <w:separator/>
      </w:r>
    </w:p>
  </w:endnote>
  <w:endnote w:type="continuationSeparator" w:id="0">
    <w:p w14:paraId="3B73E98B" w14:textId="77777777" w:rsidR="00FA4D80" w:rsidRDefault="00FA4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962546"/>
      <w:docPartObj>
        <w:docPartGallery w:val="Page Numbers (Bottom of Page)"/>
        <w:docPartUnique/>
      </w:docPartObj>
    </w:sdtPr>
    <w:sdtContent>
      <w:p w14:paraId="4906D5C9" w14:textId="225E4671" w:rsidR="00C66068" w:rsidRDefault="00C66068">
        <w:pPr>
          <w:pStyle w:val="Footer"/>
          <w:jc w:val="right"/>
        </w:pPr>
        <w:r>
          <w:fldChar w:fldCharType="begin"/>
        </w:r>
        <w:r>
          <w:instrText>PAGE   \* MERGEFORMAT</w:instrText>
        </w:r>
        <w:r>
          <w:fldChar w:fldCharType="separate"/>
        </w:r>
        <w:r>
          <w:rPr>
            <w:lang w:val="en-GB"/>
          </w:rPr>
          <w:t>2</w:t>
        </w:r>
        <w:r>
          <w:fldChar w:fldCharType="end"/>
        </w:r>
      </w:p>
    </w:sdtContent>
  </w:sdt>
  <w:p w14:paraId="002F3E1C" w14:textId="77777777" w:rsidR="007F0C34" w:rsidRDefault="007F0C3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86703" w14:textId="77777777" w:rsidR="00FA4D80" w:rsidRDefault="00FA4D80">
      <w:pPr>
        <w:spacing w:after="0" w:line="240" w:lineRule="auto"/>
      </w:pPr>
      <w:r>
        <w:separator/>
      </w:r>
    </w:p>
  </w:footnote>
  <w:footnote w:type="continuationSeparator" w:id="0">
    <w:p w14:paraId="657EB8FF" w14:textId="77777777" w:rsidR="00FA4D80" w:rsidRDefault="00FA4D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00447251">
    <w:abstractNumId w:val="8"/>
  </w:num>
  <w:num w:numId="2" w16cid:durableId="1539658734">
    <w:abstractNumId w:val="6"/>
  </w:num>
  <w:num w:numId="3" w16cid:durableId="1384985102">
    <w:abstractNumId w:val="5"/>
  </w:num>
  <w:num w:numId="4" w16cid:durableId="1524243189">
    <w:abstractNumId w:val="4"/>
  </w:num>
  <w:num w:numId="5" w16cid:durableId="1246383972">
    <w:abstractNumId w:val="7"/>
  </w:num>
  <w:num w:numId="6" w16cid:durableId="560602720">
    <w:abstractNumId w:val="3"/>
  </w:num>
  <w:num w:numId="7" w16cid:durableId="827018649">
    <w:abstractNumId w:val="2"/>
  </w:num>
  <w:num w:numId="8" w16cid:durableId="1079601514">
    <w:abstractNumId w:val="1"/>
  </w:num>
  <w:num w:numId="9" w16cid:durableId="1007055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6017"/>
    <w:rsid w:val="0001043B"/>
    <w:rsid w:val="00034616"/>
    <w:rsid w:val="00041377"/>
    <w:rsid w:val="0006063C"/>
    <w:rsid w:val="00096E98"/>
    <w:rsid w:val="000C1430"/>
    <w:rsid w:val="000F22DB"/>
    <w:rsid w:val="00106D13"/>
    <w:rsid w:val="00131348"/>
    <w:rsid w:val="001452E4"/>
    <w:rsid w:val="0015074B"/>
    <w:rsid w:val="00152D14"/>
    <w:rsid w:val="001949DD"/>
    <w:rsid w:val="00195AB2"/>
    <w:rsid w:val="001B2360"/>
    <w:rsid w:val="001B3504"/>
    <w:rsid w:val="001B60F0"/>
    <w:rsid w:val="001D1FA9"/>
    <w:rsid w:val="001F74E6"/>
    <w:rsid w:val="00236DD6"/>
    <w:rsid w:val="002676BA"/>
    <w:rsid w:val="00274385"/>
    <w:rsid w:val="00283111"/>
    <w:rsid w:val="00293460"/>
    <w:rsid w:val="0029639D"/>
    <w:rsid w:val="002E0E3F"/>
    <w:rsid w:val="00326F90"/>
    <w:rsid w:val="00337AB7"/>
    <w:rsid w:val="003416C3"/>
    <w:rsid w:val="003732B5"/>
    <w:rsid w:val="003748B4"/>
    <w:rsid w:val="00391283"/>
    <w:rsid w:val="003D7303"/>
    <w:rsid w:val="003E4704"/>
    <w:rsid w:val="003F163C"/>
    <w:rsid w:val="00400D31"/>
    <w:rsid w:val="00403EC9"/>
    <w:rsid w:val="004938A4"/>
    <w:rsid w:val="004953E0"/>
    <w:rsid w:val="004A2332"/>
    <w:rsid w:val="004D492A"/>
    <w:rsid w:val="005311D3"/>
    <w:rsid w:val="00537FD5"/>
    <w:rsid w:val="005878B3"/>
    <w:rsid w:val="005A3C20"/>
    <w:rsid w:val="005A5DEB"/>
    <w:rsid w:val="005C0878"/>
    <w:rsid w:val="005C6442"/>
    <w:rsid w:val="005D747A"/>
    <w:rsid w:val="006032B8"/>
    <w:rsid w:val="0063269D"/>
    <w:rsid w:val="006502D9"/>
    <w:rsid w:val="00654891"/>
    <w:rsid w:val="006B52F9"/>
    <w:rsid w:val="006D516D"/>
    <w:rsid w:val="007023E7"/>
    <w:rsid w:val="007214E1"/>
    <w:rsid w:val="0072319D"/>
    <w:rsid w:val="00730526"/>
    <w:rsid w:val="00732CEF"/>
    <w:rsid w:val="00751A25"/>
    <w:rsid w:val="00770A3D"/>
    <w:rsid w:val="0077137F"/>
    <w:rsid w:val="00787535"/>
    <w:rsid w:val="007A72CD"/>
    <w:rsid w:val="007B3E10"/>
    <w:rsid w:val="007B79BB"/>
    <w:rsid w:val="007E3CBC"/>
    <w:rsid w:val="007E6D24"/>
    <w:rsid w:val="007F0C34"/>
    <w:rsid w:val="007F56D9"/>
    <w:rsid w:val="008601C8"/>
    <w:rsid w:val="008671CE"/>
    <w:rsid w:val="008B432A"/>
    <w:rsid w:val="008C0E64"/>
    <w:rsid w:val="008C7667"/>
    <w:rsid w:val="008F44F7"/>
    <w:rsid w:val="008F6912"/>
    <w:rsid w:val="008F7E28"/>
    <w:rsid w:val="0091491F"/>
    <w:rsid w:val="009909B7"/>
    <w:rsid w:val="009B66B9"/>
    <w:rsid w:val="009C1E14"/>
    <w:rsid w:val="009D5331"/>
    <w:rsid w:val="009E044D"/>
    <w:rsid w:val="00A16812"/>
    <w:rsid w:val="00A663D3"/>
    <w:rsid w:val="00AA1D8D"/>
    <w:rsid w:val="00AB6A01"/>
    <w:rsid w:val="00AC5EDF"/>
    <w:rsid w:val="00AE54F1"/>
    <w:rsid w:val="00B47730"/>
    <w:rsid w:val="00BD6599"/>
    <w:rsid w:val="00C377E3"/>
    <w:rsid w:val="00C66068"/>
    <w:rsid w:val="00CA3F92"/>
    <w:rsid w:val="00CB0664"/>
    <w:rsid w:val="00D042F5"/>
    <w:rsid w:val="00D52075"/>
    <w:rsid w:val="00D563A0"/>
    <w:rsid w:val="00D70034"/>
    <w:rsid w:val="00D72E55"/>
    <w:rsid w:val="00DB4E1B"/>
    <w:rsid w:val="00DE47B9"/>
    <w:rsid w:val="00DF18C7"/>
    <w:rsid w:val="00DF722C"/>
    <w:rsid w:val="00E269F2"/>
    <w:rsid w:val="00E43036"/>
    <w:rsid w:val="00E43B71"/>
    <w:rsid w:val="00E5416E"/>
    <w:rsid w:val="00E54495"/>
    <w:rsid w:val="00E65B1C"/>
    <w:rsid w:val="00EC77E5"/>
    <w:rsid w:val="00ED1449"/>
    <w:rsid w:val="00ED14B9"/>
    <w:rsid w:val="00ED212A"/>
    <w:rsid w:val="00EE6ECB"/>
    <w:rsid w:val="00F027DA"/>
    <w:rsid w:val="00F21CBA"/>
    <w:rsid w:val="00FA4D80"/>
    <w:rsid w:val="00FC693F"/>
    <w:rsid w:val="00FD1B2C"/>
    <w:rsid w:val="00FE2160"/>
    <w:rsid w:val="00FF1E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F66717"/>
  <w14:defaultImageDpi w14:val="300"/>
  <w15:docId w15:val="{C31D109A-10EA-49C1-A28A-7F92A20AE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274385"/>
    <w:rPr>
      <w:sz w:val="16"/>
      <w:szCs w:val="16"/>
    </w:rPr>
  </w:style>
  <w:style w:type="paragraph" w:styleId="CommentText">
    <w:name w:val="annotation text"/>
    <w:basedOn w:val="Normal"/>
    <w:link w:val="CommentTextChar"/>
    <w:uiPriority w:val="99"/>
    <w:unhideWhenUsed/>
    <w:rsid w:val="00274385"/>
    <w:pPr>
      <w:spacing w:after="160" w:line="240" w:lineRule="auto"/>
    </w:pPr>
    <w:rPr>
      <w:rFonts w:asciiTheme="minorHAnsi" w:eastAsiaTheme="minorHAnsi" w:hAnsiTheme="minorHAnsi"/>
      <w:kern w:val="2"/>
      <w:szCs w:val="20"/>
      <w:lang w:val="en-GB"/>
      <w14:ligatures w14:val="standardContextual"/>
    </w:rPr>
  </w:style>
  <w:style w:type="character" w:customStyle="1" w:styleId="CommentTextChar">
    <w:name w:val="Comment Text Char"/>
    <w:basedOn w:val="DefaultParagraphFont"/>
    <w:link w:val="CommentText"/>
    <w:uiPriority w:val="99"/>
    <w:rsid w:val="00274385"/>
    <w:rPr>
      <w:rFonts w:eastAsiaTheme="minorHAnsi"/>
      <w:kern w:val="2"/>
      <w:sz w:val="20"/>
      <w:szCs w:val="20"/>
      <w:lang w:val="en-GB"/>
      <w14:ligatures w14:val="standardContextual"/>
    </w:rPr>
  </w:style>
  <w:style w:type="character" w:styleId="Hyperlink">
    <w:name w:val="Hyperlink"/>
    <w:basedOn w:val="DefaultParagraphFont"/>
    <w:uiPriority w:val="99"/>
    <w:unhideWhenUsed/>
    <w:rsid w:val="00391283"/>
    <w:rPr>
      <w:color w:val="0000FF" w:themeColor="hyperlink"/>
      <w:u w:val="single"/>
    </w:rPr>
  </w:style>
  <w:style w:type="character" w:styleId="UnresolvedMention">
    <w:name w:val="Unresolved Mention"/>
    <w:basedOn w:val="DefaultParagraphFont"/>
    <w:uiPriority w:val="99"/>
    <w:semiHidden/>
    <w:unhideWhenUsed/>
    <w:rsid w:val="003912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ehrouzg@ua.pt"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BD985DF3B2C148AC478E029906A621" ma:contentTypeVersion="16" ma:contentTypeDescription="Create a new document." ma:contentTypeScope="" ma:versionID="9c3c4f6598f62393302d3e4000aeb829">
  <xsd:schema xmlns:xsd="http://www.w3.org/2001/XMLSchema" xmlns:xs="http://www.w3.org/2001/XMLSchema" xmlns:p="http://schemas.microsoft.com/office/2006/metadata/properties" xmlns:ns2="1f3efb56-9ddb-48f8-bbd8-d2d0e77b406f" xmlns:ns3="6a7d8391-6f73-472b-9bd7-5f76594a4446" targetNamespace="http://schemas.microsoft.com/office/2006/metadata/properties" ma:root="true" ma:fieldsID="7374d80adac3fbae9c4a2c204177035d" ns2:_="" ns3:_="">
    <xsd:import namespace="1f3efb56-9ddb-48f8-bbd8-d2d0e77b406f"/>
    <xsd:import namespace="6a7d8391-6f73-472b-9bd7-5f76594a444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3efb56-9ddb-48f8-bbd8-d2d0e77b40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18377d1-ab10-4dba-a7e0-f6c25d3cfc23"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7d8391-6f73-472b-9bd7-5f76594a444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26c6259-ceb8-4da9-907f-7b588c913503}" ma:internalName="TaxCatchAll" ma:showField="CatchAllData" ma:web="6a7d8391-6f73-472b-9bd7-5f76594a444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6a7d8391-6f73-472b-9bd7-5f76594a4446" xsi:nil="true"/>
    <lcf76f155ced4ddcb4097134ff3c332f xmlns="1f3efb56-9ddb-48f8-bbd8-d2d0e77b406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8055D2-9EC1-41E0-BD68-DB3011BACE17}">
  <ds:schemaRefs>
    <ds:schemaRef ds:uri="http://schemas.microsoft.com/sharepoint/v3/contenttype/forms"/>
  </ds:schemaRefs>
</ds:datastoreItem>
</file>

<file path=customXml/itemProps2.xml><?xml version="1.0" encoding="utf-8"?>
<ds:datastoreItem xmlns:ds="http://schemas.openxmlformats.org/officeDocument/2006/customXml" ds:itemID="{2FEB6CCA-90E8-496C-91CB-0F358BDB2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3efb56-9ddb-48f8-bbd8-d2d0e77b406f"/>
    <ds:schemaRef ds:uri="6a7d8391-6f73-472b-9bd7-5f76594a44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7DC73654-D707-410A-8F93-C1C082286316}">
  <ds:schemaRefs>
    <ds:schemaRef ds:uri="http://schemas.microsoft.com/office/2006/metadata/properties"/>
    <ds:schemaRef ds:uri="http://schemas.microsoft.com/office/infopath/2007/PartnerControls"/>
    <ds:schemaRef ds:uri="6a7d8391-6f73-472b-9bd7-5f76594a4446"/>
    <ds:schemaRef ds:uri="1f3efb56-9ddb-48f8-bbd8-d2d0e77b406f"/>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28</Pages>
  <Words>6609</Words>
  <Characters>37672</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44193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Behrouz Gholamahmadi</cp:lastModifiedBy>
  <cp:revision>93</cp:revision>
  <dcterms:created xsi:type="dcterms:W3CDTF">2013-12-23T23:15:00Z</dcterms:created>
  <dcterms:modified xsi:type="dcterms:W3CDTF">2026-09-28T10:34:00Z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0x01010072BD985DF3B2C148AC478E029906A621</vt:lpwstr>
  </property>
  <property fmtid="{D5CDD505-2E9C-101B-9397-08002B2CF9AE}" pid="3" name="GrammarlyDocumentId">
    <vt:lpwstr>284e2d8b-adbe-428c-9767-ade6ccb0f711</vt:lpwstr>
  </property>
  <property fmtid="{D5CDD505-2E9C-101B-9397-08002B2CF9AE}" pid="4" name="MediaServiceImageTags">
    <vt:lpwstr/>
  </property>
</Properties>
</file>