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pPr>
      <w:r>
        <w:rPr>
          <w:b/>
          <w:i w:val="0"/>
          <w:sz w:val="26"/>
        </w:rPr>
        <w:t>Supplementary Information</w:t>
      </w:r>
    </w:p>
    <w:p>
      <w:pPr>
        <w:spacing w:after="240"/>
      </w:pPr>
      <w:r>
        <w:rPr>
          <w:b w:val="0"/>
          <w:i w:val="0"/>
        </w:rPr>
        <w:t>Age and outcomes of keratorefractive lenticule extraction: visual recovery, refractive accuracy, enhancement and the contribution of an age-banded nomogram</w:t>
      </w:r>
    </w:p>
    <w:p>
      <w:pPr>
        <w:spacing w:after="240"/>
      </w:pPr>
      <w:r>
        <w:rPr>
          <w:b w:val="0"/>
          <w:i w:val="0"/>
        </w:rPr>
        <w:t>Contents (one file, .docx): Supplementary Figure S1 (study population), Supplementary Figure S2 (age as a continuous variable), Supplementary Figures S3 and S4 (standard graphs at 12 months by age group), Supplementary Figure S5 (postoperative SEQ against the applied offset), Supplementary Table S1 (outcomes by age band and visit), Supplementary Table S2 (adjusted models), Supplementary Table S3 (nomogram era and the common-offset recomputation), Supplementary Table S4 (optical quality by age group).</w:t>
      </w:r>
    </w:p>
    <w:p>
      <w:pPr>
        <w:spacing w:after="120"/>
      </w:pPr>
      <w:r>
        <w:rPr>
          <w:b w:val="0"/>
          <w:i w:val="0"/>
        </w:rPr>
        <w:t>Supplementary Figure S1. Study population: registry screening, exclusions, the registry set used for the enhancement analysis, the outcome set and the number of eyes with a record at each visit. Patient counts do not sum across boxes because a patient may have one eye excluded and the fellow eye retained.</w:t>
      </w:r>
    </w:p>
    <w:p>
      <w:r>
        <w:drawing>
          <wp:inline xmlns:a="http://schemas.openxmlformats.org/drawingml/2006/main" xmlns:pic="http://schemas.openxmlformats.org/drawingml/2006/picture">
            <wp:extent cx="5303520" cy="5561308"/>
            <wp:docPr id="1" name="Picture 1"/>
            <wp:cNvGraphicFramePr>
              <a:graphicFrameLocks noChangeAspect="1"/>
            </wp:cNvGraphicFramePr>
            <a:graphic>
              <a:graphicData uri="http://schemas.openxmlformats.org/drawingml/2006/picture">
                <pic:pic>
                  <pic:nvPicPr>
                    <pic:cNvPr id="0" name="FigureS1_flow.png"/>
                    <pic:cNvPicPr/>
                  </pic:nvPicPr>
                  <pic:blipFill>
                    <a:blip r:embed="rId9"/>
                    <a:stretch>
                      <a:fillRect/>
                    </a:stretch>
                  </pic:blipFill>
                  <pic:spPr>
                    <a:xfrm>
                      <a:off x="0" y="0"/>
                      <a:ext cx="5303520" cy="5561308"/>
                    </a:xfrm>
                    <a:prstGeom prst="rect"/>
                  </pic:spPr>
                </pic:pic>
              </a:graphicData>
            </a:graphic>
          </wp:inline>
        </w:drawing>
      </w:r>
    </w:p>
    <w:p>
      <w:r>
        <w:br w:type="page"/>
      </w:r>
    </w:p>
    <w:p>
      <w:pPr>
        <w:spacing w:after="120"/>
      </w:pPr>
      <w:r>
        <w:rPr>
          <w:b w:val="0"/>
          <w:i w:val="0"/>
        </w:rPr>
        <w:t>Supplementary Figure S2. Age as a continuous variable. (A) Adjusted probability of UDVA of 20/20 or better at 3 months (N = 1874) and (B) adjusted manifest SEQ at 12 months (N = 424) from patient-clustered models with a restricted cubic spline of age (four knots at the 5th, 35th, 65th and 95th percentiles) and attempted SEQ, cylinder, profile version, optical zone and nomogram era at their means; shaded bands are 95% confidence intervals; the curve is drawn to the 99th percentile of age (46 years). Points are the unadjusted band estimates with 95% patient-cluster bootstrap confidence intervals, plotted at the median age of each band (bands with fewer than 10 eyes omitted in B). The dashed line in B marks −0.50 D.</w:t>
      </w:r>
    </w:p>
    <w:p>
      <w:r>
        <w:drawing>
          <wp:inline xmlns:a="http://schemas.openxmlformats.org/drawingml/2006/main" xmlns:pic="http://schemas.openxmlformats.org/drawingml/2006/picture">
            <wp:extent cx="5669280" cy="2418459"/>
            <wp:docPr id="2" name="Picture 2"/>
            <wp:cNvGraphicFramePr>
              <a:graphicFrameLocks noChangeAspect="1"/>
            </wp:cNvGraphicFramePr>
            <a:graphic>
              <a:graphicData uri="http://schemas.openxmlformats.org/drawingml/2006/picture">
                <pic:pic>
                  <pic:nvPicPr>
                    <pic:cNvPr id="0" name="FigureS2_age_spline.png"/>
                    <pic:cNvPicPr/>
                  </pic:nvPicPr>
                  <pic:blipFill>
                    <a:blip r:embed="rId10"/>
                    <a:stretch>
                      <a:fillRect/>
                    </a:stretch>
                  </pic:blipFill>
                  <pic:spPr>
                    <a:xfrm>
                      <a:off x="0" y="0"/>
                      <a:ext cx="5669280" cy="2418459"/>
                    </a:xfrm>
                    <a:prstGeom prst="rect"/>
                  </pic:spPr>
                </pic:pic>
              </a:graphicData>
            </a:graphic>
          </wp:inline>
        </w:drawing>
      </w:r>
    </w:p>
    <w:p>
      <w:r>
        <w:br w:type="page"/>
      </w:r>
    </w:p>
    <w:p>
      <w:pPr>
        <w:spacing w:after="120"/>
      </w:pPr>
      <w:r>
        <w:rPr>
          <w:b w:val="0"/>
          <w:i w:val="0"/>
        </w:rPr>
        <w:t>Supplementary Figure S3. Standard graphs for refractive surgery outcomes at 12 months in eyes aged 40 years or older. (A) Cumulative UDVA (N = 119) and preoperative CDVA (N = 119). (B) Postoperative UDVA minus preoperative CDVA in Snellen lines (N = 119). (C) Change in CDVA (N = 119); preoperative CDVA was recorded as 20/20 once that line was read, so gains partly reflect this recording ceiling. (D) Attempted versus achieved SEQ correction; the solid black line is identity, the coloured dashed line the regression, grey dashed lines ±0.50 D and dotted lines ±1.00 D (N = 46). (E) SEQ accuracy relative to the emmetropic target (N = 46). (F) Stability: mean manifest SEQ at 3, 6 and 12 months; error bars are SD; N is given above each point. Enhanced eyes are excluded.</w:t>
      </w:r>
    </w:p>
    <w:p>
      <w:r>
        <w:drawing>
          <wp:inline xmlns:a="http://schemas.openxmlformats.org/drawingml/2006/main" xmlns:pic="http://schemas.openxmlformats.org/drawingml/2006/picture">
            <wp:extent cx="5669280" cy="7343038"/>
            <wp:docPr id="3" name="Picture 3"/>
            <wp:cNvGraphicFramePr>
              <a:graphicFrameLocks noChangeAspect="1"/>
            </wp:cNvGraphicFramePr>
            <a:graphic>
              <a:graphicData uri="http://schemas.openxmlformats.org/drawingml/2006/picture">
                <pic:pic>
                  <pic:nvPicPr>
                    <pic:cNvPr id="0" name="FigureS3_standard_graphs_12mo_over40.png"/>
                    <pic:cNvPicPr/>
                  </pic:nvPicPr>
                  <pic:blipFill>
                    <a:blip r:embed="rId11"/>
                    <a:stretch>
                      <a:fillRect/>
                    </a:stretch>
                  </pic:blipFill>
                  <pic:spPr>
                    <a:xfrm>
                      <a:off x="0" y="0"/>
                      <a:ext cx="5669280" cy="7343038"/>
                    </a:xfrm>
                    <a:prstGeom prst="rect"/>
                  </pic:spPr>
                </pic:pic>
              </a:graphicData>
            </a:graphic>
          </wp:inline>
        </w:drawing>
      </w:r>
    </w:p>
    <w:p>
      <w:r>
        <w:br w:type="page"/>
      </w:r>
    </w:p>
    <w:p>
      <w:pPr>
        <w:spacing w:after="120"/>
      </w:pPr>
      <w:r>
        <w:rPr>
          <w:b w:val="0"/>
          <w:i w:val="0"/>
        </w:rPr>
        <w:t>Supplementary Figure S4. Standard graphs for refractive surgery outcomes at 12 months in eyes under 40 years. (A) Cumulative UDVA (N = 1301) and preoperative CDVA (N = 1281). (B) Postoperative UDVA minus preoperative CDVA in Snellen lines (N = 1281). (C) Change in CDVA (N = 1243); preoperative CDVA was recorded as 20/20 once that line was read, so gains partly reflect this recording ceiling. (D) Attempted versus achieved SEQ correction; the solid black line is identity, the coloured dashed line the regression, grey dashed lines ±0.50 D and dotted lines ±1.00 D (N = 378). (E) SEQ accuracy relative to the emmetropic target (N = 378). (F) Stability: mean manifest SEQ at 3, 6 and 12 months; error bars are SD; N is given above each point. Enhanced eyes are excluded.</w:t>
      </w:r>
    </w:p>
    <w:p>
      <w:r>
        <w:drawing>
          <wp:inline xmlns:a="http://schemas.openxmlformats.org/drawingml/2006/main" xmlns:pic="http://schemas.openxmlformats.org/drawingml/2006/picture">
            <wp:extent cx="5669280" cy="7260444"/>
            <wp:docPr id="4" name="Picture 4"/>
            <wp:cNvGraphicFramePr>
              <a:graphicFrameLocks noChangeAspect="1"/>
            </wp:cNvGraphicFramePr>
            <a:graphic>
              <a:graphicData uri="http://schemas.openxmlformats.org/drawingml/2006/picture">
                <pic:pic>
                  <pic:nvPicPr>
                    <pic:cNvPr id="0" name="FigureS4_standard_graphs_12mo_under40.png"/>
                    <pic:cNvPicPr/>
                  </pic:nvPicPr>
                  <pic:blipFill>
                    <a:blip r:embed="rId12"/>
                    <a:stretch>
                      <a:fillRect/>
                    </a:stretch>
                  </pic:blipFill>
                  <pic:spPr>
                    <a:xfrm>
                      <a:off x="0" y="0"/>
                      <a:ext cx="5669280" cy="7260444"/>
                    </a:xfrm>
                    <a:prstGeom prst="rect"/>
                  </pic:spPr>
                </pic:pic>
              </a:graphicData>
            </a:graphic>
          </wp:inline>
        </w:drawing>
      </w:r>
    </w:p>
    <w:p>
      <w:r>
        <w:br w:type="page"/>
      </w:r>
    </w:p>
    <w:p>
      <w:pPr>
        <w:spacing w:after="120"/>
      </w:pPr>
      <w:r>
        <w:rPr>
          <w:b w:val="0"/>
          <w:i w:val="0"/>
        </w:rPr>
        <w:t>Supplementary Figure S5. Postoperative spherical equivalent (SEQ) against the applied age-banded offset, one point per eye. (A) Day-1 objective SEQ of all eyes measured. (B) Manifest SEQ at 12 months of refracted eyes. Grey squares: first era (no offset, all ages); blue circles: second era, in which the offset is a function of age (none from 45 years, 0.50 D from 35, 0.60 D from 30, 0.75 D from 25, 1.00 D under 25). Horizontal bars are group means; the dashed line marks −0.50 D; n is the number of eyes. Within the second era the offset encodes age, so the plot cannot separate the two; it shows the endpoint that each offset and age band reached.</w:t>
      </w:r>
    </w:p>
    <w:p>
      <w:r>
        <w:drawing>
          <wp:inline xmlns:a="http://schemas.openxmlformats.org/drawingml/2006/main" xmlns:pic="http://schemas.openxmlformats.org/drawingml/2006/picture">
            <wp:extent cx="5669280" cy="2570953"/>
            <wp:docPr id="5" name="Picture 5"/>
            <wp:cNvGraphicFramePr>
              <a:graphicFrameLocks noChangeAspect="1"/>
            </wp:cNvGraphicFramePr>
            <a:graphic>
              <a:graphicData uri="http://schemas.openxmlformats.org/drawingml/2006/picture">
                <pic:pic>
                  <pic:nvPicPr>
                    <pic:cNvPr id="0" name="FigureS5_seq_vs_offset.png"/>
                    <pic:cNvPicPr/>
                  </pic:nvPicPr>
                  <pic:blipFill>
                    <a:blip r:embed="rId13"/>
                    <a:stretch>
                      <a:fillRect/>
                    </a:stretch>
                  </pic:blipFill>
                  <pic:spPr>
                    <a:xfrm>
                      <a:off x="0" y="0"/>
                      <a:ext cx="5669280" cy="2570953"/>
                    </a:xfrm>
                    <a:prstGeom prst="rect"/>
                  </pic:spPr>
                </pic:pic>
              </a:graphicData>
            </a:graphic>
          </wp:inline>
        </w:drawing>
      </w:r>
    </w:p>
    <w:p>
      <w:r>
        <w:br w:type="page"/>
      </w:r>
    </w:p>
    <w:p>
      <w:pPr>
        <w:spacing w:after="120"/>
      </w:pPr>
      <w:r>
        <w:rPr>
          <w:b/>
          <w:i w:val="0"/>
        </w:rPr>
        <w:t>Supplementary Table S1. Outcomes by age band and visit (enhanced eyes excluded except in the enhancement row)</w:t>
      </w:r>
    </w:p>
    <w:tbl>
      <w:tblPr>
        <w:tblW w:type="auto" w:w="0"/>
        <w:jc w:val="center"/>
        <w:tblLayout w:type="fixed"/>
        <w:tblLook w:firstColumn="1" w:firstRow="1" w:lastColumn="0" w:lastRow="0" w:noHBand="0" w:noVBand="1" w:val="04A0"/>
      </w:tblPr>
      <w:tblGrid>
        <w:gridCol w:w="1461"/>
        <w:gridCol w:w="1461"/>
        <w:gridCol w:w="1461"/>
        <w:gridCol w:w="1461"/>
        <w:gridCol w:w="1461"/>
        <w:gridCol w:w="1461"/>
        <w:gridCol w:w="1461"/>
      </w:tblGrid>
      <w:tr>
        <w:tc>
          <w:tcPr>
            <w:tcW w:type="dxa" w:w="3456"/>
            <w:tcBorders>
              <w:top w:val="single" w:sz="6" w:color="000000"/>
              <w:bottom w:val="single" w:sz="6" w:color="000000"/>
              <w:left w:val="nil"/>
              <w:right w:val="nil"/>
              <w:insideH w:val="nil"/>
              <w:insideV w:val="nil"/>
            </w:tcBorders>
          </w:tcPr>
          <w:p>
            <w:r/>
            <w:r>
              <w:rPr>
                <w:b/>
                <w:sz w:val="14"/>
              </w:rPr>
              <w:t>Visit / outcome</w:t>
            </w:r>
          </w:p>
        </w:tc>
        <w:tc>
          <w:tcPr>
            <w:tcW w:type="dxa" w:w="1656"/>
            <w:tcBorders>
              <w:top w:val="single" w:sz="6" w:color="000000"/>
              <w:bottom w:val="single" w:sz="6" w:color="000000"/>
              <w:left w:val="nil"/>
              <w:right w:val="nil"/>
              <w:insideH w:val="nil"/>
              <w:insideV w:val="nil"/>
            </w:tcBorders>
          </w:tcPr>
          <w:p>
            <w:r/>
            <w:r>
              <w:rPr>
                <w:b/>
                <w:sz w:val="14"/>
              </w:rPr>
              <w:t>18-24 y</w:t>
            </w:r>
          </w:p>
        </w:tc>
        <w:tc>
          <w:tcPr>
            <w:tcW w:type="dxa" w:w="1656"/>
            <w:tcBorders>
              <w:top w:val="single" w:sz="6" w:color="000000"/>
              <w:bottom w:val="single" w:sz="6" w:color="000000"/>
              <w:left w:val="nil"/>
              <w:right w:val="nil"/>
              <w:insideH w:val="nil"/>
              <w:insideV w:val="nil"/>
            </w:tcBorders>
          </w:tcPr>
          <w:p>
            <w:r/>
            <w:r>
              <w:rPr>
                <w:b/>
                <w:sz w:val="14"/>
              </w:rPr>
              <w:t>25-29 y</w:t>
            </w:r>
          </w:p>
        </w:tc>
        <w:tc>
          <w:tcPr>
            <w:tcW w:type="dxa" w:w="1656"/>
            <w:tcBorders>
              <w:top w:val="single" w:sz="6" w:color="000000"/>
              <w:bottom w:val="single" w:sz="6" w:color="000000"/>
              <w:left w:val="nil"/>
              <w:right w:val="nil"/>
              <w:insideH w:val="nil"/>
              <w:insideV w:val="nil"/>
            </w:tcBorders>
          </w:tcPr>
          <w:p>
            <w:r/>
            <w:r>
              <w:rPr>
                <w:b/>
                <w:sz w:val="14"/>
              </w:rPr>
              <w:t>30-34 y</w:t>
            </w:r>
          </w:p>
        </w:tc>
        <w:tc>
          <w:tcPr>
            <w:tcW w:type="dxa" w:w="1656"/>
            <w:tcBorders>
              <w:top w:val="single" w:sz="6" w:color="000000"/>
              <w:bottom w:val="single" w:sz="6" w:color="000000"/>
              <w:left w:val="nil"/>
              <w:right w:val="nil"/>
              <w:insideH w:val="nil"/>
              <w:insideV w:val="nil"/>
            </w:tcBorders>
          </w:tcPr>
          <w:p>
            <w:r/>
            <w:r>
              <w:rPr>
                <w:b/>
                <w:sz w:val="14"/>
              </w:rPr>
              <w:t>35-39 y</w:t>
            </w:r>
          </w:p>
        </w:tc>
        <w:tc>
          <w:tcPr>
            <w:tcW w:type="dxa" w:w="1656"/>
            <w:tcBorders>
              <w:top w:val="single" w:sz="6" w:color="000000"/>
              <w:bottom w:val="single" w:sz="6" w:color="000000"/>
              <w:left w:val="nil"/>
              <w:right w:val="nil"/>
              <w:insideH w:val="nil"/>
              <w:insideV w:val="nil"/>
            </w:tcBorders>
          </w:tcPr>
          <w:p>
            <w:r/>
            <w:r>
              <w:rPr>
                <w:b/>
                <w:sz w:val="14"/>
              </w:rPr>
              <w:t>40-44 y</w:t>
            </w:r>
          </w:p>
        </w:tc>
        <w:tc>
          <w:tcPr>
            <w:tcW w:type="dxa" w:w="1656"/>
            <w:tcBorders>
              <w:top w:val="single" w:sz="6" w:color="000000"/>
              <w:bottom w:val="single" w:sz="6" w:color="000000"/>
              <w:left w:val="nil"/>
              <w:right w:val="nil"/>
              <w:insideH w:val="nil"/>
              <w:insideV w:val="nil"/>
            </w:tcBorders>
          </w:tcPr>
          <w:p>
            <w:r/>
            <w:r>
              <w:rPr>
                <w:b/>
                <w:sz w:val="14"/>
              </w:rPr>
              <w:t>45+ y</w:t>
            </w:r>
          </w:p>
        </w:tc>
      </w:tr>
      <w:tr>
        <w:tc>
          <w:tcPr>
            <w:tcW w:type="dxa" w:w="3456"/>
            <w:tcBorders>
              <w:top w:val="nil" w:sz="6" w:color="000000"/>
              <w:bottom w:val="nil" w:sz="6" w:color="000000"/>
              <w:left w:val="nil"/>
              <w:right w:val="nil"/>
              <w:insideH w:val="nil"/>
              <w:insideV w:val="nil"/>
            </w:tcBorders>
          </w:tcPr>
          <w:p>
            <w:pPr>
              <w:spacing w:after="0" w:line="240" w:lineRule="auto"/>
            </w:pPr>
            <w:r/>
            <w:r>
              <w:rPr>
                <w:b/>
                <w:sz w:val="14"/>
              </w:rPr>
              <w:t>Day 1</w:t>
            </w:r>
          </w:p>
        </w:tc>
        <w:tc>
          <w:tcPr>
            <w:tcW w:type="dxa" w:w="1656"/>
            <w:tcBorders>
              <w:top w:val="nil" w:sz="6" w:color="000000"/>
              <w:bottom w:val="nil" w:sz="6" w:color="000000"/>
              <w:left w:val="nil"/>
              <w:right w:val="nil"/>
              <w:insideH w:val="nil"/>
              <w:insideV w:val="nil"/>
            </w:tcBorders>
          </w:tcPr>
          <w:p>
            <w:pPr>
              <w:spacing w:after="0" w:line="240" w:lineRule="auto"/>
            </w:pPr>
            <w:r/>
            <w:r>
              <w:rPr>
                <w:b/>
                <w:sz w:val="14"/>
              </w:rPr>
            </w:r>
          </w:p>
        </w:tc>
        <w:tc>
          <w:tcPr>
            <w:tcW w:type="dxa" w:w="1656"/>
            <w:tcBorders>
              <w:top w:val="nil" w:sz="6" w:color="000000"/>
              <w:bottom w:val="nil" w:sz="6" w:color="000000"/>
              <w:left w:val="nil"/>
              <w:right w:val="nil"/>
              <w:insideH w:val="nil"/>
              <w:insideV w:val="nil"/>
            </w:tcBorders>
          </w:tcPr>
          <w:p>
            <w:pPr>
              <w:spacing w:after="0" w:line="240" w:lineRule="auto"/>
            </w:pPr>
            <w:r/>
            <w:r>
              <w:rPr>
                <w:b/>
                <w:sz w:val="14"/>
              </w:rPr>
            </w:r>
          </w:p>
        </w:tc>
        <w:tc>
          <w:tcPr>
            <w:tcW w:type="dxa" w:w="1656"/>
            <w:tcBorders>
              <w:top w:val="nil" w:sz="6" w:color="000000"/>
              <w:bottom w:val="nil" w:sz="6" w:color="000000"/>
              <w:left w:val="nil"/>
              <w:right w:val="nil"/>
              <w:insideH w:val="nil"/>
              <w:insideV w:val="nil"/>
            </w:tcBorders>
          </w:tcPr>
          <w:p>
            <w:pPr>
              <w:spacing w:after="0" w:line="240" w:lineRule="auto"/>
            </w:pPr>
            <w:r/>
            <w:r>
              <w:rPr>
                <w:b/>
                <w:sz w:val="14"/>
              </w:rPr>
            </w:r>
          </w:p>
        </w:tc>
        <w:tc>
          <w:tcPr>
            <w:tcW w:type="dxa" w:w="1656"/>
            <w:tcBorders>
              <w:top w:val="nil" w:sz="6" w:color="000000"/>
              <w:bottom w:val="nil" w:sz="6" w:color="000000"/>
              <w:left w:val="nil"/>
              <w:right w:val="nil"/>
              <w:insideH w:val="nil"/>
              <w:insideV w:val="nil"/>
            </w:tcBorders>
          </w:tcPr>
          <w:p>
            <w:pPr>
              <w:spacing w:after="0" w:line="240" w:lineRule="auto"/>
            </w:pPr>
            <w:r/>
            <w:r>
              <w:rPr>
                <w:b/>
                <w:sz w:val="14"/>
              </w:rPr>
            </w:r>
          </w:p>
        </w:tc>
        <w:tc>
          <w:tcPr>
            <w:tcW w:type="dxa" w:w="1656"/>
            <w:tcBorders>
              <w:top w:val="nil" w:sz="6" w:color="000000"/>
              <w:bottom w:val="nil" w:sz="6" w:color="000000"/>
              <w:left w:val="nil"/>
              <w:right w:val="nil"/>
              <w:insideH w:val="nil"/>
              <w:insideV w:val="nil"/>
            </w:tcBorders>
          </w:tcPr>
          <w:p>
            <w:pPr>
              <w:spacing w:after="0" w:line="240" w:lineRule="auto"/>
            </w:pPr>
            <w:r/>
            <w:r>
              <w:rPr>
                <w:b/>
                <w:sz w:val="14"/>
              </w:rPr>
            </w:r>
          </w:p>
        </w:tc>
        <w:tc>
          <w:tcPr>
            <w:tcW w:type="dxa" w:w="1656"/>
            <w:tcBorders>
              <w:top w:val="nil" w:sz="6" w:color="000000"/>
              <w:bottom w:val="nil" w:sz="6" w:color="000000"/>
              <w:left w:val="nil"/>
              <w:right w:val="nil"/>
              <w:insideH w:val="nil"/>
              <w:insideV w:val="nil"/>
            </w:tcBorders>
          </w:tcPr>
          <w:p>
            <w:pPr>
              <w:spacing w:after="0" w:line="240" w:lineRule="auto"/>
            </w:pPr>
            <w:r/>
            <w:r>
              <w:rPr>
                <w:b/>
                <w:sz w:val="14"/>
              </w:rPr>
            </w:r>
          </w:p>
        </w:tc>
      </w:tr>
      <w:tr>
        <w:tc>
          <w:tcPr>
            <w:tcW w:type="dxa" w:w="3456"/>
            <w:tcBorders>
              <w:top w:val="nil" w:sz="6" w:color="000000"/>
              <w:bottom w:val="nil" w:sz="6" w:color="000000"/>
              <w:left w:val="nil"/>
              <w:right w:val="nil"/>
              <w:insideH w:val="nil"/>
              <w:insideV w:val="nil"/>
            </w:tcBorders>
          </w:tcPr>
          <w:p>
            <w:pPr>
              <w:spacing w:after="0" w:line="240" w:lineRule="auto"/>
            </w:pPr>
            <w:r/>
            <w:r>
              <w:rPr>
                <w:b w:val="0"/>
                <w:sz w:val="14"/>
              </w:rPr>
              <w:t xml:space="preserve">  UDVA 20/20 or better, n/N (%)</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385/644 (60%)</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472/772 (61%)</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414/636 (65%)</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251/455 (55%)</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104/184 (57%)</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12/34 (35%)</w:t>
            </w:r>
          </w:p>
        </w:tc>
      </w:tr>
      <w:tr>
        <w:tc>
          <w:tcPr>
            <w:tcW w:type="dxa" w:w="3456"/>
            <w:tcBorders>
              <w:top w:val="nil" w:sz="6" w:color="000000"/>
              <w:bottom w:val="nil" w:sz="6" w:color="000000"/>
              <w:left w:val="nil"/>
              <w:right w:val="nil"/>
              <w:insideH w:val="nil"/>
              <w:insideV w:val="nil"/>
            </w:tcBorders>
          </w:tcPr>
          <w:p>
            <w:pPr>
              <w:spacing w:after="0" w:line="240" w:lineRule="auto"/>
            </w:pPr>
            <w:r/>
            <w:r>
              <w:rPr>
                <w:b w:val="0"/>
                <w:sz w:val="14"/>
              </w:rPr>
              <w:t xml:space="preserve">  UDVA worse than 20/25, %</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19%</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17%</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15%</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21%</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23%</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29%</w:t>
            </w:r>
          </w:p>
        </w:tc>
      </w:tr>
      <w:tr>
        <w:tc>
          <w:tcPr>
            <w:tcW w:type="dxa" w:w="3456"/>
            <w:tcBorders>
              <w:top w:val="nil" w:sz="6" w:color="000000"/>
              <w:bottom w:val="nil" w:sz="6" w:color="000000"/>
              <w:left w:val="nil"/>
              <w:right w:val="nil"/>
              <w:insideH w:val="nil"/>
              <w:insideV w:val="nil"/>
            </w:tcBorders>
          </w:tcPr>
          <w:p>
            <w:pPr>
              <w:spacing w:after="0" w:line="240" w:lineRule="auto"/>
            </w:pPr>
            <w:r/>
            <w:r>
              <w:rPr>
                <w:b w:val="0"/>
                <w:sz w:val="14"/>
              </w:rPr>
              <w:t xml:space="preserve">  UDVA, logMAR, mean ± SD</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0.02 ± 0.17</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0.02 ± 0.17</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0.01 ± 0.15</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0.04 ± 0.18</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0.04 ± 0.17</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0.07 ± 0.12</w:t>
            </w:r>
          </w:p>
        </w:tc>
      </w:tr>
      <w:tr>
        <w:tc>
          <w:tcPr>
            <w:tcW w:type="dxa" w:w="3456"/>
            <w:tcBorders>
              <w:top w:val="nil" w:sz="6" w:color="000000"/>
              <w:bottom w:val="nil" w:sz="6" w:color="000000"/>
              <w:left w:val="nil"/>
              <w:right w:val="nil"/>
              <w:insideH w:val="nil"/>
              <w:insideV w:val="nil"/>
            </w:tcBorders>
          </w:tcPr>
          <w:p>
            <w:pPr>
              <w:spacing w:after="0" w:line="240" w:lineRule="auto"/>
            </w:pPr>
            <w:r/>
            <w:r>
              <w:rPr>
                <w:b w:val="0"/>
                <w:sz w:val="14"/>
              </w:rPr>
              <w:t xml:space="preserve">  CDVA loss ≥1 line, n/N (%)</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81/554 (14.6%)</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89/698 (12.8%)</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75/543 (13.8%)</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57/383 (14.9%)</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25/162 (15.4%)</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2/29 (6.9%)</w:t>
            </w:r>
          </w:p>
        </w:tc>
      </w:tr>
      <w:tr>
        <w:tc>
          <w:tcPr>
            <w:tcW w:type="dxa" w:w="3456"/>
            <w:tcBorders>
              <w:top w:val="nil" w:sz="6" w:color="000000"/>
              <w:bottom w:val="nil" w:sz="6" w:color="000000"/>
              <w:left w:val="nil"/>
              <w:right w:val="nil"/>
              <w:insideH w:val="nil"/>
              <w:insideV w:val="nil"/>
            </w:tcBorders>
          </w:tcPr>
          <w:p>
            <w:pPr>
              <w:spacing w:after="0" w:line="240" w:lineRule="auto"/>
            </w:pPr>
            <w:r/>
            <w:r>
              <w:rPr>
                <w:b w:val="0"/>
                <w:sz w:val="14"/>
              </w:rPr>
              <w:t xml:space="preserve">  CDVA loss ≥2 lines, n/N</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38/554</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35/698</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26/543</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28/383</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11/162</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1/29</w:t>
            </w:r>
          </w:p>
        </w:tc>
      </w:tr>
      <w:tr>
        <w:tc>
          <w:tcPr>
            <w:tcW w:type="dxa" w:w="3456"/>
            <w:tcBorders>
              <w:top w:val="nil" w:sz="6" w:color="000000"/>
              <w:bottom w:val="nil" w:sz="6" w:color="000000"/>
              <w:left w:val="nil"/>
              <w:right w:val="nil"/>
              <w:insideH w:val="nil"/>
              <w:insideV w:val="nil"/>
            </w:tcBorders>
          </w:tcPr>
          <w:p>
            <w:pPr>
              <w:spacing w:after="0" w:line="240" w:lineRule="auto"/>
            </w:pPr>
            <w:r/>
            <w:r>
              <w:rPr>
                <w:b/>
                <w:sz w:val="14"/>
              </w:rPr>
              <w:t>1 week</w:t>
            </w:r>
          </w:p>
        </w:tc>
        <w:tc>
          <w:tcPr>
            <w:tcW w:type="dxa" w:w="1656"/>
            <w:tcBorders>
              <w:top w:val="nil" w:sz="6" w:color="000000"/>
              <w:bottom w:val="nil" w:sz="6" w:color="000000"/>
              <w:left w:val="nil"/>
              <w:right w:val="nil"/>
              <w:insideH w:val="nil"/>
              <w:insideV w:val="nil"/>
            </w:tcBorders>
          </w:tcPr>
          <w:p>
            <w:pPr>
              <w:spacing w:after="0" w:line="240" w:lineRule="auto"/>
            </w:pPr>
            <w:r/>
            <w:r>
              <w:rPr>
                <w:b/>
                <w:sz w:val="14"/>
              </w:rPr>
            </w:r>
          </w:p>
        </w:tc>
        <w:tc>
          <w:tcPr>
            <w:tcW w:type="dxa" w:w="1656"/>
            <w:tcBorders>
              <w:top w:val="nil" w:sz="6" w:color="000000"/>
              <w:bottom w:val="nil" w:sz="6" w:color="000000"/>
              <w:left w:val="nil"/>
              <w:right w:val="nil"/>
              <w:insideH w:val="nil"/>
              <w:insideV w:val="nil"/>
            </w:tcBorders>
          </w:tcPr>
          <w:p>
            <w:pPr>
              <w:spacing w:after="0" w:line="240" w:lineRule="auto"/>
            </w:pPr>
            <w:r/>
            <w:r>
              <w:rPr>
                <w:b/>
                <w:sz w:val="14"/>
              </w:rPr>
            </w:r>
          </w:p>
        </w:tc>
        <w:tc>
          <w:tcPr>
            <w:tcW w:type="dxa" w:w="1656"/>
            <w:tcBorders>
              <w:top w:val="nil" w:sz="6" w:color="000000"/>
              <w:bottom w:val="nil" w:sz="6" w:color="000000"/>
              <w:left w:val="nil"/>
              <w:right w:val="nil"/>
              <w:insideH w:val="nil"/>
              <w:insideV w:val="nil"/>
            </w:tcBorders>
          </w:tcPr>
          <w:p>
            <w:pPr>
              <w:spacing w:after="0" w:line="240" w:lineRule="auto"/>
            </w:pPr>
            <w:r/>
            <w:r>
              <w:rPr>
                <w:b/>
                <w:sz w:val="14"/>
              </w:rPr>
            </w:r>
          </w:p>
        </w:tc>
        <w:tc>
          <w:tcPr>
            <w:tcW w:type="dxa" w:w="1656"/>
            <w:tcBorders>
              <w:top w:val="nil" w:sz="6" w:color="000000"/>
              <w:bottom w:val="nil" w:sz="6" w:color="000000"/>
              <w:left w:val="nil"/>
              <w:right w:val="nil"/>
              <w:insideH w:val="nil"/>
              <w:insideV w:val="nil"/>
            </w:tcBorders>
          </w:tcPr>
          <w:p>
            <w:pPr>
              <w:spacing w:after="0" w:line="240" w:lineRule="auto"/>
            </w:pPr>
            <w:r/>
            <w:r>
              <w:rPr>
                <w:b/>
                <w:sz w:val="14"/>
              </w:rPr>
            </w:r>
          </w:p>
        </w:tc>
        <w:tc>
          <w:tcPr>
            <w:tcW w:type="dxa" w:w="1656"/>
            <w:tcBorders>
              <w:top w:val="nil" w:sz="6" w:color="000000"/>
              <w:bottom w:val="nil" w:sz="6" w:color="000000"/>
              <w:left w:val="nil"/>
              <w:right w:val="nil"/>
              <w:insideH w:val="nil"/>
              <w:insideV w:val="nil"/>
            </w:tcBorders>
          </w:tcPr>
          <w:p>
            <w:pPr>
              <w:spacing w:after="0" w:line="240" w:lineRule="auto"/>
            </w:pPr>
            <w:r/>
            <w:r>
              <w:rPr>
                <w:b/>
                <w:sz w:val="14"/>
              </w:rPr>
            </w:r>
          </w:p>
        </w:tc>
        <w:tc>
          <w:tcPr>
            <w:tcW w:type="dxa" w:w="1656"/>
            <w:tcBorders>
              <w:top w:val="nil" w:sz="6" w:color="000000"/>
              <w:bottom w:val="nil" w:sz="6" w:color="000000"/>
              <w:left w:val="nil"/>
              <w:right w:val="nil"/>
              <w:insideH w:val="nil"/>
              <w:insideV w:val="nil"/>
            </w:tcBorders>
          </w:tcPr>
          <w:p>
            <w:pPr>
              <w:spacing w:after="0" w:line="240" w:lineRule="auto"/>
            </w:pPr>
            <w:r/>
            <w:r>
              <w:rPr>
                <w:b/>
                <w:sz w:val="14"/>
              </w:rPr>
            </w:r>
          </w:p>
        </w:tc>
      </w:tr>
      <w:tr>
        <w:tc>
          <w:tcPr>
            <w:tcW w:type="dxa" w:w="3456"/>
            <w:tcBorders>
              <w:top w:val="nil" w:sz="6" w:color="000000"/>
              <w:bottom w:val="nil" w:sz="6" w:color="000000"/>
              <w:left w:val="nil"/>
              <w:right w:val="nil"/>
              <w:insideH w:val="nil"/>
              <w:insideV w:val="nil"/>
            </w:tcBorders>
          </w:tcPr>
          <w:p>
            <w:pPr>
              <w:spacing w:after="0" w:line="240" w:lineRule="auto"/>
            </w:pPr>
            <w:r/>
            <w:r>
              <w:rPr>
                <w:b w:val="0"/>
                <w:sz w:val="14"/>
              </w:rPr>
              <w:t xml:space="preserve">  UDVA 20/20 or better, n/N (%)</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421/562 (75%)</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517/662 (78%)</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427/547 (78%)</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269/383 (70%)</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100/149 (67%)</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17/31 (55%)</w:t>
            </w:r>
          </w:p>
        </w:tc>
      </w:tr>
      <w:tr>
        <w:tc>
          <w:tcPr>
            <w:tcW w:type="dxa" w:w="3456"/>
            <w:tcBorders>
              <w:top w:val="nil" w:sz="6" w:color="000000"/>
              <w:bottom w:val="nil" w:sz="6" w:color="000000"/>
              <w:left w:val="nil"/>
              <w:right w:val="nil"/>
              <w:insideH w:val="nil"/>
              <w:insideV w:val="nil"/>
            </w:tcBorders>
          </w:tcPr>
          <w:p>
            <w:pPr>
              <w:spacing w:after="0" w:line="240" w:lineRule="auto"/>
            </w:pPr>
            <w:r/>
            <w:r>
              <w:rPr>
                <w:b w:val="0"/>
                <w:sz w:val="14"/>
              </w:rPr>
              <w:t xml:space="preserve">  UDVA worse than 20/25, %</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8%</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8%</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7%</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11%</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11%</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23%</w:t>
            </w:r>
          </w:p>
        </w:tc>
      </w:tr>
      <w:tr>
        <w:tc>
          <w:tcPr>
            <w:tcW w:type="dxa" w:w="3456"/>
            <w:tcBorders>
              <w:top w:val="nil" w:sz="6" w:color="000000"/>
              <w:bottom w:val="nil" w:sz="6" w:color="000000"/>
              <w:left w:val="nil"/>
              <w:right w:val="nil"/>
              <w:insideH w:val="nil"/>
              <w:insideV w:val="nil"/>
            </w:tcBorders>
          </w:tcPr>
          <w:p>
            <w:pPr>
              <w:spacing w:after="0" w:line="240" w:lineRule="auto"/>
            </w:pPr>
            <w:r/>
            <w:r>
              <w:rPr>
                <w:b w:val="0"/>
                <w:sz w:val="14"/>
              </w:rPr>
              <w:t xml:space="preserve">  UDVA, logMAR, mean ± SD</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−0.03 ± 0.12</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−0.04 ± 0.13</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−0.04 ± 0.13</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−0.03 ± 0.14</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−0.02 ± 0.13</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0.00 ± 0.14</w:t>
            </w:r>
          </w:p>
        </w:tc>
      </w:tr>
      <w:tr>
        <w:tc>
          <w:tcPr>
            <w:tcW w:type="dxa" w:w="3456"/>
            <w:tcBorders>
              <w:top w:val="nil" w:sz="6" w:color="000000"/>
              <w:bottom w:val="nil" w:sz="6" w:color="000000"/>
              <w:left w:val="nil"/>
              <w:right w:val="nil"/>
              <w:insideH w:val="nil"/>
              <w:insideV w:val="nil"/>
            </w:tcBorders>
          </w:tcPr>
          <w:p>
            <w:pPr>
              <w:spacing w:after="0" w:line="240" w:lineRule="auto"/>
            </w:pPr>
            <w:r/>
            <w:r>
              <w:rPr>
                <w:b w:val="0"/>
                <w:sz w:val="14"/>
              </w:rPr>
              <w:t xml:space="preserve">  CDVA loss ≥1 line, n/N (%)</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31/476 (6.5%)</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27/585 (4.6%)</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28/465 (6.0%)</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28/310 (9.0%)</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12/126 (9.5%)</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2/26 (7.7%)</w:t>
            </w:r>
          </w:p>
        </w:tc>
      </w:tr>
      <w:tr>
        <w:tc>
          <w:tcPr>
            <w:tcW w:type="dxa" w:w="3456"/>
            <w:tcBorders>
              <w:top w:val="nil" w:sz="6" w:color="000000"/>
              <w:bottom w:val="nil" w:sz="6" w:color="000000"/>
              <w:left w:val="nil"/>
              <w:right w:val="nil"/>
              <w:insideH w:val="nil"/>
              <w:insideV w:val="nil"/>
            </w:tcBorders>
          </w:tcPr>
          <w:p>
            <w:pPr>
              <w:spacing w:after="0" w:line="240" w:lineRule="auto"/>
            </w:pPr>
            <w:r/>
            <w:r>
              <w:rPr>
                <w:b w:val="0"/>
                <w:sz w:val="14"/>
              </w:rPr>
              <w:t xml:space="preserve">  CDVA loss ≥2 lines, n/N</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6/476</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5/585</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6/465</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9/310</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5/126</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0/26</w:t>
            </w:r>
          </w:p>
        </w:tc>
      </w:tr>
      <w:tr>
        <w:tc>
          <w:tcPr>
            <w:tcW w:type="dxa" w:w="3456"/>
            <w:tcBorders>
              <w:top w:val="nil" w:sz="6" w:color="000000"/>
              <w:bottom w:val="nil" w:sz="6" w:color="000000"/>
              <w:left w:val="nil"/>
              <w:right w:val="nil"/>
              <w:insideH w:val="nil"/>
              <w:insideV w:val="nil"/>
            </w:tcBorders>
          </w:tcPr>
          <w:p>
            <w:pPr>
              <w:spacing w:after="0" w:line="240" w:lineRule="auto"/>
            </w:pPr>
            <w:r/>
            <w:r>
              <w:rPr>
                <w:b/>
                <w:sz w:val="14"/>
              </w:rPr>
              <w:t>1 month</w:t>
            </w:r>
          </w:p>
        </w:tc>
        <w:tc>
          <w:tcPr>
            <w:tcW w:type="dxa" w:w="1656"/>
            <w:tcBorders>
              <w:top w:val="nil" w:sz="6" w:color="000000"/>
              <w:bottom w:val="nil" w:sz="6" w:color="000000"/>
              <w:left w:val="nil"/>
              <w:right w:val="nil"/>
              <w:insideH w:val="nil"/>
              <w:insideV w:val="nil"/>
            </w:tcBorders>
          </w:tcPr>
          <w:p>
            <w:pPr>
              <w:spacing w:after="0" w:line="240" w:lineRule="auto"/>
            </w:pPr>
            <w:r/>
            <w:r>
              <w:rPr>
                <w:b/>
                <w:sz w:val="14"/>
              </w:rPr>
            </w:r>
          </w:p>
        </w:tc>
        <w:tc>
          <w:tcPr>
            <w:tcW w:type="dxa" w:w="1656"/>
            <w:tcBorders>
              <w:top w:val="nil" w:sz="6" w:color="000000"/>
              <w:bottom w:val="nil" w:sz="6" w:color="000000"/>
              <w:left w:val="nil"/>
              <w:right w:val="nil"/>
              <w:insideH w:val="nil"/>
              <w:insideV w:val="nil"/>
            </w:tcBorders>
          </w:tcPr>
          <w:p>
            <w:pPr>
              <w:spacing w:after="0" w:line="240" w:lineRule="auto"/>
            </w:pPr>
            <w:r/>
            <w:r>
              <w:rPr>
                <w:b/>
                <w:sz w:val="14"/>
              </w:rPr>
            </w:r>
          </w:p>
        </w:tc>
        <w:tc>
          <w:tcPr>
            <w:tcW w:type="dxa" w:w="1656"/>
            <w:tcBorders>
              <w:top w:val="nil" w:sz="6" w:color="000000"/>
              <w:bottom w:val="nil" w:sz="6" w:color="000000"/>
              <w:left w:val="nil"/>
              <w:right w:val="nil"/>
              <w:insideH w:val="nil"/>
              <w:insideV w:val="nil"/>
            </w:tcBorders>
          </w:tcPr>
          <w:p>
            <w:pPr>
              <w:spacing w:after="0" w:line="240" w:lineRule="auto"/>
            </w:pPr>
            <w:r/>
            <w:r>
              <w:rPr>
                <w:b/>
                <w:sz w:val="14"/>
              </w:rPr>
            </w:r>
          </w:p>
        </w:tc>
        <w:tc>
          <w:tcPr>
            <w:tcW w:type="dxa" w:w="1656"/>
            <w:tcBorders>
              <w:top w:val="nil" w:sz="6" w:color="000000"/>
              <w:bottom w:val="nil" w:sz="6" w:color="000000"/>
              <w:left w:val="nil"/>
              <w:right w:val="nil"/>
              <w:insideH w:val="nil"/>
              <w:insideV w:val="nil"/>
            </w:tcBorders>
          </w:tcPr>
          <w:p>
            <w:pPr>
              <w:spacing w:after="0" w:line="240" w:lineRule="auto"/>
            </w:pPr>
            <w:r/>
            <w:r>
              <w:rPr>
                <w:b/>
                <w:sz w:val="14"/>
              </w:rPr>
            </w:r>
          </w:p>
        </w:tc>
        <w:tc>
          <w:tcPr>
            <w:tcW w:type="dxa" w:w="1656"/>
            <w:tcBorders>
              <w:top w:val="nil" w:sz="6" w:color="000000"/>
              <w:bottom w:val="nil" w:sz="6" w:color="000000"/>
              <w:left w:val="nil"/>
              <w:right w:val="nil"/>
              <w:insideH w:val="nil"/>
              <w:insideV w:val="nil"/>
            </w:tcBorders>
          </w:tcPr>
          <w:p>
            <w:pPr>
              <w:spacing w:after="0" w:line="240" w:lineRule="auto"/>
            </w:pPr>
            <w:r/>
            <w:r>
              <w:rPr>
                <w:b/>
                <w:sz w:val="14"/>
              </w:rPr>
            </w:r>
          </w:p>
        </w:tc>
        <w:tc>
          <w:tcPr>
            <w:tcW w:type="dxa" w:w="1656"/>
            <w:tcBorders>
              <w:top w:val="nil" w:sz="6" w:color="000000"/>
              <w:bottom w:val="nil" w:sz="6" w:color="000000"/>
              <w:left w:val="nil"/>
              <w:right w:val="nil"/>
              <w:insideH w:val="nil"/>
              <w:insideV w:val="nil"/>
            </w:tcBorders>
          </w:tcPr>
          <w:p>
            <w:pPr>
              <w:spacing w:after="0" w:line="240" w:lineRule="auto"/>
            </w:pPr>
            <w:r/>
            <w:r>
              <w:rPr>
                <w:b/>
                <w:sz w:val="14"/>
              </w:rPr>
            </w:r>
          </w:p>
        </w:tc>
      </w:tr>
      <w:tr>
        <w:tc>
          <w:tcPr>
            <w:tcW w:type="dxa" w:w="3456"/>
            <w:tcBorders>
              <w:top w:val="nil" w:sz="6" w:color="000000"/>
              <w:bottom w:val="nil" w:sz="6" w:color="000000"/>
              <w:left w:val="nil"/>
              <w:right w:val="nil"/>
              <w:insideH w:val="nil"/>
              <w:insideV w:val="nil"/>
            </w:tcBorders>
          </w:tcPr>
          <w:p>
            <w:pPr>
              <w:spacing w:after="0" w:line="240" w:lineRule="auto"/>
            </w:pPr>
            <w:r/>
            <w:r>
              <w:rPr>
                <w:b w:val="0"/>
                <w:sz w:val="14"/>
              </w:rPr>
              <w:t xml:space="preserve">  UDVA 20/20 or better, n/N (%)</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476/553 (86%)</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546/640 (85%)</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499/564 (88%)</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308/382 (81%)</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117/155 (75%)</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18/27 (67%)</w:t>
            </w:r>
          </w:p>
        </w:tc>
      </w:tr>
      <w:tr>
        <w:tc>
          <w:tcPr>
            <w:tcW w:type="dxa" w:w="3456"/>
            <w:tcBorders>
              <w:top w:val="nil" w:sz="6" w:color="000000"/>
              <w:bottom w:val="nil" w:sz="6" w:color="000000"/>
              <w:left w:val="nil"/>
              <w:right w:val="nil"/>
              <w:insideH w:val="nil"/>
              <w:insideV w:val="nil"/>
            </w:tcBorders>
          </w:tcPr>
          <w:p>
            <w:pPr>
              <w:spacing w:after="0" w:line="240" w:lineRule="auto"/>
            </w:pPr>
            <w:r/>
            <w:r>
              <w:rPr>
                <w:b w:val="0"/>
                <w:sz w:val="14"/>
              </w:rPr>
              <w:t xml:space="preserve">  UDVA worse than 20/25, %</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3%</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3%</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3%</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5%</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5%</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7%</w:t>
            </w:r>
          </w:p>
        </w:tc>
      </w:tr>
      <w:tr>
        <w:tc>
          <w:tcPr>
            <w:tcW w:type="dxa" w:w="3456"/>
            <w:tcBorders>
              <w:top w:val="nil" w:sz="6" w:color="000000"/>
              <w:bottom w:val="nil" w:sz="6" w:color="000000"/>
              <w:left w:val="nil"/>
              <w:right w:val="nil"/>
              <w:insideH w:val="nil"/>
              <w:insideV w:val="nil"/>
            </w:tcBorders>
          </w:tcPr>
          <w:p>
            <w:pPr>
              <w:spacing w:after="0" w:line="240" w:lineRule="auto"/>
            </w:pPr>
            <w:r/>
            <w:r>
              <w:rPr>
                <w:b w:val="0"/>
                <w:sz w:val="14"/>
              </w:rPr>
              <w:t xml:space="preserve">  UDVA, logMAR, mean ± SD</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−0.07 ± 0.11</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−0.08 ± 0.10</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−0.08 ± 0.10</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−0.06 ± 0.11</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−0.06 ± 0.11</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−0.04 ± 0.11</w:t>
            </w:r>
          </w:p>
        </w:tc>
      </w:tr>
      <w:tr>
        <w:tc>
          <w:tcPr>
            <w:tcW w:type="dxa" w:w="3456"/>
            <w:tcBorders>
              <w:top w:val="nil" w:sz="6" w:color="000000"/>
              <w:bottom w:val="nil" w:sz="6" w:color="000000"/>
              <w:left w:val="nil"/>
              <w:right w:val="nil"/>
              <w:insideH w:val="nil"/>
              <w:insideV w:val="nil"/>
            </w:tcBorders>
          </w:tcPr>
          <w:p>
            <w:pPr>
              <w:spacing w:after="0" w:line="240" w:lineRule="auto"/>
            </w:pPr>
            <w:r/>
            <w:r>
              <w:rPr>
                <w:b w:val="0"/>
                <w:sz w:val="14"/>
              </w:rPr>
              <w:t xml:space="preserve">  CDVA loss ≥1 line, n/N (%)</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7/440 (1.6%)</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8/528 (1.5%)</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4/447 (0.9%)</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11/301 (3.7%)</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5/125 (4.0%)</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1/21 (4.8%)</w:t>
            </w:r>
          </w:p>
        </w:tc>
      </w:tr>
      <w:tr>
        <w:tc>
          <w:tcPr>
            <w:tcW w:type="dxa" w:w="3456"/>
            <w:tcBorders>
              <w:top w:val="nil" w:sz="6" w:color="000000"/>
              <w:bottom w:val="nil" w:sz="6" w:color="000000"/>
              <w:left w:val="nil"/>
              <w:right w:val="nil"/>
              <w:insideH w:val="nil"/>
              <w:insideV w:val="nil"/>
            </w:tcBorders>
          </w:tcPr>
          <w:p>
            <w:pPr>
              <w:spacing w:after="0" w:line="240" w:lineRule="auto"/>
            </w:pPr>
            <w:r/>
            <w:r>
              <w:rPr>
                <w:b w:val="0"/>
                <w:sz w:val="14"/>
              </w:rPr>
              <w:t xml:space="preserve">  CDVA loss ≥2 lines, n/N</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0/440</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3/528</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1/447</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3/301</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1/125</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0/21</w:t>
            </w:r>
          </w:p>
        </w:tc>
      </w:tr>
      <w:tr>
        <w:tc>
          <w:tcPr>
            <w:tcW w:type="dxa" w:w="3456"/>
            <w:tcBorders>
              <w:top w:val="nil" w:sz="6" w:color="000000"/>
              <w:bottom w:val="nil" w:sz="6" w:color="000000"/>
              <w:left w:val="nil"/>
              <w:right w:val="nil"/>
              <w:insideH w:val="nil"/>
              <w:insideV w:val="nil"/>
            </w:tcBorders>
          </w:tcPr>
          <w:p>
            <w:pPr>
              <w:spacing w:after="0" w:line="240" w:lineRule="auto"/>
            </w:pPr>
            <w:r/>
            <w:r>
              <w:rPr>
                <w:b/>
                <w:sz w:val="14"/>
              </w:rPr>
              <w:t>3 months</w:t>
            </w:r>
          </w:p>
        </w:tc>
        <w:tc>
          <w:tcPr>
            <w:tcW w:type="dxa" w:w="1656"/>
            <w:tcBorders>
              <w:top w:val="nil" w:sz="6" w:color="000000"/>
              <w:bottom w:val="nil" w:sz="6" w:color="000000"/>
              <w:left w:val="nil"/>
              <w:right w:val="nil"/>
              <w:insideH w:val="nil"/>
              <w:insideV w:val="nil"/>
            </w:tcBorders>
          </w:tcPr>
          <w:p>
            <w:pPr>
              <w:spacing w:after="0" w:line="240" w:lineRule="auto"/>
            </w:pPr>
            <w:r/>
            <w:r>
              <w:rPr>
                <w:b/>
                <w:sz w:val="14"/>
              </w:rPr>
            </w:r>
          </w:p>
        </w:tc>
        <w:tc>
          <w:tcPr>
            <w:tcW w:type="dxa" w:w="1656"/>
            <w:tcBorders>
              <w:top w:val="nil" w:sz="6" w:color="000000"/>
              <w:bottom w:val="nil" w:sz="6" w:color="000000"/>
              <w:left w:val="nil"/>
              <w:right w:val="nil"/>
              <w:insideH w:val="nil"/>
              <w:insideV w:val="nil"/>
            </w:tcBorders>
          </w:tcPr>
          <w:p>
            <w:pPr>
              <w:spacing w:after="0" w:line="240" w:lineRule="auto"/>
            </w:pPr>
            <w:r/>
            <w:r>
              <w:rPr>
                <w:b/>
                <w:sz w:val="14"/>
              </w:rPr>
            </w:r>
          </w:p>
        </w:tc>
        <w:tc>
          <w:tcPr>
            <w:tcW w:type="dxa" w:w="1656"/>
            <w:tcBorders>
              <w:top w:val="nil" w:sz="6" w:color="000000"/>
              <w:bottom w:val="nil" w:sz="6" w:color="000000"/>
              <w:left w:val="nil"/>
              <w:right w:val="nil"/>
              <w:insideH w:val="nil"/>
              <w:insideV w:val="nil"/>
            </w:tcBorders>
          </w:tcPr>
          <w:p>
            <w:pPr>
              <w:spacing w:after="0" w:line="240" w:lineRule="auto"/>
            </w:pPr>
            <w:r/>
            <w:r>
              <w:rPr>
                <w:b/>
                <w:sz w:val="14"/>
              </w:rPr>
            </w:r>
          </w:p>
        </w:tc>
        <w:tc>
          <w:tcPr>
            <w:tcW w:type="dxa" w:w="1656"/>
            <w:tcBorders>
              <w:top w:val="nil" w:sz="6" w:color="000000"/>
              <w:bottom w:val="nil" w:sz="6" w:color="000000"/>
              <w:left w:val="nil"/>
              <w:right w:val="nil"/>
              <w:insideH w:val="nil"/>
              <w:insideV w:val="nil"/>
            </w:tcBorders>
          </w:tcPr>
          <w:p>
            <w:pPr>
              <w:spacing w:after="0" w:line="240" w:lineRule="auto"/>
            </w:pPr>
            <w:r/>
            <w:r>
              <w:rPr>
                <w:b/>
                <w:sz w:val="14"/>
              </w:rPr>
            </w:r>
          </w:p>
        </w:tc>
        <w:tc>
          <w:tcPr>
            <w:tcW w:type="dxa" w:w="1656"/>
            <w:tcBorders>
              <w:top w:val="nil" w:sz="6" w:color="000000"/>
              <w:bottom w:val="nil" w:sz="6" w:color="000000"/>
              <w:left w:val="nil"/>
              <w:right w:val="nil"/>
              <w:insideH w:val="nil"/>
              <w:insideV w:val="nil"/>
            </w:tcBorders>
          </w:tcPr>
          <w:p>
            <w:pPr>
              <w:spacing w:after="0" w:line="240" w:lineRule="auto"/>
            </w:pPr>
            <w:r/>
            <w:r>
              <w:rPr>
                <w:b/>
                <w:sz w:val="14"/>
              </w:rPr>
            </w:r>
          </w:p>
        </w:tc>
        <w:tc>
          <w:tcPr>
            <w:tcW w:type="dxa" w:w="1656"/>
            <w:tcBorders>
              <w:top w:val="nil" w:sz="6" w:color="000000"/>
              <w:bottom w:val="nil" w:sz="6" w:color="000000"/>
              <w:left w:val="nil"/>
              <w:right w:val="nil"/>
              <w:insideH w:val="nil"/>
              <w:insideV w:val="nil"/>
            </w:tcBorders>
          </w:tcPr>
          <w:p>
            <w:pPr>
              <w:spacing w:after="0" w:line="240" w:lineRule="auto"/>
            </w:pPr>
            <w:r/>
            <w:r>
              <w:rPr>
                <w:b/>
                <w:sz w:val="14"/>
              </w:rPr>
            </w:r>
          </w:p>
        </w:tc>
      </w:tr>
      <w:tr>
        <w:tc>
          <w:tcPr>
            <w:tcW w:type="dxa" w:w="3456"/>
            <w:tcBorders>
              <w:top w:val="nil" w:sz="6" w:color="000000"/>
              <w:bottom w:val="nil" w:sz="6" w:color="000000"/>
              <w:left w:val="nil"/>
              <w:right w:val="nil"/>
              <w:insideH w:val="nil"/>
              <w:insideV w:val="nil"/>
            </w:tcBorders>
          </w:tcPr>
          <w:p>
            <w:pPr>
              <w:spacing w:after="0" w:line="240" w:lineRule="auto"/>
            </w:pPr>
            <w:r/>
            <w:r>
              <w:rPr>
                <w:b w:val="0"/>
                <w:sz w:val="14"/>
              </w:rPr>
              <w:t xml:space="preserve">  UDVA 20/20 or better, n/N (%)</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394/417 (94%)</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535/572 (94%)</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410/437 (94%)</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276/301 (92%)</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114/131 (87%)</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20/26 (77%)</w:t>
            </w:r>
          </w:p>
        </w:tc>
      </w:tr>
      <w:tr>
        <w:tc>
          <w:tcPr>
            <w:tcW w:type="dxa" w:w="3456"/>
            <w:tcBorders>
              <w:top w:val="nil" w:sz="6" w:color="000000"/>
              <w:bottom w:val="nil" w:sz="6" w:color="000000"/>
              <w:left w:val="nil"/>
              <w:right w:val="nil"/>
              <w:insideH w:val="nil"/>
              <w:insideV w:val="nil"/>
            </w:tcBorders>
          </w:tcPr>
          <w:p>
            <w:pPr>
              <w:spacing w:after="0" w:line="240" w:lineRule="auto"/>
            </w:pPr>
            <w:r/>
            <w:r>
              <w:rPr>
                <w:b w:val="0"/>
                <w:sz w:val="14"/>
              </w:rPr>
              <w:t xml:space="preserve">  UDVA worse than 20/25, %</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1%</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1%</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1%</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2%</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2%</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4%</w:t>
            </w:r>
          </w:p>
        </w:tc>
      </w:tr>
      <w:tr>
        <w:tc>
          <w:tcPr>
            <w:tcW w:type="dxa" w:w="3456"/>
            <w:tcBorders>
              <w:top w:val="nil" w:sz="6" w:color="000000"/>
              <w:bottom w:val="nil" w:sz="6" w:color="000000"/>
              <w:left w:val="nil"/>
              <w:right w:val="nil"/>
              <w:insideH w:val="nil"/>
              <w:insideV w:val="nil"/>
            </w:tcBorders>
          </w:tcPr>
          <w:p>
            <w:pPr>
              <w:spacing w:after="0" w:line="240" w:lineRule="auto"/>
            </w:pPr>
            <w:r/>
            <w:r>
              <w:rPr>
                <w:b w:val="0"/>
                <w:sz w:val="14"/>
              </w:rPr>
              <w:t xml:space="preserve">  UDVA, logMAR, mean ± SD</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−0.11 ± 0.09</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−0.10 ± 0.08</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−0.11 ± 0.08</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−0.10 ± 0.09</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−0.09 ± 0.09</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−0.07 ± 0.10</w:t>
            </w:r>
          </w:p>
        </w:tc>
      </w:tr>
      <w:tr>
        <w:tc>
          <w:tcPr>
            <w:tcW w:type="dxa" w:w="3456"/>
            <w:tcBorders>
              <w:top w:val="nil" w:sz="6" w:color="000000"/>
              <w:bottom w:val="nil" w:sz="6" w:color="000000"/>
              <w:left w:val="nil"/>
              <w:right w:val="nil"/>
              <w:insideH w:val="nil"/>
              <w:insideV w:val="nil"/>
            </w:tcBorders>
          </w:tcPr>
          <w:p>
            <w:pPr>
              <w:spacing w:after="0" w:line="240" w:lineRule="auto"/>
            </w:pPr>
            <w:r/>
            <w:r>
              <w:rPr>
                <w:b w:val="0"/>
                <w:sz w:val="14"/>
              </w:rPr>
              <w:t xml:space="preserve">  CDVA loss ≥1 line, n/N (%)</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6/377 (1.6%)</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3/515 (0.6%)</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2/406 (0.5%)</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1/273 (0.4%)</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1/120 (0.8%)</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0/24 (0.0%)</w:t>
            </w:r>
          </w:p>
        </w:tc>
      </w:tr>
      <w:tr>
        <w:tc>
          <w:tcPr>
            <w:tcW w:type="dxa" w:w="3456"/>
            <w:tcBorders>
              <w:top w:val="nil" w:sz="6" w:color="000000"/>
              <w:bottom w:val="nil" w:sz="6" w:color="000000"/>
              <w:left w:val="nil"/>
              <w:right w:val="nil"/>
              <w:insideH w:val="nil"/>
              <w:insideV w:val="nil"/>
            </w:tcBorders>
          </w:tcPr>
          <w:p>
            <w:pPr>
              <w:spacing w:after="0" w:line="240" w:lineRule="auto"/>
            </w:pPr>
            <w:r/>
            <w:r>
              <w:rPr>
                <w:b w:val="0"/>
                <w:sz w:val="14"/>
              </w:rPr>
              <w:t xml:space="preserve">  CDVA loss ≥2 lines, n/N</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0/377</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0/515</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0/406</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0/273</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0/120</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0/24</w:t>
            </w:r>
          </w:p>
        </w:tc>
      </w:tr>
      <w:tr>
        <w:tc>
          <w:tcPr>
            <w:tcW w:type="dxa" w:w="3456"/>
            <w:tcBorders>
              <w:top w:val="nil" w:sz="6" w:color="000000"/>
              <w:bottom w:val="nil" w:sz="6" w:color="000000"/>
              <w:left w:val="nil"/>
              <w:right w:val="nil"/>
              <w:insideH w:val="nil"/>
              <w:insideV w:val="nil"/>
            </w:tcBorders>
          </w:tcPr>
          <w:p>
            <w:pPr>
              <w:spacing w:after="0" w:line="240" w:lineRule="auto"/>
            </w:pPr>
            <w:r/>
            <w:r>
              <w:rPr>
                <w:b w:val="0"/>
                <w:sz w:val="14"/>
              </w:rPr>
              <w:t xml:space="preserve">  Manifest SEQ, D, mean ± SD (N)</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−0.14 ± 0.43 (160)</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−0.26 ± 0.59 (210)</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−0.10 ± 0.51 (144)</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−0.37 ± 0.66 (91)</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−0.39 ± 0.58 (55)</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−0.67 ± 0.54 (6)</w:t>
            </w:r>
          </w:p>
        </w:tc>
      </w:tr>
      <w:tr>
        <w:tc>
          <w:tcPr>
            <w:tcW w:type="dxa" w:w="3456"/>
            <w:tcBorders>
              <w:top w:val="nil" w:sz="6" w:color="000000"/>
              <w:bottom w:val="nil" w:sz="6" w:color="000000"/>
              <w:left w:val="nil"/>
              <w:right w:val="nil"/>
              <w:insideH w:val="nil"/>
              <w:insideV w:val="nil"/>
            </w:tcBorders>
          </w:tcPr>
          <w:p>
            <w:pPr>
              <w:spacing w:after="0" w:line="240" w:lineRule="auto"/>
            </w:pPr>
            <w:r/>
            <w:r>
              <w:rPr>
                <w:b w:val="0"/>
                <w:sz w:val="14"/>
              </w:rPr>
              <w:t xml:space="preserve">  SEQ within ±0.50 D, %</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79%</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72%</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72%</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57%</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75%</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33%</w:t>
            </w:r>
          </w:p>
        </w:tc>
      </w:tr>
      <w:tr>
        <w:tc>
          <w:tcPr>
            <w:tcW w:type="dxa" w:w="3456"/>
            <w:tcBorders>
              <w:top w:val="nil" w:sz="6" w:color="000000"/>
              <w:bottom w:val="nil" w:sz="6" w:color="000000"/>
              <w:left w:val="nil"/>
              <w:right w:val="nil"/>
              <w:insideH w:val="nil"/>
              <w:insideV w:val="nil"/>
            </w:tcBorders>
          </w:tcPr>
          <w:p>
            <w:pPr>
              <w:spacing w:after="0" w:line="240" w:lineRule="auto"/>
            </w:pPr>
            <w:r/>
            <w:r>
              <w:rPr>
                <w:b w:val="0"/>
                <w:sz w:val="14"/>
              </w:rPr>
              <w:t xml:space="preserve">  SEQ undercorrected &gt; 0.50 D, %</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17%</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23%</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16%</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36%</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25%</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67%</w:t>
            </w:r>
          </w:p>
        </w:tc>
      </w:tr>
      <w:tr>
        <w:tc>
          <w:tcPr>
            <w:tcW w:type="dxa" w:w="3456"/>
            <w:tcBorders>
              <w:top w:val="nil" w:sz="6" w:color="000000"/>
              <w:bottom w:val="nil" w:sz="6" w:color="000000"/>
              <w:left w:val="nil"/>
              <w:right w:val="nil"/>
              <w:insideH w:val="nil"/>
              <w:insideV w:val="nil"/>
            </w:tcBorders>
          </w:tcPr>
          <w:p>
            <w:pPr>
              <w:spacing w:after="0" w:line="240" w:lineRule="auto"/>
            </w:pPr>
            <w:r/>
            <w:r>
              <w:rPr>
                <w:b w:val="0"/>
                <w:sz w:val="14"/>
              </w:rPr>
              <w:t xml:space="preserve">  Attendance, attended / time-eligible (%)</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407/603 (67%)</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560/761 (74%)</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423/587 (72%)</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295/419 (70%)</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126/179 (70%)</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24/29 (83%)</w:t>
            </w:r>
          </w:p>
        </w:tc>
      </w:tr>
      <w:tr>
        <w:tc>
          <w:tcPr>
            <w:tcW w:type="dxa" w:w="3456"/>
            <w:tcBorders>
              <w:top w:val="nil" w:sz="6" w:color="000000"/>
              <w:bottom w:val="nil" w:sz="6" w:color="000000"/>
              <w:left w:val="nil"/>
              <w:right w:val="nil"/>
              <w:insideH w:val="nil"/>
              <w:insideV w:val="nil"/>
            </w:tcBorders>
          </w:tcPr>
          <w:p>
            <w:pPr>
              <w:spacing w:after="0" w:line="240" w:lineRule="auto"/>
            </w:pPr>
            <w:r/>
            <w:r>
              <w:rPr>
                <w:b/>
                <w:sz w:val="14"/>
              </w:rPr>
              <w:t>6 months</w:t>
            </w:r>
          </w:p>
        </w:tc>
        <w:tc>
          <w:tcPr>
            <w:tcW w:type="dxa" w:w="1656"/>
            <w:tcBorders>
              <w:top w:val="nil" w:sz="6" w:color="000000"/>
              <w:bottom w:val="nil" w:sz="6" w:color="000000"/>
              <w:left w:val="nil"/>
              <w:right w:val="nil"/>
              <w:insideH w:val="nil"/>
              <w:insideV w:val="nil"/>
            </w:tcBorders>
          </w:tcPr>
          <w:p>
            <w:pPr>
              <w:spacing w:after="0" w:line="240" w:lineRule="auto"/>
            </w:pPr>
            <w:r/>
            <w:r>
              <w:rPr>
                <w:b/>
                <w:sz w:val="14"/>
              </w:rPr>
            </w:r>
          </w:p>
        </w:tc>
        <w:tc>
          <w:tcPr>
            <w:tcW w:type="dxa" w:w="1656"/>
            <w:tcBorders>
              <w:top w:val="nil" w:sz="6" w:color="000000"/>
              <w:bottom w:val="nil" w:sz="6" w:color="000000"/>
              <w:left w:val="nil"/>
              <w:right w:val="nil"/>
              <w:insideH w:val="nil"/>
              <w:insideV w:val="nil"/>
            </w:tcBorders>
          </w:tcPr>
          <w:p>
            <w:pPr>
              <w:spacing w:after="0" w:line="240" w:lineRule="auto"/>
            </w:pPr>
            <w:r/>
            <w:r>
              <w:rPr>
                <w:b/>
                <w:sz w:val="14"/>
              </w:rPr>
            </w:r>
          </w:p>
        </w:tc>
        <w:tc>
          <w:tcPr>
            <w:tcW w:type="dxa" w:w="1656"/>
            <w:tcBorders>
              <w:top w:val="nil" w:sz="6" w:color="000000"/>
              <w:bottom w:val="nil" w:sz="6" w:color="000000"/>
              <w:left w:val="nil"/>
              <w:right w:val="nil"/>
              <w:insideH w:val="nil"/>
              <w:insideV w:val="nil"/>
            </w:tcBorders>
          </w:tcPr>
          <w:p>
            <w:pPr>
              <w:spacing w:after="0" w:line="240" w:lineRule="auto"/>
            </w:pPr>
            <w:r/>
            <w:r>
              <w:rPr>
                <w:b/>
                <w:sz w:val="14"/>
              </w:rPr>
            </w:r>
          </w:p>
        </w:tc>
        <w:tc>
          <w:tcPr>
            <w:tcW w:type="dxa" w:w="1656"/>
            <w:tcBorders>
              <w:top w:val="nil" w:sz="6" w:color="000000"/>
              <w:bottom w:val="nil" w:sz="6" w:color="000000"/>
              <w:left w:val="nil"/>
              <w:right w:val="nil"/>
              <w:insideH w:val="nil"/>
              <w:insideV w:val="nil"/>
            </w:tcBorders>
          </w:tcPr>
          <w:p>
            <w:pPr>
              <w:spacing w:after="0" w:line="240" w:lineRule="auto"/>
            </w:pPr>
            <w:r/>
            <w:r>
              <w:rPr>
                <w:b/>
                <w:sz w:val="14"/>
              </w:rPr>
            </w:r>
          </w:p>
        </w:tc>
        <w:tc>
          <w:tcPr>
            <w:tcW w:type="dxa" w:w="1656"/>
            <w:tcBorders>
              <w:top w:val="nil" w:sz="6" w:color="000000"/>
              <w:bottom w:val="nil" w:sz="6" w:color="000000"/>
              <w:left w:val="nil"/>
              <w:right w:val="nil"/>
              <w:insideH w:val="nil"/>
              <w:insideV w:val="nil"/>
            </w:tcBorders>
          </w:tcPr>
          <w:p>
            <w:pPr>
              <w:spacing w:after="0" w:line="240" w:lineRule="auto"/>
            </w:pPr>
            <w:r/>
            <w:r>
              <w:rPr>
                <w:b/>
                <w:sz w:val="14"/>
              </w:rPr>
            </w:r>
          </w:p>
        </w:tc>
        <w:tc>
          <w:tcPr>
            <w:tcW w:type="dxa" w:w="1656"/>
            <w:tcBorders>
              <w:top w:val="nil" w:sz="6" w:color="000000"/>
              <w:bottom w:val="nil" w:sz="6" w:color="000000"/>
              <w:left w:val="nil"/>
              <w:right w:val="nil"/>
              <w:insideH w:val="nil"/>
              <w:insideV w:val="nil"/>
            </w:tcBorders>
          </w:tcPr>
          <w:p>
            <w:pPr>
              <w:spacing w:after="0" w:line="240" w:lineRule="auto"/>
            </w:pPr>
            <w:r/>
            <w:r>
              <w:rPr>
                <w:b/>
                <w:sz w:val="14"/>
              </w:rPr>
            </w:r>
          </w:p>
        </w:tc>
      </w:tr>
      <w:tr>
        <w:tc>
          <w:tcPr>
            <w:tcW w:type="dxa" w:w="3456"/>
            <w:tcBorders>
              <w:top w:val="nil" w:sz="6" w:color="000000"/>
              <w:bottom w:val="nil" w:sz="6" w:color="000000"/>
              <w:left w:val="nil"/>
              <w:right w:val="nil"/>
              <w:insideH w:val="nil"/>
              <w:insideV w:val="nil"/>
            </w:tcBorders>
          </w:tcPr>
          <w:p>
            <w:pPr>
              <w:spacing w:after="0" w:line="240" w:lineRule="auto"/>
            </w:pPr>
            <w:r/>
            <w:r>
              <w:rPr>
                <w:b w:val="0"/>
                <w:sz w:val="14"/>
              </w:rPr>
              <w:t xml:space="preserve">  UDVA 20/20 or better, n/N (%)</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363/383 (95%)</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461/487 (95%)</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338/349 (97%)</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244/264 (92%)</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107/119 (90%)</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16/18 (89%)</w:t>
            </w:r>
          </w:p>
        </w:tc>
      </w:tr>
      <w:tr>
        <w:tc>
          <w:tcPr>
            <w:tcW w:type="dxa" w:w="3456"/>
            <w:tcBorders>
              <w:top w:val="nil" w:sz="6" w:color="000000"/>
              <w:bottom w:val="nil" w:sz="6" w:color="000000"/>
              <w:left w:val="nil"/>
              <w:right w:val="nil"/>
              <w:insideH w:val="nil"/>
              <w:insideV w:val="nil"/>
            </w:tcBorders>
          </w:tcPr>
          <w:p>
            <w:pPr>
              <w:spacing w:after="0" w:line="240" w:lineRule="auto"/>
            </w:pPr>
            <w:r/>
            <w:r>
              <w:rPr>
                <w:b w:val="0"/>
                <w:sz w:val="14"/>
              </w:rPr>
              <w:t xml:space="preserve">  UDVA worse than 20/25, %</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1%</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1%</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1%</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2%</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4%</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6%</w:t>
            </w:r>
          </w:p>
        </w:tc>
      </w:tr>
      <w:tr>
        <w:tc>
          <w:tcPr>
            <w:tcW w:type="dxa" w:w="3456"/>
            <w:tcBorders>
              <w:top w:val="nil" w:sz="6" w:color="000000"/>
              <w:bottom w:val="nil" w:sz="6" w:color="000000"/>
              <w:left w:val="nil"/>
              <w:right w:val="nil"/>
              <w:insideH w:val="nil"/>
              <w:insideV w:val="nil"/>
            </w:tcBorders>
          </w:tcPr>
          <w:p>
            <w:pPr>
              <w:spacing w:after="0" w:line="240" w:lineRule="auto"/>
            </w:pPr>
            <w:r/>
            <w:r>
              <w:rPr>
                <w:b w:val="0"/>
                <w:sz w:val="14"/>
              </w:rPr>
              <w:t xml:space="preserve">  UDVA, logMAR, mean ± SD</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−0.11 ± 0.08</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−0.11 ± 0.08</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−0.13 ± 0.08</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−0.11 ± 0.09</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−0.08 ± 0.11</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−0.10 ± 0.10</w:t>
            </w:r>
          </w:p>
        </w:tc>
      </w:tr>
      <w:tr>
        <w:tc>
          <w:tcPr>
            <w:tcW w:type="dxa" w:w="3456"/>
            <w:tcBorders>
              <w:top w:val="nil" w:sz="6" w:color="000000"/>
              <w:bottom w:val="nil" w:sz="6" w:color="000000"/>
              <w:left w:val="nil"/>
              <w:right w:val="nil"/>
              <w:insideH w:val="nil"/>
              <w:insideV w:val="nil"/>
            </w:tcBorders>
          </w:tcPr>
          <w:p>
            <w:pPr>
              <w:spacing w:after="0" w:line="240" w:lineRule="auto"/>
            </w:pPr>
            <w:r/>
            <w:r>
              <w:rPr>
                <w:b w:val="0"/>
                <w:sz w:val="14"/>
              </w:rPr>
              <w:t xml:space="preserve">  CDVA loss ≥1 line, n/N (%)</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3/355 (0.8%)</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4/448 (0.9%)</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1/328 (0.3%)</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0/238 (0.0%)</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2/113 (1.8%)</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0/18 (0.0%)</w:t>
            </w:r>
          </w:p>
        </w:tc>
      </w:tr>
      <w:tr>
        <w:tc>
          <w:tcPr>
            <w:tcW w:type="dxa" w:w="3456"/>
            <w:tcBorders>
              <w:top w:val="nil" w:sz="6" w:color="000000"/>
              <w:bottom w:val="nil" w:sz="6" w:color="000000"/>
              <w:left w:val="nil"/>
              <w:right w:val="nil"/>
              <w:insideH w:val="nil"/>
              <w:insideV w:val="nil"/>
            </w:tcBorders>
          </w:tcPr>
          <w:p>
            <w:pPr>
              <w:spacing w:after="0" w:line="240" w:lineRule="auto"/>
            </w:pPr>
            <w:r/>
            <w:r>
              <w:rPr>
                <w:b w:val="0"/>
                <w:sz w:val="14"/>
              </w:rPr>
              <w:t xml:space="preserve">  CDVA loss ≥2 lines, n/N</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0/355</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1/448</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0/328</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0/238</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0/113</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0/18</w:t>
            </w:r>
          </w:p>
        </w:tc>
      </w:tr>
      <w:tr>
        <w:tc>
          <w:tcPr>
            <w:tcW w:type="dxa" w:w="3456"/>
            <w:tcBorders>
              <w:top w:val="nil" w:sz="6" w:color="000000"/>
              <w:bottom w:val="nil" w:sz="6" w:color="000000"/>
              <w:left w:val="nil"/>
              <w:right w:val="nil"/>
              <w:insideH w:val="nil"/>
              <w:insideV w:val="nil"/>
            </w:tcBorders>
          </w:tcPr>
          <w:p>
            <w:pPr>
              <w:spacing w:after="0" w:line="240" w:lineRule="auto"/>
            </w:pPr>
            <w:r/>
            <w:r>
              <w:rPr>
                <w:b w:val="0"/>
                <w:sz w:val="14"/>
              </w:rPr>
              <w:t xml:space="preserve">  Manifest SEQ, D, mean ± SD (N)</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−0.24 ± 0.43 (109)</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−0.21 ± 0.52 (159)</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−0.12 ± 0.47 (120)</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−0.31 ± 0.52 (78)</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−0.34 ± 0.51 (46)</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−0.88 ± 0.48 (7)</w:t>
            </w:r>
          </w:p>
        </w:tc>
      </w:tr>
      <w:tr>
        <w:tc>
          <w:tcPr>
            <w:tcW w:type="dxa" w:w="3456"/>
            <w:tcBorders>
              <w:top w:val="nil" w:sz="6" w:color="000000"/>
              <w:bottom w:val="nil" w:sz="6" w:color="000000"/>
              <w:left w:val="nil"/>
              <w:right w:val="nil"/>
              <w:insideH w:val="nil"/>
              <w:insideV w:val="nil"/>
            </w:tcBorders>
          </w:tcPr>
          <w:p>
            <w:pPr>
              <w:spacing w:after="0" w:line="240" w:lineRule="auto"/>
            </w:pPr>
            <w:r/>
            <w:r>
              <w:rPr>
                <w:b w:val="0"/>
                <w:sz w:val="14"/>
              </w:rPr>
              <w:t xml:space="preserve">  SEQ within ±0.50 D, %</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80%</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71%</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75%</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69%</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65%</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29%</w:t>
            </w:r>
          </w:p>
        </w:tc>
      </w:tr>
      <w:tr>
        <w:tc>
          <w:tcPr>
            <w:tcW w:type="dxa" w:w="3456"/>
            <w:tcBorders>
              <w:top w:val="nil" w:sz="6" w:color="000000"/>
              <w:bottom w:val="nil" w:sz="6" w:color="000000"/>
              <w:left w:val="nil"/>
              <w:right w:val="nil"/>
              <w:insideH w:val="nil"/>
              <w:insideV w:val="nil"/>
            </w:tcBorders>
          </w:tcPr>
          <w:p>
            <w:pPr>
              <w:spacing w:after="0" w:line="240" w:lineRule="auto"/>
            </w:pPr>
            <w:r/>
            <w:r>
              <w:rPr>
                <w:b w:val="0"/>
                <w:sz w:val="14"/>
              </w:rPr>
              <w:t xml:space="preserve">  SEQ undercorrected &gt; 0.50 D, %</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18%</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23%</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17%</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26%</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33%</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71%</w:t>
            </w:r>
          </w:p>
        </w:tc>
      </w:tr>
      <w:tr>
        <w:tc>
          <w:tcPr>
            <w:tcW w:type="dxa" w:w="3456"/>
            <w:tcBorders>
              <w:top w:val="nil" w:sz="6" w:color="000000"/>
              <w:bottom w:val="nil" w:sz="6" w:color="000000"/>
              <w:left w:val="nil"/>
              <w:right w:val="nil"/>
              <w:insideH w:val="nil"/>
              <w:insideV w:val="nil"/>
            </w:tcBorders>
          </w:tcPr>
          <w:p>
            <w:pPr>
              <w:spacing w:after="0" w:line="240" w:lineRule="auto"/>
            </w:pPr>
            <w:r/>
            <w:r>
              <w:rPr>
                <w:b/>
                <w:sz w:val="14"/>
              </w:rPr>
              <w:t>12 months</w:t>
            </w:r>
          </w:p>
        </w:tc>
        <w:tc>
          <w:tcPr>
            <w:tcW w:type="dxa" w:w="1656"/>
            <w:tcBorders>
              <w:top w:val="nil" w:sz="6" w:color="000000"/>
              <w:bottom w:val="nil" w:sz="6" w:color="000000"/>
              <w:left w:val="nil"/>
              <w:right w:val="nil"/>
              <w:insideH w:val="nil"/>
              <w:insideV w:val="nil"/>
            </w:tcBorders>
          </w:tcPr>
          <w:p>
            <w:pPr>
              <w:spacing w:after="0" w:line="240" w:lineRule="auto"/>
            </w:pPr>
            <w:r/>
            <w:r>
              <w:rPr>
                <w:b/>
                <w:sz w:val="14"/>
              </w:rPr>
            </w:r>
          </w:p>
        </w:tc>
        <w:tc>
          <w:tcPr>
            <w:tcW w:type="dxa" w:w="1656"/>
            <w:tcBorders>
              <w:top w:val="nil" w:sz="6" w:color="000000"/>
              <w:bottom w:val="nil" w:sz="6" w:color="000000"/>
              <w:left w:val="nil"/>
              <w:right w:val="nil"/>
              <w:insideH w:val="nil"/>
              <w:insideV w:val="nil"/>
            </w:tcBorders>
          </w:tcPr>
          <w:p>
            <w:pPr>
              <w:spacing w:after="0" w:line="240" w:lineRule="auto"/>
            </w:pPr>
            <w:r/>
            <w:r>
              <w:rPr>
                <w:b/>
                <w:sz w:val="14"/>
              </w:rPr>
            </w:r>
          </w:p>
        </w:tc>
        <w:tc>
          <w:tcPr>
            <w:tcW w:type="dxa" w:w="1656"/>
            <w:tcBorders>
              <w:top w:val="nil" w:sz="6" w:color="000000"/>
              <w:bottom w:val="nil" w:sz="6" w:color="000000"/>
              <w:left w:val="nil"/>
              <w:right w:val="nil"/>
              <w:insideH w:val="nil"/>
              <w:insideV w:val="nil"/>
            </w:tcBorders>
          </w:tcPr>
          <w:p>
            <w:pPr>
              <w:spacing w:after="0" w:line="240" w:lineRule="auto"/>
            </w:pPr>
            <w:r/>
            <w:r>
              <w:rPr>
                <w:b/>
                <w:sz w:val="14"/>
              </w:rPr>
            </w:r>
          </w:p>
        </w:tc>
        <w:tc>
          <w:tcPr>
            <w:tcW w:type="dxa" w:w="1656"/>
            <w:tcBorders>
              <w:top w:val="nil" w:sz="6" w:color="000000"/>
              <w:bottom w:val="nil" w:sz="6" w:color="000000"/>
              <w:left w:val="nil"/>
              <w:right w:val="nil"/>
              <w:insideH w:val="nil"/>
              <w:insideV w:val="nil"/>
            </w:tcBorders>
          </w:tcPr>
          <w:p>
            <w:pPr>
              <w:spacing w:after="0" w:line="240" w:lineRule="auto"/>
            </w:pPr>
            <w:r/>
            <w:r>
              <w:rPr>
                <w:b/>
                <w:sz w:val="14"/>
              </w:rPr>
            </w:r>
          </w:p>
        </w:tc>
        <w:tc>
          <w:tcPr>
            <w:tcW w:type="dxa" w:w="1656"/>
            <w:tcBorders>
              <w:top w:val="nil" w:sz="6" w:color="000000"/>
              <w:bottom w:val="nil" w:sz="6" w:color="000000"/>
              <w:left w:val="nil"/>
              <w:right w:val="nil"/>
              <w:insideH w:val="nil"/>
              <w:insideV w:val="nil"/>
            </w:tcBorders>
          </w:tcPr>
          <w:p>
            <w:pPr>
              <w:spacing w:after="0" w:line="240" w:lineRule="auto"/>
            </w:pPr>
            <w:r/>
            <w:r>
              <w:rPr>
                <w:b/>
                <w:sz w:val="14"/>
              </w:rPr>
            </w:r>
          </w:p>
        </w:tc>
        <w:tc>
          <w:tcPr>
            <w:tcW w:type="dxa" w:w="1656"/>
            <w:tcBorders>
              <w:top w:val="nil" w:sz="6" w:color="000000"/>
              <w:bottom w:val="nil" w:sz="6" w:color="000000"/>
              <w:left w:val="nil"/>
              <w:right w:val="nil"/>
              <w:insideH w:val="nil"/>
              <w:insideV w:val="nil"/>
            </w:tcBorders>
          </w:tcPr>
          <w:p>
            <w:pPr>
              <w:spacing w:after="0" w:line="240" w:lineRule="auto"/>
            </w:pPr>
            <w:r/>
            <w:r>
              <w:rPr>
                <w:b/>
                <w:sz w:val="14"/>
              </w:rPr>
            </w:r>
          </w:p>
        </w:tc>
      </w:tr>
      <w:tr>
        <w:tc>
          <w:tcPr>
            <w:tcW w:type="dxa" w:w="3456"/>
            <w:tcBorders>
              <w:top w:val="nil" w:sz="6" w:color="000000"/>
              <w:bottom w:val="nil" w:sz="6" w:color="000000"/>
              <w:left w:val="nil"/>
              <w:right w:val="nil"/>
              <w:insideH w:val="nil"/>
              <w:insideV w:val="nil"/>
            </w:tcBorders>
          </w:tcPr>
          <w:p>
            <w:pPr>
              <w:spacing w:after="0" w:line="240" w:lineRule="auto"/>
            </w:pPr>
            <w:r/>
            <w:r>
              <w:rPr>
                <w:b w:val="0"/>
                <w:sz w:val="14"/>
              </w:rPr>
              <w:t xml:space="preserve">  UDVA 20/20 or better, n/N (%)</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304/316 (96%)</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424/438 (97%)</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304/312 (97%)</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220/235 (94%)</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98/104 (94%)</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12/15 (80%)</w:t>
            </w:r>
          </w:p>
        </w:tc>
      </w:tr>
      <w:tr>
        <w:tc>
          <w:tcPr>
            <w:tcW w:type="dxa" w:w="3456"/>
            <w:tcBorders>
              <w:top w:val="nil" w:sz="6" w:color="000000"/>
              <w:bottom w:val="nil" w:sz="6" w:color="000000"/>
              <w:left w:val="nil"/>
              <w:right w:val="nil"/>
              <w:insideH w:val="nil"/>
              <w:insideV w:val="nil"/>
            </w:tcBorders>
          </w:tcPr>
          <w:p>
            <w:pPr>
              <w:spacing w:after="0" w:line="240" w:lineRule="auto"/>
            </w:pPr>
            <w:r/>
            <w:r>
              <w:rPr>
                <w:b w:val="0"/>
                <w:sz w:val="14"/>
              </w:rPr>
              <w:t xml:space="preserve">  UDVA worse than 20/25, %</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1%</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1%</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0%</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1%</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2%</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13%</w:t>
            </w:r>
          </w:p>
        </w:tc>
      </w:tr>
      <w:tr>
        <w:tc>
          <w:tcPr>
            <w:tcW w:type="dxa" w:w="3456"/>
            <w:tcBorders>
              <w:top w:val="nil" w:sz="6" w:color="000000"/>
              <w:bottom w:val="nil" w:sz="6" w:color="000000"/>
              <w:left w:val="nil"/>
              <w:right w:val="nil"/>
              <w:insideH w:val="nil"/>
              <w:insideV w:val="nil"/>
            </w:tcBorders>
          </w:tcPr>
          <w:p>
            <w:pPr>
              <w:spacing w:after="0" w:line="240" w:lineRule="auto"/>
            </w:pPr>
            <w:r/>
            <w:r>
              <w:rPr>
                <w:b w:val="0"/>
                <w:sz w:val="14"/>
              </w:rPr>
              <w:t xml:space="preserve">  UDVA, logMAR, mean ± SD</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−0.11 ± 0.07</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−0.11 ± 0.08</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−0.11 ± 0.07</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−0.10 ± 0.08</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−0.09 ± 0.09</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−0.05 ± 0.13</w:t>
            </w:r>
          </w:p>
        </w:tc>
      </w:tr>
      <w:tr>
        <w:tc>
          <w:tcPr>
            <w:tcW w:type="dxa" w:w="3456"/>
            <w:tcBorders>
              <w:top w:val="nil" w:sz="6" w:color="000000"/>
              <w:bottom w:val="nil" w:sz="6" w:color="000000"/>
              <w:left w:val="nil"/>
              <w:right w:val="nil"/>
              <w:insideH w:val="nil"/>
              <w:insideV w:val="nil"/>
            </w:tcBorders>
          </w:tcPr>
          <w:p>
            <w:pPr>
              <w:spacing w:after="0" w:line="240" w:lineRule="auto"/>
            </w:pPr>
            <w:r/>
            <w:r>
              <w:rPr>
                <w:b w:val="0"/>
                <w:sz w:val="14"/>
              </w:rPr>
              <w:t xml:space="preserve">  CDVA loss ≥1 line, n/N (%)</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4/308 (1.3%)</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4/421 (1.0%)</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1/293 (0.3%)</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1/221 (0.5%)</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1/104 (1.0%)</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0/15 (0.0%)</w:t>
            </w:r>
          </w:p>
        </w:tc>
      </w:tr>
      <w:tr>
        <w:tc>
          <w:tcPr>
            <w:tcW w:type="dxa" w:w="3456"/>
            <w:tcBorders>
              <w:top w:val="nil" w:sz="6" w:color="000000"/>
              <w:bottom w:val="nil" w:sz="6" w:color="000000"/>
              <w:left w:val="nil"/>
              <w:right w:val="nil"/>
              <w:insideH w:val="nil"/>
              <w:insideV w:val="nil"/>
            </w:tcBorders>
          </w:tcPr>
          <w:p>
            <w:pPr>
              <w:spacing w:after="0" w:line="240" w:lineRule="auto"/>
            </w:pPr>
            <w:r/>
            <w:r>
              <w:rPr>
                <w:b w:val="0"/>
                <w:sz w:val="14"/>
              </w:rPr>
              <w:t xml:space="preserve">  CDVA loss ≥2 lines, n/N</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0/308</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0/421</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0/293</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0/221</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1/104</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0/15</w:t>
            </w:r>
          </w:p>
        </w:tc>
      </w:tr>
      <w:tr>
        <w:tc>
          <w:tcPr>
            <w:tcW w:type="dxa" w:w="3456"/>
            <w:tcBorders>
              <w:top w:val="nil" w:sz="6" w:color="000000"/>
              <w:bottom w:val="nil" w:sz="6" w:color="000000"/>
              <w:left w:val="nil"/>
              <w:right w:val="nil"/>
              <w:insideH w:val="nil"/>
              <w:insideV w:val="nil"/>
            </w:tcBorders>
          </w:tcPr>
          <w:p>
            <w:pPr>
              <w:spacing w:after="0" w:line="240" w:lineRule="auto"/>
            </w:pPr>
            <w:r/>
            <w:r>
              <w:rPr>
                <w:b w:val="0"/>
                <w:sz w:val="14"/>
              </w:rPr>
              <w:t xml:space="preserve">  Manifest SEQ, D, mean ± SD (N)</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−0.15 ± 0.40 (100)</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−0.11 ± 0.32 (123)</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−0.05 ± 0.41 (89)</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−0.13 ± 0.48 (66)</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−0.52 ± 0.59 (41)</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−0.68 ± 0.49 (5)</w:t>
            </w:r>
          </w:p>
        </w:tc>
      </w:tr>
      <w:tr>
        <w:tc>
          <w:tcPr>
            <w:tcW w:type="dxa" w:w="3456"/>
            <w:tcBorders>
              <w:top w:val="nil" w:sz="6" w:color="000000"/>
              <w:bottom w:val="nil" w:sz="6" w:color="000000"/>
              <w:left w:val="nil"/>
              <w:right w:val="nil"/>
              <w:insideH w:val="nil"/>
              <w:insideV w:val="nil"/>
            </w:tcBorders>
          </w:tcPr>
          <w:p>
            <w:pPr>
              <w:spacing w:after="0" w:line="240" w:lineRule="auto"/>
            </w:pPr>
            <w:r/>
            <w:r>
              <w:rPr>
                <w:b w:val="0"/>
                <w:sz w:val="14"/>
              </w:rPr>
              <w:t xml:space="preserve">  SEQ within ±0.50 D, %</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86%</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90%</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76%</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79%</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59%</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60%</w:t>
            </w:r>
          </w:p>
        </w:tc>
      </w:tr>
      <w:tr>
        <w:tc>
          <w:tcPr>
            <w:tcW w:type="dxa" w:w="3456"/>
            <w:tcBorders>
              <w:top w:val="nil" w:sz="6" w:color="000000"/>
              <w:bottom w:val="nil" w:sz="6" w:color="000000"/>
              <w:left w:val="nil"/>
              <w:right w:val="nil"/>
              <w:insideH w:val="nil"/>
              <w:insideV w:val="nil"/>
            </w:tcBorders>
          </w:tcPr>
          <w:p>
            <w:pPr>
              <w:spacing w:after="0" w:line="240" w:lineRule="auto"/>
            </w:pPr>
            <w:r/>
            <w:r>
              <w:rPr>
                <w:b w:val="0"/>
                <w:sz w:val="14"/>
              </w:rPr>
              <w:t xml:space="preserve">  SEQ undercorrected &gt; 0.50 D, %</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13%</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9%</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15%</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17%</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39%</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40%</w:t>
            </w:r>
          </w:p>
        </w:tc>
      </w:tr>
      <w:tr>
        <w:tc>
          <w:tcPr>
            <w:tcW w:type="dxa" w:w="3456"/>
            <w:tcBorders>
              <w:top w:val="nil" w:sz="6" w:color="000000"/>
              <w:bottom w:val="nil" w:sz="6" w:color="000000"/>
              <w:left w:val="nil"/>
              <w:right w:val="nil"/>
              <w:insideH w:val="nil"/>
              <w:insideV w:val="nil"/>
            </w:tcBorders>
          </w:tcPr>
          <w:p>
            <w:pPr>
              <w:spacing w:after="0" w:line="240" w:lineRule="auto"/>
            </w:pPr>
            <w:r/>
            <w:r>
              <w:rPr>
                <w:b w:val="0"/>
                <w:sz w:val="14"/>
              </w:rPr>
              <w:t xml:space="preserve">  Attendance, attended / time-eligible (%)</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205/365 (56%)</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301/459 (66%)</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230/398 (58%)</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151/256 (59%)</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76/113 (67%)</w:t>
            </w:r>
          </w:p>
        </w:tc>
        <w:tc>
          <w:tcPr>
            <w:tcW w:type="dxa" w:w="1656"/>
            <w:tcBorders>
              <w:top w:val="nil" w:sz="6" w:color="000000"/>
              <w:bottom w:val="nil" w:sz="6" w:color="000000"/>
              <w:left w:val="nil"/>
              <w:right w:val="nil"/>
              <w:insideH w:val="nil"/>
              <w:insideV w:val="nil"/>
            </w:tcBorders>
          </w:tcPr>
          <w:p>
            <w:pPr>
              <w:spacing w:after="0" w:line="240" w:lineRule="auto"/>
            </w:pPr>
            <w:r/>
            <w:r>
              <w:rPr>
                <w:b w:val="0"/>
                <w:sz w:val="14"/>
              </w:rPr>
              <w:t>11/19 (58%)</w:t>
            </w:r>
          </w:p>
        </w:tc>
      </w:tr>
      <w:tr>
        <w:tc>
          <w:tcPr>
            <w:tcW w:type="dxa" w:w="3456"/>
            <w:tcBorders>
              <w:top w:val="nil" w:sz="6" w:color="000000"/>
              <w:bottom w:val="single" w:sz="6" w:color="000000"/>
              <w:left w:val="nil"/>
              <w:right w:val="nil"/>
              <w:insideH w:val="nil"/>
              <w:insideV w:val="nil"/>
            </w:tcBorders>
          </w:tcPr>
          <w:p>
            <w:pPr>
              <w:spacing w:after="0" w:line="240" w:lineRule="auto"/>
            </w:pPr>
            <w:r/>
            <w:r>
              <w:rPr>
                <w:b w:val="0"/>
                <w:sz w:val="14"/>
              </w:rPr>
              <w:t>Enhancement, n/N (%)</w:t>
            </w:r>
          </w:p>
        </w:tc>
        <w:tc>
          <w:tcPr>
            <w:tcW w:type="dxa" w:w="1656"/>
            <w:tcBorders>
              <w:top w:val="nil" w:sz="6" w:color="000000"/>
              <w:bottom w:val="single" w:sz="6" w:color="000000"/>
              <w:left w:val="nil"/>
              <w:right w:val="nil"/>
              <w:insideH w:val="nil"/>
              <w:insideV w:val="nil"/>
            </w:tcBorders>
          </w:tcPr>
          <w:p>
            <w:pPr>
              <w:spacing w:after="0" w:line="240" w:lineRule="auto"/>
            </w:pPr>
            <w:r/>
            <w:r>
              <w:rPr>
                <w:b w:val="0"/>
                <w:sz w:val="14"/>
              </w:rPr>
              <w:t>8/675 (1.2%)</w:t>
            </w:r>
          </w:p>
        </w:tc>
        <w:tc>
          <w:tcPr>
            <w:tcW w:type="dxa" w:w="1656"/>
            <w:tcBorders>
              <w:top w:val="nil" w:sz="6" w:color="000000"/>
              <w:bottom w:val="single" w:sz="6" w:color="000000"/>
              <w:left w:val="nil"/>
              <w:right w:val="nil"/>
              <w:insideH w:val="nil"/>
              <w:insideV w:val="nil"/>
            </w:tcBorders>
          </w:tcPr>
          <w:p>
            <w:pPr>
              <w:spacing w:after="0" w:line="240" w:lineRule="auto"/>
            </w:pPr>
            <w:r/>
            <w:r>
              <w:rPr>
                <w:b w:val="0"/>
                <w:sz w:val="14"/>
              </w:rPr>
              <w:t>19/818 (2.3%)</w:t>
            </w:r>
          </w:p>
        </w:tc>
        <w:tc>
          <w:tcPr>
            <w:tcW w:type="dxa" w:w="1656"/>
            <w:tcBorders>
              <w:top w:val="nil" w:sz="6" w:color="000000"/>
              <w:bottom w:val="single" w:sz="6" w:color="000000"/>
              <w:left w:val="nil"/>
              <w:right w:val="nil"/>
              <w:insideH w:val="nil"/>
              <w:insideV w:val="nil"/>
            </w:tcBorders>
          </w:tcPr>
          <w:p>
            <w:pPr>
              <w:spacing w:after="0" w:line="240" w:lineRule="auto"/>
            </w:pPr>
            <w:r/>
            <w:r>
              <w:rPr>
                <w:b w:val="0"/>
                <w:sz w:val="14"/>
              </w:rPr>
              <w:t>9/667 (1.3%)</w:t>
            </w:r>
          </w:p>
        </w:tc>
        <w:tc>
          <w:tcPr>
            <w:tcW w:type="dxa" w:w="1656"/>
            <w:tcBorders>
              <w:top w:val="nil" w:sz="6" w:color="000000"/>
              <w:bottom w:val="single" w:sz="6" w:color="000000"/>
              <w:left w:val="nil"/>
              <w:right w:val="nil"/>
              <w:insideH w:val="nil"/>
              <w:insideV w:val="nil"/>
            </w:tcBorders>
          </w:tcPr>
          <w:p>
            <w:pPr>
              <w:spacing w:after="0" w:line="240" w:lineRule="auto"/>
            </w:pPr>
            <w:r/>
            <w:r>
              <w:rPr>
                <w:b w:val="0"/>
                <w:sz w:val="14"/>
              </w:rPr>
              <w:t>7/474 (1.5%)</w:t>
            </w:r>
          </w:p>
        </w:tc>
        <w:tc>
          <w:tcPr>
            <w:tcW w:type="dxa" w:w="1656"/>
            <w:tcBorders>
              <w:top w:val="nil" w:sz="6" w:color="000000"/>
              <w:bottom w:val="single" w:sz="6" w:color="000000"/>
              <w:left w:val="nil"/>
              <w:right w:val="nil"/>
              <w:insideH w:val="nil"/>
              <w:insideV w:val="nil"/>
            </w:tcBorders>
          </w:tcPr>
          <w:p>
            <w:pPr>
              <w:spacing w:after="0" w:line="240" w:lineRule="auto"/>
            </w:pPr>
            <w:r/>
            <w:r>
              <w:rPr>
                <w:b w:val="0"/>
                <w:sz w:val="14"/>
              </w:rPr>
              <w:t>8/198 (4.0%)</w:t>
            </w:r>
          </w:p>
        </w:tc>
        <w:tc>
          <w:tcPr>
            <w:tcW w:type="dxa" w:w="1656"/>
            <w:tcBorders>
              <w:top w:val="nil" w:sz="6" w:color="000000"/>
              <w:bottom w:val="single" w:sz="6" w:color="000000"/>
              <w:left w:val="nil"/>
              <w:right w:val="nil"/>
              <w:insideH w:val="nil"/>
              <w:insideV w:val="nil"/>
            </w:tcBorders>
          </w:tcPr>
          <w:p>
            <w:pPr>
              <w:spacing w:after="0" w:line="240" w:lineRule="auto"/>
            </w:pPr>
            <w:r/>
            <w:r>
              <w:rPr>
                <w:b w:val="0"/>
                <w:sz w:val="14"/>
              </w:rPr>
              <w:t>0/36 (0.0%)</w:t>
            </w:r>
          </w:p>
        </w:tc>
      </w:tr>
    </w:tbl>
    <w:p>
      <w:pPr>
        <w:spacing w:after="240"/>
      </w:pPr>
      <w:r>
        <w:rPr>
          <w:b w:val="0"/>
          <w:i w:val="0"/>
          <w:sz w:val="16"/>
        </w:rPr>
        <w:t>CDVA = corrected distance visual acuity; D = dioptre; SD = standard deviation; SEQ = spherical equivalent refraction (manifest refraction of refracted eyes); UDVA = uncorrected distance visual acuity; y = years (bands in completed years). Time-eligible = visit window closed before the extract (surgery more than 135 days before the extract for 3 months, 460 days for 12 months).</w:t>
      </w:r>
    </w:p>
    <w:p>
      <w:r>
        <w:br w:type="page"/>
      </w:r>
    </w:p>
    <w:p>
      <w:pPr>
        <w:spacing w:after="120"/>
      </w:pPr>
      <w:r>
        <w:rPr>
          <w:b/>
          <w:i w:val="0"/>
        </w:rPr>
        <w:t>Supplementary Table S2. Adjusted models for the primary outcome and for manifest spherical equivalent at 12 months</w:t>
      </w:r>
    </w:p>
    <w:tbl>
      <w:tblPr>
        <w:tblW w:type="auto" w:w="0"/>
        <w:jc w:val="center"/>
        <w:tblLayout w:type="fixed"/>
        <w:tblLook w:firstColumn="1" w:firstRow="1" w:lastColumn="0" w:lastRow="0" w:noHBand="0" w:noVBand="1" w:val="04A0"/>
      </w:tblPr>
      <w:tblGrid>
        <w:gridCol w:w="3408"/>
        <w:gridCol w:w="3408"/>
        <w:gridCol w:w="3408"/>
      </w:tblGrid>
      <w:tr>
        <w:tc>
          <w:tcPr>
            <w:tcW w:type="dxa" w:w="6048"/>
            <w:tcBorders>
              <w:top w:val="single" w:sz="6" w:color="000000"/>
              <w:bottom w:val="single" w:sz="6" w:color="000000"/>
              <w:left w:val="nil"/>
              <w:right w:val="nil"/>
              <w:insideH w:val="nil"/>
              <w:insideV w:val="nil"/>
            </w:tcBorders>
          </w:tcPr>
          <w:p>
            <w:r/>
            <w:r>
              <w:rPr>
                <w:b/>
                <w:sz w:val="16"/>
              </w:rPr>
              <w:t>Model and term</w:t>
            </w:r>
          </w:p>
        </w:tc>
        <w:tc>
          <w:tcPr>
            <w:tcW w:type="dxa" w:w="2736"/>
            <w:tcBorders>
              <w:top w:val="single" w:sz="6" w:color="000000"/>
              <w:bottom w:val="single" w:sz="6" w:color="000000"/>
              <w:left w:val="nil"/>
              <w:right w:val="nil"/>
              <w:insideH w:val="nil"/>
              <w:insideV w:val="nil"/>
            </w:tcBorders>
          </w:tcPr>
          <w:p>
            <w:r/>
            <w:r>
              <w:rPr>
                <w:b/>
                <w:sz w:val="16"/>
              </w:rPr>
              <w:t>Estimate (95% CI)</w:t>
            </w:r>
          </w:p>
        </w:tc>
        <w:tc>
          <w:tcPr>
            <w:tcW w:type="dxa" w:w="1296"/>
            <w:tcBorders>
              <w:top w:val="single" w:sz="6" w:color="000000"/>
              <w:bottom w:val="single" w:sz="6" w:color="000000"/>
              <w:left w:val="nil"/>
              <w:right w:val="nil"/>
              <w:insideH w:val="nil"/>
              <w:insideV w:val="nil"/>
            </w:tcBorders>
          </w:tcPr>
          <w:p>
            <w:r/>
            <w:r>
              <w:rPr>
                <w:b/>
                <w:sz w:val="16"/>
              </w:rPr>
              <w:t>P</w:t>
            </w:r>
          </w:p>
        </w:tc>
      </w:tr>
      <w:tr>
        <w:tc>
          <w:tcPr>
            <w:tcW w:type="dxa" w:w="6048"/>
            <w:tcBorders>
              <w:top w:val="nil" w:sz="6" w:color="000000"/>
              <w:bottom w:val="nil" w:sz="6" w:color="000000"/>
              <w:left w:val="nil"/>
              <w:right w:val="nil"/>
              <w:insideH w:val="nil"/>
              <w:insideV w:val="nil"/>
            </w:tcBorders>
          </w:tcPr>
          <w:p>
            <w:pPr>
              <w:spacing w:after="0" w:line="240" w:lineRule="auto"/>
            </w:pPr>
            <w:r/>
            <w:r>
              <w:rPr>
                <w:b/>
                <w:sz w:val="16"/>
              </w:rPr>
              <w:t>UDVA 20/20 or better at 3 months, logistic, OR</w:t>
            </w:r>
          </w:p>
        </w:tc>
        <w:tc>
          <w:tcPr>
            <w:tcW w:type="dxa" w:w="2736"/>
            <w:tcBorders>
              <w:top w:val="nil" w:sz="6" w:color="000000"/>
              <w:bottom w:val="nil" w:sz="6" w:color="000000"/>
              <w:left w:val="nil"/>
              <w:right w:val="nil"/>
              <w:insideH w:val="nil"/>
              <w:insideV w:val="nil"/>
            </w:tcBorders>
          </w:tcPr>
          <w:p>
            <w:pPr>
              <w:spacing w:after="0" w:line="240" w:lineRule="auto"/>
            </w:pPr>
            <w:r/>
            <w:r>
              <w:rPr>
                <w:b/>
                <w:sz w:val="16"/>
              </w:rPr>
            </w:r>
          </w:p>
        </w:tc>
        <w:tc>
          <w:tcPr>
            <w:tcW w:type="dxa" w:w="1296"/>
            <w:tcBorders>
              <w:top w:val="nil" w:sz="6" w:color="000000"/>
              <w:bottom w:val="nil" w:sz="6" w:color="000000"/>
              <w:left w:val="nil"/>
              <w:right w:val="nil"/>
              <w:insideH w:val="nil"/>
              <w:insideV w:val="nil"/>
            </w:tcBorders>
          </w:tcPr>
          <w:p>
            <w:pPr>
              <w:spacing w:after="0" w:line="240" w:lineRule="auto"/>
            </w:pPr>
            <w:r/>
            <w:r>
              <w:rPr>
                <w:b/>
                <w:sz w:val="16"/>
              </w:rPr>
            </w:r>
          </w:p>
        </w:tc>
      </w:tr>
      <w:tr>
        <w:tc>
          <w:tcPr>
            <w:tcW w:type="dxa" w:w="6048"/>
            <w:tcBorders>
              <w:top w:val="nil" w:sz="6" w:color="000000"/>
              <w:bottom w:val="nil" w:sz="6" w:color="000000"/>
              <w:left w:val="nil"/>
              <w:right w:val="nil"/>
              <w:insideH w:val="nil"/>
              <w:insideV w:val="nil"/>
            </w:tcBorders>
          </w:tcPr>
          <w:p>
            <w:pPr>
              <w:spacing w:after="0" w:line="240" w:lineRule="auto"/>
            </w:pPr>
            <w:r/>
            <w:r>
              <w:rPr>
                <w:b w:val="0"/>
                <w:sz w:val="16"/>
              </w:rPr>
              <w:t xml:space="preserve">  Age 40 y or older (vs under 40)</w:t>
            </w:r>
          </w:p>
        </w:tc>
        <w:tc>
          <w:tcPr>
            <w:tcW w:type="dxa" w:w="2736"/>
            <w:tcBorders>
              <w:top w:val="nil" w:sz="6" w:color="000000"/>
              <w:bottom w:val="nil" w:sz="6" w:color="000000"/>
              <w:left w:val="nil"/>
              <w:right w:val="nil"/>
              <w:insideH w:val="nil"/>
              <w:insideV w:val="nil"/>
            </w:tcBorders>
          </w:tcPr>
          <w:p>
            <w:pPr>
              <w:spacing w:after="0" w:line="240" w:lineRule="auto"/>
            </w:pPr>
            <w:r/>
            <w:r>
              <w:rPr>
                <w:b w:val="0"/>
                <w:sz w:val="16"/>
              </w:rPr>
              <w:t>0.43 (0.25 to 0.74)</w:t>
            </w:r>
          </w:p>
        </w:tc>
        <w:tc>
          <w:tcPr>
            <w:tcW w:type="dxa" w:w="1296"/>
            <w:tcBorders>
              <w:top w:val="nil" w:sz="6" w:color="000000"/>
              <w:bottom w:val="nil" w:sz="6" w:color="000000"/>
              <w:left w:val="nil"/>
              <w:right w:val="nil"/>
              <w:insideH w:val="nil"/>
              <w:insideV w:val="nil"/>
            </w:tcBorders>
          </w:tcPr>
          <w:p>
            <w:pPr>
              <w:spacing w:after="0" w:line="240" w:lineRule="auto"/>
            </w:pPr>
            <w:r/>
            <w:r>
              <w:rPr>
                <w:b w:val="0"/>
                <w:sz w:val="16"/>
              </w:rPr>
              <w:t>0.002</w:t>
            </w:r>
          </w:p>
        </w:tc>
      </w:tr>
      <w:tr>
        <w:tc>
          <w:tcPr>
            <w:tcW w:type="dxa" w:w="6048"/>
            <w:tcBorders>
              <w:top w:val="nil" w:sz="6" w:color="000000"/>
              <w:bottom w:val="nil" w:sz="6" w:color="000000"/>
              <w:left w:val="nil"/>
              <w:right w:val="nil"/>
              <w:insideH w:val="nil"/>
              <w:insideV w:val="nil"/>
            </w:tcBorders>
          </w:tcPr>
          <w:p>
            <w:pPr>
              <w:spacing w:after="0" w:line="240" w:lineRule="auto"/>
            </w:pPr>
            <w:r/>
            <w:r>
              <w:rPr>
                <w:b w:val="0"/>
                <w:sz w:val="16"/>
              </w:rPr>
              <w:t xml:space="preserve">  Attempted SEQ, per dioptre</w:t>
            </w:r>
          </w:p>
        </w:tc>
        <w:tc>
          <w:tcPr>
            <w:tcW w:type="dxa" w:w="2736"/>
            <w:tcBorders>
              <w:top w:val="nil" w:sz="6" w:color="000000"/>
              <w:bottom w:val="nil" w:sz="6" w:color="000000"/>
              <w:left w:val="nil"/>
              <w:right w:val="nil"/>
              <w:insideH w:val="nil"/>
              <w:insideV w:val="nil"/>
            </w:tcBorders>
          </w:tcPr>
          <w:p>
            <w:pPr>
              <w:spacing w:after="0" w:line="240" w:lineRule="auto"/>
            </w:pPr>
            <w:r/>
            <w:r>
              <w:rPr>
                <w:b w:val="0"/>
                <w:sz w:val="16"/>
              </w:rPr>
              <w:t>0.83 (0.74 to 0.93)</w:t>
            </w:r>
          </w:p>
        </w:tc>
        <w:tc>
          <w:tcPr>
            <w:tcW w:type="dxa" w:w="1296"/>
            <w:tcBorders>
              <w:top w:val="nil" w:sz="6" w:color="000000"/>
              <w:bottom w:val="nil" w:sz="6" w:color="000000"/>
              <w:left w:val="nil"/>
              <w:right w:val="nil"/>
              <w:insideH w:val="nil"/>
              <w:insideV w:val="nil"/>
            </w:tcBorders>
          </w:tcPr>
          <w:p>
            <w:pPr>
              <w:spacing w:after="0" w:line="240" w:lineRule="auto"/>
            </w:pPr>
            <w:r/>
            <w:r>
              <w:rPr>
                <w:b w:val="0"/>
                <w:sz w:val="16"/>
              </w:rPr>
              <w:t>0.002</w:t>
            </w:r>
          </w:p>
        </w:tc>
      </w:tr>
      <w:tr>
        <w:tc>
          <w:tcPr>
            <w:tcW w:type="dxa" w:w="6048"/>
            <w:tcBorders>
              <w:top w:val="nil" w:sz="6" w:color="000000"/>
              <w:bottom w:val="nil" w:sz="6" w:color="000000"/>
              <w:left w:val="nil"/>
              <w:right w:val="nil"/>
              <w:insideH w:val="nil"/>
              <w:insideV w:val="nil"/>
            </w:tcBorders>
          </w:tcPr>
          <w:p>
            <w:pPr>
              <w:spacing w:after="0" w:line="240" w:lineRule="auto"/>
            </w:pPr>
            <w:r/>
            <w:r>
              <w:rPr>
                <w:b w:val="0"/>
                <w:sz w:val="16"/>
              </w:rPr>
              <w:t xml:space="preserve">  Attempted cylinder, per dioptre</w:t>
            </w:r>
          </w:p>
        </w:tc>
        <w:tc>
          <w:tcPr>
            <w:tcW w:type="dxa" w:w="2736"/>
            <w:tcBorders>
              <w:top w:val="nil" w:sz="6" w:color="000000"/>
              <w:bottom w:val="nil" w:sz="6" w:color="000000"/>
              <w:left w:val="nil"/>
              <w:right w:val="nil"/>
              <w:insideH w:val="nil"/>
              <w:insideV w:val="nil"/>
            </w:tcBorders>
          </w:tcPr>
          <w:p>
            <w:pPr>
              <w:spacing w:after="0" w:line="240" w:lineRule="auto"/>
            </w:pPr>
            <w:r/>
            <w:r>
              <w:rPr>
                <w:b w:val="0"/>
                <w:sz w:val="16"/>
              </w:rPr>
              <w:t>0.65 (0.55 to 0.77)</w:t>
            </w:r>
          </w:p>
        </w:tc>
        <w:tc>
          <w:tcPr>
            <w:tcW w:type="dxa" w:w="1296"/>
            <w:tcBorders>
              <w:top w:val="nil" w:sz="6" w:color="000000"/>
              <w:bottom w:val="nil" w:sz="6" w:color="000000"/>
              <w:left w:val="nil"/>
              <w:right w:val="nil"/>
              <w:insideH w:val="nil"/>
              <w:insideV w:val="nil"/>
            </w:tcBorders>
          </w:tcPr>
          <w:p>
            <w:pPr>
              <w:spacing w:after="0" w:line="240" w:lineRule="auto"/>
            </w:pPr>
            <w:r/>
            <w:r>
              <w:rPr>
                <w:b w:val="0"/>
                <w:sz w:val="16"/>
              </w:rPr>
              <w:t>&lt; 0.001</w:t>
            </w:r>
          </w:p>
        </w:tc>
      </w:tr>
      <w:tr>
        <w:tc>
          <w:tcPr>
            <w:tcW w:type="dxa" w:w="6048"/>
            <w:tcBorders>
              <w:top w:val="nil" w:sz="6" w:color="000000"/>
              <w:bottom w:val="nil" w:sz="6" w:color="000000"/>
              <w:left w:val="nil"/>
              <w:right w:val="nil"/>
              <w:insideH w:val="nil"/>
              <w:insideV w:val="nil"/>
            </w:tcBorders>
          </w:tcPr>
          <w:p>
            <w:pPr>
              <w:spacing w:after="0" w:line="240" w:lineRule="auto"/>
            </w:pPr>
            <w:r/>
            <w:r>
              <w:rPr>
                <w:b w:val="0"/>
                <w:sz w:val="16"/>
              </w:rPr>
              <w:t xml:space="preserve">  NOVA workflow (vs original)</w:t>
            </w:r>
          </w:p>
        </w:tc>
        <w:tc>
          <w:tcPr>
            <w:tcW w:type="dxa" w:w="2736"/>
            <w:tcBorders>
              <w:top w:val="nil" w:sz="6" w:color="000000"/>
              <w:bottom w:val="nil" w:sz="6" w:color="000000"/>
              <w:left w:val="nil"/>
              <w:right w:val="nil"/>
              <w:insideH w:val="nil"/>
              <w:insideV w:val="nil"/>
            </w:tcBorders>
          </w:tcPr>
          <w:p>
            <w:pPr>
              <w:spacing w:after="0" w:line="240" w:lineRule="auto"/>
            </w:pPr>
            <w:r/>
            <w:r>
              <w:rPr>
                <w:b w:val="0"/>
                <w:sz w:val="16"/>
              </w:rPr>
              <w:t>1.10 (0.67 to 1.82)</w:t>
            </w:r>
          </w:p>
        </w:tc>
        <w:tc>
          <w:tcPr>
            <w:tcW w:type="dxa" w:w="1296"/>
            <w:tcBorders>
              <w:top w:val="nil" w:sz="6" w:color="000000"/>
              <w:bottom w:val="nil" w:sz="6" w:color="000000"/>
              <w:left w:val="nil"/>
              <w:right w:val="nil"/>
              <w:insideH w:val="nil"/>
              <w:insideV w:val="nil"/>
            </w:tcBorders>
          </w:tcPr>
          <w:p>
            <w:pPr>
              <w:spacing w:after="0" w:line="240" w:lineRule="auto"/>
            </w:pPr>
            <w:r/>
            <w:r>
              <w:rPr>
                <w:b w:val="0"/>
                <w:sz w:val="16"/>
              </w:rPr>
              <w:t>0.705</w:t>
            </w:r>
          </w:p>
        </w:tc>
      </w:tr>
      <w:tr>
        <w:tc>
          <w:tcPr>
            <w:tcW w:type="dxa" w:w="6048"/>
            <w:tcBorders>
              <w:top w:val="nil" w:sz="6" w:color="000000"/>
              <w:bottom w:val="nil" w:sz="6" w:color="000000"/>
              <w:left w:val="nil"/>
              <w:right w:val="nil"/>
              <w:insideH w:val="nil"/>
              <w:insideV w:val="nil"/>
            </w:tcBorders>
          </w:tcPr>
          <w:p>
            <w:pPr>
              <w:spacing w:after="0" w:line="240" w:lineRule="auto"/>
            </w:pPr>
            <w:r/>
            <w:r>
              <w:rPr>
                <w:b w:val="0"/>
                <w:sz w:val="16"/>
              </w:rPr>
              <w:t xml:space="preserve">  Optical zone, per mm</w:t>
            </w:r>
          </w:p>
        </w:tc>
        <w:tc>
          <w:tcPr>
            <w:tcW w:type="dxa" w:w="2736"/>
            <w:tcBorders>
              <w:top w:val="nil" w:sz="6" w:color="000000"/>
              <w:bottom w:val="nil" w:sz="6" w:color="000000"/>
              <w:left w:val="nil"/>
              <w:right w:val="nil"/>
              <w:insideH w:val="nil"/>
              <w:insideV w:val="nil"/>
            </w:tcBorders>
          </w:tcPr>
          <w:p>
            <w:pPr>
              <w:spacing w:after="0" w:line="240" w:lineRule="auto"/>
            </w:pPr>
            <w:r/>
            <w:r>
              <w:rPr>
                <w:b w:val="0"/>
                <w:sz w:val="16"/>
              </w:rPr>
              <w:t>1.35 (0.60 to 3.02)</w:t>
            </w:r>
          </w:p>
        </w:tc>
        <w:tc>
          <w:tcPr>
            <w:tcW w:type="dxa" w:w="1296"/>
            <w:tcBorders>
              <w:top w:val="nil" w:sz="6" w:color="000000"/>
              <w:bottom w:val="nil" w:sz="6" w:color="000000"/>
              <w:left w:val="nil"/>
              <w:right w:val="nil"/>
              <w:insideH w:val="nil"/>
              <w:insideV w:val="nil"/>
            </w:tcBorders>
          </w:tcPr>
          <w:p>
            <w:pPr>
              <w:spacing w:after="0" w:line="240" w:lineRule="auto"/>
            </w:pPr>
            <w:r/>
            <w:r>
              <w:rPr>
                <w:b w:val="0"/>
                <w:sz w:val="16"/>
              </w:rPr>
              <w:t>0.469</w:t>
            </w:r>
          </w:p>
        </w:tc>
      </w:tr>
      <w:tr>
        <w:tc>
          <w:tcPr>
            <w:tcW w:type="dxa" w:w="6048"/>
            <w:tcBorders>
              <w:top w:val="nil" w:sz="6" w:color="000000"/>
              <w:bottom w:val="nil" w:sz="6" w:color="000000"/>
              <w:left w:val="nil"/>
              <w:right w:val="nil"/>
              <w:insideH w:val="nil"/>
              <w:insideV w:val="nil"/>
            </w:tcBorders>
          </w:tcPr>
          <w:p>
            <w:pPr>
              <w:spacing w:after="0" w:line="240" w:lineRule="auto"/>
            </w:pPr>
            <w:r/>
            <w:r>
              <w:rPr>
                <w:b w:val="0"/>
                <w:sz w:val="16"/>
              </w:rPr>
              <w:t xml:space="preserve">  From July 2024 (vs before)</w:t>
            </w:r>
          </w:p>
        </w:tc>
        <w:tc>
          <w:tcPr>
            <w:tcW w:type="dxa" w:w="2736"/>
            <w:tcBorders>
              <w:top w:val="nil" w:sz="6" w:color="000000"/>
              <w:bottom w:val="nil" w:sz="6" w:color="000000"/>
              <w:left w:val="nil"/>
              <w:right w:val="nil"/>
              <w:insideH w:val="nil"/>
              <w:insideV w:val="nil"/>
            </w:tcBorders>
          </w:tcPr>
          <w:p>
            <w:pPr>
              <w:spacing w:after="0" w:line="240" w:lineRule="auto"/>
            </w:pPr>
            <w:r/>
            <w:r>
              <w:rPr>
                <w:b w:val="0"/>
                <w:sz w:val="16"/>
              </w:rPr>
              <w:t>1.08 (0.68 to 1.73)</w:t>
            </w:r>
          </w:p>
        </w:tc>
        <w:tc>
          <w:tcPr>
            <w:tcW w:type="dxa" w:w="1296"/>
            <w:tcBorders>
              <w:top w:val="nil" w:sz="6" w:color="000000"/>
              <w:bottom w:val="nil" w:sz="6" w:color="000000"/>
              <w:left w:val="nil"/>
              <w:right w:val="nil"/>
              <w:insideH w:val="nil"/>
              <w:insideV w:val="nil"/>
            </w:tcBorders>
          </w:tcPr>
          <w:p>
            <w:pPr>
              <w:spacing w:after="0" w:line="240" w:lineRule="auto"/>
            </w:pPr>
            <w:r/>
            <w:r>
              <w:rPr>
                <w:b w:val="0"/>
                <w:sz w:val="16"/>
              </w:rPr>
              <w:t>0.747</w:t>
            </w:r>
          </w:p>
        </w:tc>
      </w:tr>
      <w:tr>
        <w:tc>
          <w:tcPr>
            <w:tcW w:type="dxa" w:w="6048"/>
            <w:tcBorders>
              <w:top w:val="nil" w:sz="6" w:color="000000"/>
              <w:bottom w:val="nil" w:sz="6" w:color="000000"/>
              <w:left w:val="nil"/>
              <w:right w:val="nil"/>
              <w:insideH w:val="nil"/>
              <w:insideV w:val="nil"/>
            </w:tcBorders>
          </w:tcPr>
          <w:p>
            <w:pPr>
              <w:spacing w:after="0" w:line="240" w:lineRule="auto"/>
            </w:pPr>
            <w:r/>
            <w:r>
              <w:rPr>
                <w:b w:val="0"/>
                <w:sz w:val="16"/>
              </w:rPr>
              <w:t xml:space="preserve">  Age, per decade (separate model, N = 1874)</w:t>
            </w:r>
          </w:p>
        </w:tc>
        <w:tc>
          <w:tcPr>
            <w:tcW w:type="dxa" w:w="2736"/>
            <w:tcBorders>
              <w:top w:val="nil" w:sz="6" w:color="000000"/>
              <w:bottom w:val="nil" w:sz="6" w:color="000000"/>
              <w:left w:val="nil"/>
              <w:right w:val="nil"/>
              <w:insideH w:val="nil"/>
              <w:insideV w:val="nil"/>
            </w:tcBorders>
          </w:tcPr>
          <w:p>
            <w:pPr>
              <w:spacing w:after="0" w:line="240" w:lineRule="auto"/>
            </w:pPr>
            <w:r/>
            <w:r>
              <w:rPr>
                <w:b w:val="0"/>
                <w:sz w:val="16"/>
              </w:rPr>
              <w:t>0.59 (0.43 to 0.80)</w:t>
            </w:r>
          </w:p>
        </w:tc>
        <w:tc>
          <w:tcPr>
            <w:tcW w:type="dxa" w:w="1296"/>
            <w:tcBorders>
              <w:top w:val="nil" w:sz="6" w:color="000000"/>
              <w:bottom w:val="nil" w:sz="6" w:color="000000"/>
              <w:left w:val="nil"/>
              <w:right w:val="nil"/>
              <w:insideH w:val="nil"/>
              <w:insideV w:val="nil"/>
            </w:tcBorders>
          </w:tcPr>
          <w:p>
            <w:pPr>
              <w:spacing w:after="0" w:line="240" w:lineRule="auto"/>
            </w:pPr>
            <w:r/>
            <w:r>
              <w:rPr>
                <w:b w:val="0"/>
                <w:sz w:val="16"/>
              </w:rPr>
              <w:t>&lt; 0.001</w:t>
            </w:r>
          </w:p>
        </w:tc>
      </w:tr>
      <w:tr>
        <w:tc>
          <w:tcPr>
            <w:tcW w:type="dxa" w:w="6048"/>
            <w:tcBorders>
              <w:top w:val="nil" w:sz="6" w:color="000000"/>
              <w:bottom w:val="nil" w:sz="6" w:color="000000"/>
              <w:left w:val="nil"/>
              <w:right w:val="nil"/>
              <w:insideH w:val="nil"/>
              <w:insideV w:val="nil"/>
            </w:tcBorders>
          </w:tcPr>
          <w:p>
            <w:pPr>
              <w:spacing w:after="0" w:line="240" w:lineRule="auto"/>
            </w:pPr>
            <w:r/>
            <w:r>
              <w:rPr>
                <w:b w:val="0"/>
                <w:sz w:val="16"/>
              </w:rPr>
              <w:t xml:space="preserve">  Band 25-29 y vs 18-24 y (band model, N = 1874)</w:t>
            </w:r>
          </w:p>
        </w:tc>
        <w:tc>
          <w:tcPr>
            <w:tcW w:type="dxa" w:w="2736"/>
            <w:tcBorders>
              <w:top w:val="nil" w:sz="6" w:color="000000"/>
              <w:bottom w:val="nil" w:sz="6" w:color="000000"/>
              <w:left w:val="nil"/>
              <w:right w:val="nil"/>
              <w:insideH w:val="nil"/>
              <w:insideV w:val="nil"/>
            </w:tcBorders>
          </w:tcPr>
          <w:p>
            <w:pPr>
              <w:spacing w:after="0" w:line="240" w:lineRule="auto"/>
            </w:pPr>
            <w:r/>
            <w:r>
              <w:rPr>
                <w:b w:val="0"/>
                <w:sz w:val="16"/>
              </w:rPr>
              <w:t>0.73 (0.39 to 1.37)</w:t>
            </w:r>
          </w:p>
        </w:tc>
        <w:tc>
          <w:tcPr>
            <w:tcW w:type="dxa" w:w="1296"/>
            <w:tcBorders>
              <w:top w:val="nil" w:sz="6" w:color="000000"/>
              <w:bottom w:val="nil" w:sz="6" w:color="000000"/>
              <w:left w:val="nil"/>
              <w:right w:val="nil"/>
              <w:insideH w:val="nil"/>
              <w:insideV w:val="nil"/>
            </w:tcBorders>
          </w:tcPr>
          <w:p>
            <w:pPr>
              <w:spacing w:after="0" w:line="240" w:lineRule="auto"/>
            </w:pPr>
            <w:r/>
            <w:r>
              <w:rPr>
                <w:b w:val="0"/>
                <w:sz w:val="16"/>
              </w:rPr>
              <w:t>0.332</w:t>
            </w:r>
          </w:p>
        </w:tc>
      </w:tr>
      <w:tr>
        <w:tc>
          <w:tcPr>
            <w:tcW w:type="dxa" w:w="6048"/>
            <w:tcBorders>
              <w:top w:val="nil" w:sz="6" w:color="000000"/>
              <w:bottom w:val="nil" w:sz="6" w:color="000000"/>
              <w:left w:val="nil"/>
              <w:right w:val="nil"/>
              <w:insideH w:val="nil"/>
              <w:insideV w:val="nil"/>
            </w:tcBorders>
          </w:tcPr>
          <w:p>
            <w:pPr>
              <w:spacing w:after="0" w:line="240" w:lineRule="auto"/>
            </w:pPr>
            <w:r/>
            <w:r>
              <w:rPr>
                <w:b w:val="0"/>
                <w:sz w:val="16"/>
              </w:rPr>
              <w:t xml:space="preserve">  Band 30-34 y vs 18-24 y (band model, N = 1874)</w:t>
            </w:r>
          </w:p>
        </w:tc>
        <w:tc>
          <w:tcPr>
            <w:tcW w:type="dxa" w:w="2736"/>
            <w:tcBorders>
              <w:top w:val="nil" w:sz="6" w:color="000000"/>
              <w:bottom w:val="nil" w:sz="6" w:color="000000"/>
              <w:left w:val="nil"/>
              <w:right w:val="nil"/>
              <w:insideH w:val="nil"/>
              <w:insideV w:val="nil"/>
            </w:tcBorders>
          </w:tcPr>
          <w:p>
            <w:pPr>
              <w:spacing w:after="0" w:line="240" w:lineRule="auto"/>
            </w:pPr>
            <w:r/>
            <w:r>
              <w:rPr>
                <w:b w:val="0"/>
                <w:sz w:val="16"/>
              </w:rPr>
              <w:t>0.73 (0.38 to 1.40)</w:t>
            </w:r>
          </w:p>
        </w:tc>
        <w:tc>
          <w:tcPr>
            <w:tcW w:type="dxa" w:w="1296"/>
            <w:tcBorders>
              <w:top w:val="nil" w:sz="6" w:color="000000"/>
              <w:bottom w:val="nil" w:sz="6" w:color="000000"/>
              <w:left w:val="nil"/>
              <w:right w:val="nil"/>
              <w:insideH w:val="nil"/>
              <w:insideV w:val="nil"/>
            </w:tcBorders>
          </w:tcPr>
          <w:p>
            <w:pPr>
              <w:spacing w:after="0" w:line="240" w:lineRule="auto"/>
            </w:pPr>
            <w:r/>
            <w:r>
              <w:rPr>
                <w:b w:val="0"/>
                <w:sz w:val="16"/>
              </w:rPr>
              <w:t>0.340</w:t>
            </w:r>
          </w:p>
        </w:tc>
      </w:tr>
      <w:tr>
        <w:tc>
          <w:tcPr>
            <w:tcW w:type="dxa" w:w="6048"/>
            <w:tcBorders>
              <w:top w:val="nil" w:sz="6" w:color="000000"/>
              <w:bottom w:val="nil" w:sz="6" w:color="000000"/>
              <w:left w:val="nil"/>
              <w:right w:val="nil"/>
              <w:insideH w:val="nil"/>
              <w:insideV w:val="nil"/>
            </w:tcBorders>
          </w:tcPr>
          <w:p>
            <w:pPr>
              <w:spacing w:after="0" w:line="240" w:lineRule="auto"/>
            </w:pPr>
            <w:r/>
            <w:r>
              <w:rPr>
                <w:b w:val="0"/>
                <w:sz w:val="16"/>
              </w:rPr>
              <w:t xml:space="preserve">  Band 35-39 y vs 18-24 y (band model, N = 1874)</w:t>
            </w:r>
          </w:p>
        </w:tc>
        <w:tc>
          <w:tcPr>
            <w:tcW w:type="dxa" w:w="2736"/>
            <w:tcBorders>
              <w:top w:val="nil" w:sz="6" w:color="000000"/>
              <w:bottom w:val="nil" w:sz="6" w:color="000000"/>
              <w:left w:val="nil"/>
              <w:right w:val="nil"/>
              <w:insideH w:val="nil"/>
              <w:insideV w:val="nil"/>
            </w:tcBorders>
          </w:tcPr>
          <w:p>
            <w:pPr>
              <w:spacing w:after="0" w:line="240" w:lineRule="auto"/>
            </w:pPr>
            <w:r/>
            <w:r>
              <w:rPr>
                <w:b w:val="0"/>
                <w:sz w:val="16"/>
              </w:rPr>
              <w:t>0.55 (0.27 to 1.09)</w:t>
            </w:r>
          </w:p>
        </w:tc>
        <w:tc>
          <w:tcPr>
            <w:tcW w:type="dxa" w:w="1296"/>
            <w:tcBorders>
              <w:top w:val="nil" w:sz="6" w:color="000000"/>
              <w:bottom w:val="nil" w:sz="6" w:color="000000"/>
              <w:left w:val="nil"/>
              <w:right w:val="nil"/>
              <w:insideH w:val="nil"/>
              <w:insideV w:val="nil"/>
            </w:tcBorders>
          </w:tcPr>
          <w:p>
            <w:pPr>
              <w:spacing w:after="0" w:line="240" w:lineRule="auto"/>
            </w:pPr>
            <w:r/>
            <w:r>
              <w:rPr>
                <w:b w:val="0"/>
                <w:sz w:val="16"/>
              </w:rPr>
              <w:t>0.087</w:t>
            </w:r>
          </w:p>
        </w:tc>
      </w:tr>
      <w:tr>
        <w:tc>
          <w:tcPr>
            <w:tcW w:type="dxa" w:w="6048"/>
            <w:tcBorders>
              <w:top w:val="nil" w:sz="6" w:color="000000"/>
              <w:bottom w:val="nil" w:sz="6" w:color="000000"/>
              <w:left w:val="nil"/>
              <w:right w:val="nil"/>
              <w:insideH w:val="nil"/>
              <w:insideV w:val="nil"/>
            </w:tcBorders>
          </w:tcPr>
          <w:p>
            <w:pPr>
              <w:spacing w:after="0" w:line="240" w:lineRule="auto"/>
            </w:pPr>
            <w:r/>
            <w:r>
              <w:rPr>
                <w:b w:val="0"/>
                <w:sz w:val="16"/>
              </w:rPr>
              <w:t xml:space="preserve">  Band 40-44 y vs 18-24 y (band model, N = 1874)</w:t>
            </w:r>
          </w:p>
        </w:tc>
        <w:tc>
          <w:tcPr>
            <w:tcW w:type="dxa" w:w="2736"/>
            <w:tcBorders>
              <w:top w:val="nil" w:sz="6" w:color="000000"/>
              <w:bottom w:val="nil" w:sz="6" w:color="000000"/>
              <w:left w:val="nil"/>
              <w:right w:val="nil"/>
              <w:insideH w:val="nil"/>
              <w:insideV w:val="nil"/>
            </w:tcBorders>
          </w:tcPr>
          <w:p>
            <w:pPr>
              <w:spacing w:after="0" w:line="240" w:lineRule="auto"/>
            </w:pPr>
            <w:r/>
            <w:r>
              <w:rPr>
                <w:b w:val="0"/>
                <w:sz w:val="16"/>
              </w:rPr>
              <w:t>0.38 (0.18 to 0.81)</w:t>
            </w:r>
          </w:p>
        </w:tc>
        <w:tc>
          <w:tcPr>
            <w:tcW w:type="dxa" w:w="1296"/>
            <w:tcBorders>
              <w:top w:val="nil" w:sz="6" w:color="000000"/>
              <w:bottom w:val="nil" w:sz="6" w:color="000000"/>
              <w:left w:val="nil"/>
              <w:right w:val="nil"/>
              <w:insideH w:val="nil"/>
              <w:insideV w:val="nil"/>
            </w:tcBorders>
          </w:tcPr>
          <w:p>
            <w:pPr>
              <w:spacing w:after="0" w:line="240" w:lineRule="auto"/>
            </w:pPr>
            <w:r/>
            <w:r>
              <w:rPr>
                <w:b w:val="0"/>
                <w:sz w:val="16"/>
              </w:rPr>
              <w:t>0.012</w:t>
            </w:r>
          </w:p>
        </w:tc>
      </w:tr>
      <w:tr>
        <w:tc>
          <w:tcPr>
            <w:tcW w:type="dxa" w:w="6048"/>
            <w:tcBorders>
              <w:top w:val="nil" w:sz="6" w:color="000000"/>
              <w:bottom w:val="nil" w:sz="6" w:color="000000"/>
              <w:left w:val="nil"/>
              <w:right w:val="nil"/>
              <w:insideH w:val="nil"/>
              <w:insideV w:val="nil"/>
            </w:tcBorders>
          </w:tcPr>
          <w:p>
            <w:pPr>
              <w:spacing w:after="0" w:line="240" w:lineRule="auto"/>
            </w:pPr>
            <w:r/>
            <w:r>
              <w:rPr>
                <w:b w:val="0"/>
                <w:sz w:val="16"/>
              </w:rPr>
              <w:t xml:space="preserve">  Band 45+ y vs 18-24 y (band model, N = 1874)</w:t>
            </w:r>
          </w:p>
        </w:tc>
        <w:tc>
          <w:tcPr>
            <w:tcW w:type="dxa" w:w="2736"/>
            <w:tcBorders>
              <w:top w:val="nil" w:sz="6" w:color="000000"/>
              <w:bottom w:val="nil" w:sz="6" w:color="000000"/>
              <w:left w:val="nil"/>
              <w:right w:val="nil"/>
              <w:insideH w:val="nil"/>
              <w:insideV w:val="nil"/>
            </w:tcBorders>
          </w:tcPr>
          <w:p>
            <w:pPr>
              <w:spacing w:after="0" w:line="240" w:lineRule="auto"/>
            </w:pPr>
            <w:r/>
            <w:r>
              <w:rPr>
                <w:b w:val="0"/>
                <w:sz w:val="16"/>
              </w:rPr>
              <w:t>0.15 (0.05 to 0.50)</w:t>
            </w:r>
          </w:p>
        </w:tc>
        <w:tc>
          <w:tcPr>
            <w:tcW w:type="dxa" w:w="1296"/>
            <w:tcBorders>
              <w:top w:val="nil" w:sz="6" w:color="000000"/>
              <w:bottom w:val="nil" w:sz="6" w:color="000000"/>
              <w:left w:val="nil"/>
              <w:right w:val="nil"/>
              <w:insideH w:val="nil"/>
              <w:insideV w:val="nil"/>
            </w:tcBorders>
          </w:tcPr>
          <w:p>
            <w:pPr>
              <w:spacing w:after="0" w:line="240" w:lineRule="auto"/>
            </w:pPr>
            <w:r/>
            <w:r>
              <w:rPr>
                <w:b w:val="0"/>
                <w:sz w:val="16"/>
              </w:rPr>
              <w:t>0.002</w:t>
            </w:r>
          </w:p>
        </w:tc>
      </w:tr>
      <w:tr>
        <w:tc>
          <w:tcPr>
            <w:tcW w:type="dxa" w:w="6048"/>
            <w:tcBorders>
              <w:top w:val="nil" w:sz="6" w:color="000000"/>
              <w:bottom w:val="nil" w:sz="6" w:color="000000"/>
              <w:left w:val="nil"/>
              <w:right w:val="nil"/>
              <w:insideH w:val="nil"/>
              <w:insideV w:val="nil"/>
            </w:tcBorders>
          </w:tcPr>
          <w:p>
            <w:pPr>
              <w:spacing w:after="0" w:line="240" w:lineRule="auto"/>
            </w:pPr>
            <w:r/>
            <w:r>
              <w:rPr>
                <w:b w:val="0"/>
                <w:sz w:val="16"/>
              </w:rPr>
              <w:t xml:space="preserve">  Age 40 y or older, before July 2024 (N = 593)</w:t>
            </w:r>
          </w:p>
        </w:tc>
        <w:tc>
          <w:tcPr>
            <w:tcW w:type="dxa" w:w="2736"/>
            <w:tcBorders>
              <w:top w:val="nil" w:sz="6" w:color="000000"/>
              <w:bottom w:val="nil" w:sz="6" w:color="000000"/>
              <w:left w:val="nil"/>
              <w:right w:val="nil"/>
              <w:insideH w:val="nil"/>
              <w:insideV w:val="nil"/>
            </w:tcBorders>
          </w:tcPr>
          <w:p>
            <w:pPr>
              <w:spacing w:after="0" w:line="240" w:lineRule="auto"/>
            </w:pPr>
            <w:r/>
            <w:r>
              <w:rPr>
                <w:b w:val="0"/>
                <w:sz w:val="16"/>
              </w:rPr>
              <w:t>0.45 (0.20 to 1.02)</w:t>
            </w:r>
          </w:p>
        </w:tc>
        <w:tc>
          <w:tcPr>
            <w:tcW w:type="dxa" w:w="1296"/>
            <w:tcBorders>
              <w:top w:val="nil" w:sz="6" w:color="000000"/>
              <w:bottom w:val="nil" w:sz="6" w:color="000000"/>
              <w:left w:val="nil"/>
              <w:right w:val="nil"/>
              <w:insideH w:val="nil"/>
              <w:insideV w:val="nil"/>
            </w:tcBorders>
          </w:tcPr>
          <w:p>
            <w:pPr>
              <w:spacing w:after="0" w:line="240" w:lineRule="auto"/>
            </w:pPr>
            <w:r/>
            <w:r>
              <w:rPr>
                <w:b w:val="0"/>
                <w:sz w:val="16"/>
              </w:rPr>
              <w:t>0.056</w:t>
            </w:r>
          </w:p>
        </w:tc>
      </w:tr>
      <w:tr>
        <w:tc>
          <w:tcPr>
            <w:tcW w:type="dxa" w:w="6048"/>
            <w:tcBorders>
              <w:top w:val="nil" w:sz="6" w:color="000000"/>
              <w:bottom w:val="nil" w:sz="6" w:color="000000"/>
              <w:left w:val="nil"/>
              <w:right w:val="nil"/>
              <w:insideH w:val="nil"/>
              <w:insideV w:val="nil"/>
            </w:tcBorders>
          </w:tcPr>
          <w:p>
            <w:pPr>
              <w:spacing w:after="0" w:line="240" w:lineRule="auto"/>
            </w:pPr>
            <w:r/>
            <w:r>
              <w:rPr>
                <w:b w:val="0"/>
                <w:sz w:val="16"/>
              </w:rPr>
              <w:t xml:space="preserve">  Age 40 y or older, from July 2024 (N = 1281)</w:t>
            </w:r>
          </w:p>
        </w:tc>
        <w:tc>
          <w:tcPr>
            <w:tcW w:type="dxa" w:w="2736"/>
            <w:tcBorders>
              <w:top w:val="nil" w:sz="6" w:color="000000"/>
              <w:bottom w:val="nil" w:sz="6" w:color="000000"/>
              <w:left w:val="nil"/>
              <w:right w:val="nil"/>
              <w:insideH w:val="nil"/>
              <w:insideV w:val="nil"/>
            </w:tcBorders>
          </w:tcPr>
          <w:p>
            <w:pPr>
              <w:spacing w:after="0" w:line="240" w:lineRule="auto"/>
            </w:pPr>
            <w:r/>
            <w:r>
              <w:rPr>
                <w:b w:val="0"/>
                <w:sz w:val="16"/>
              </w:rPr>
              <w:t>0.42 (0.21 to 0.84)</w:t>
            </w:r>
          </w:p>
        </w:tc>
        <w:tc>
          <w:tcPr>
            <w:tcW w:type="dxa" w:w="1296"/>
            <w:tcBorders>
              <w:top w:val="nil" w:sz="6" w:color="000000"/>
              <w:bottom w:val="nil" w:sz="6" w:color="000000"/>
              <w:left w:val="nil"/>
              <w:right w:val="nil"/>
              <w:insideH w:val="nil"/>
              <w:insideV w:val="nil"/>
            </w:tcBorders>
          </w:tcPr>
          <w:p>
            <w:pPr>
              <w:spacing w:after="0" w:line="240" w:lineRule="auto"/>
            </w:pPr>
            <w:r/>
            <w:r>
              <w:rPr>
                <w:b w:val="0"/>
                <w:sz w:val="16"/>
              </w:rPr>
              <w:t>0.014</w:t>
            </w:r>
          </w:p>
        </w:tc>
      </w:tr>
      <w:tr>
        <w:tc>
          <w:tcPr>
            <w:tcW w:type="dxa" w:w="6048"/>
            <w:tcBorders>
              <w:top w:val="nil" w:sz="6" w:color="000000"/>
              <w:bottom w:val="nil" w:sz="6" w:color="000000"/>
              <w:left w:val="nil"/>
              <w:right w:val="nil"/>
              <w:insideH w:val="nil"/>
              <w:insideV w:val="nil"/>
            </w:tcBorders>
          </w:tcPr>
          <w:p>
            <w:pPr>
              <w:spacing w:after="0" w:line="240" w:lineRule="auto"/>
            </w:pPr>
            <w:r/>
            <w:r>
              <w:rPr>
                <w:b/>
                <w:sz w:val="16"/>
              </w:rPr>
              <w:t>Manifest SEQ at 12 months, linear, D</w:t>
            </w:r>
          </w:p>
        </w:tc>
        <w:tc>
          <w:tcPr>
            <w:tcW w:type="dxa" w:w="2736"/>
            <w:tcBorders>
              <w:top w:val="nil" w:sz="6" w:color="000000"/>
              <w:bottom w:val="nil" w:sz="6" w:color="000000"/>
              <w:left w:val="nil"/>
              <w:right w:val="nil"/>
              <w:insideH w:val="nil"/>
              <w:insideV w:val="nil"/>
            </w:tcBorders>
          </w:tcPr>
          <w:p>
            <w:pPr>
              <w:spacing w:after="0" w:line="240" w:lineRule="auto"/>
            </w:pPr>
            <w:r/>
            <w:r>
              <w:rPr>
                <w:b/>
                <w:sz w:val="16"/>
              </w:rPr>
            </w:r>
          </w:p>
        </w:tc>
        <w:tc>
          <w:tcPr>
            <w:tcW w:type="dxa" w:w="1296"/>
            <w:tcBorders>
              <w:top w:val="nil" w:sz="6" w:color="000000"/>
              <w:bottom w:val="nil" w:sz="6" w:color="000000"/>
              <w:left w:val="nil"/>
              <w:right w:val="nil"/>
              <w:insideH w:val="nil"/>
              <w:insideV w:val="nil"/>
            </w:tcBorders>
          </w:tcPr>
          <w:p>
            <w:pPr>
              <w:spacing w:after="0" w:line="240" w:lineRule="auto"/>
            </w:pPr>
            <w:r/>
            <w:r>
              <w:rPr>
                <w:b/>
                <w:sz w:val="16"/>
              </w:rPr>
            </w:r>
          </w:p>
        </w:tc>
      </w:tr>
      <w:tr>
        <w:tc>
          <w:tcPr>
            <w:tcW w:type="dxa" w:w="6048"/>
            <w:tcBorders>
              <w:top w:val="nil" w:sz="6" w:color="000000"/>
              <w:bottom w:val="nil" w:sz="6" w:color="000000"/>
              <w:left w:val="nil"/>
              <w:right w:val="nil"/>
              <w:insideH w:val="nil"/>
              <w:insideV w:val="nil"/>
            </w:tcBorders>
          </w:tcPr>
          <w:p>
            <w:pPr>
              <w:spacing w:after="0" w:line="240" w:lineRule="auto"/>
            </w:pPr>
            <w:r/>
            <w:r>
              <w:rPr>
                <w:b w:val="0"/>
                <w:sz w:val="16"/>
              </w:rPr>
              <w:t xml:space="preserve">  Age 40 y or older (vs under 40)</w:t>
            </w:r>
          </w:p>
        </w:tc>
        <w:tc>
          <w:tcPr>
            <w:tcW w:type="dxa" w:w="2736"/>
            <w:tcBorders>
              <w:top w:val="nil" w:sz="6" w:color="000000"/>
              <w:bottom w:val="nil" w:sz="6" w:color="000000"/>
              <w:left w:val="nil"/>
              <w:right w:val="nil"/>
              <w:insideH w:val="nil"/>
              <w:insideV w:val="nil"/>
            </w:tcBorders>
          </w:tcPr>
          <w:p>
            <w:pPr>
              <w:spacing w:after="0" w:line="240" w:lineRule="auto"/>
            </w:pPr>
            <w:r/>
            <w:r>
              <w:rPr>
                <w:b w:val="0"/>
                <w:sz w:val="16"/>
              </w:rPr>
              <w:t>−0.42 (−0.61 to −0.23)</w:t>
            </w:r>
          </w:p>
        </w:tc>
        <w:tc>
          <w:tcPr>
            <w:tcW w:type="dxa" w:w="1296"/>
            <w:tcBorders>
              <w:top w:val="nil" w:sz="6" w:color="000000"/>
              <w:bottom w:val="nil" w:sz="6" w:color="000000"/>
              <w:left w:val="nil"/>
              <w:right w:val="nil"/>
              <w:insideH w:val="nil"/>
              <w:insideV w:val="nil"/>
            </w:tcBorders>
          </w:tcPr>
          <w:p>
            <w:pPr>
              <w:spacing w:after="0" w:line="240" w:lineRule="auto"/>
            </w:pPr>
            <w:r/>
            <w:r>
              <w:rPr>
                <w:b w:val="0"/>
                <w:sz w:val="16"/>
              </w:rPr>
              <w:t>&lt; 0.001</w:t>
            </w:r>
          </w:p>
        </w:tc>
      </w:tr>
      <w:tr>
        <w:tc>
          <w:tcPr>
            <w:tcW w:type="dxa" w:w="6048"/>
            <w:tcBorders>
              <w:top w:val="nil" w:sz="6" w:color="000000"/>
              <w:bottom w:val="nil" w:sz="6" w:color="000000"/>
              <w:left w:val="nil"/>
              <w:right w:val="nil"/>
              <w:insideH w:val="nil"/>
              <w:insideV w:val="nil"/>
            </w:tcBorders>
          </w:tcPr>
          <w:p>
            <w:pPr>
              <w:spacing w:after="0" w:line="240" w:lineRule="auto"/>
            </w:pPr>
            <w:r/>
            <w:r>
              <w:rPr>
                <w:b w:val="0"/>
                <w:sz w:val="16"/>
              </w:rPr>
              <w:t xml:space="preserve">  Attempted SEQ, per dioptre</w:t>
            </w:r>
          </w:p>
        </w:tc>
        <w:tc>
          <w:tcPr>
            <w:tcW w:type="dxa" w:w="2736"/>
            <w:tcBorders>
              <w:top w:val="nil" w:sz="6" w:color="000000"/>
              <w:bottom w:val="nil" w:sz="6" w:color="000000"/>
              <w:left w:val="nil"/>
              <w:right w:val="nil"/>
              <w:insideH w:val="nil"/>
              <w:insideV w:val="nil"/>
            </w:tcBorders>
          </w:tcPr>
          <w:p>
            <w:pPr>
              <w:spacing w:after="0" w:line="240" w:lineRule="auto"/>
            </w:pPr>
            <w:r/>
            <w:r>
              <w:rPr>
                <w:b w:val="0"/>
                <w:sz w:val="16"/>
              </w:rPr>
              <w:t>−0.04 (−0.06 to −0.02)</w:t>
            </w:r>
          </w:p>
        </w:tc>
        <w:tc>
          <w:tcPr>
            <w:tcW w:type="dxa" w:w="1296"/>
            <w:tcBorders>
              <w:top w:val="nil" w:sz="6" w:color="000000"/>
              <w:bottom w:val="nil" w:sz="6" w:color="000000"/>
              <w:left w:val="nil"/>
              <w:right w:val="nil"/>
              <w:insideH w:val="nil"/>
              <w:insideV w:val="nil"/>
            </w:tcBorders>
          </w:tcPr>
          <w:p>
            <w:pPr>
              <w:spacing w:after="0" w:line="240" w:lineRule="auto"/>
            </w:pPr>
            <w:r/>
            <w:r>
              <w:rPr>
                <w:b w:val="0"/>
                <w:sz w:val="16"/>
              </w:rPr>
              <w:t>0.001</w:t>
            </w:r>
          </w:p>
        </w:tc>
      </w:tr>
      <w:tr>
        <w:tc>
          <w:tcPr>
            <w:tcW w:type="dxa" w:w="6048"/>
            <w:tcBorders>
              <w:top w:val="nil" w:sz="6" w:color="000000"/>
              <w:bottom w:val="nil" w:sz="6" w:color="000000"/>
              <w:left w:val="nil"/>
              <w:right w:val="nil"/>
              <w:insideH w:val="nil"/>
              <w:insideV w:val="nil"/>
            </w:tcBorders>
          </w:tcPr>
          <w:p>
            <w:pPr>
              <w:spacing w:after="0" w:line="240" w:lineRule="auto"/>
            </w:pPr>
            <w:r/>
            <w:r>
              <w:rPr>
                <w:b w:val="0"/>
                <w:sz w:val="16"/>
              </w:rPr>
              <w:t xml:space="preserve">  Attempted cylinder, per dioptre</w:t>
            </w:r>
          </w:p>
        </w:tc>
        <w:tc>
          <w:tcPr>
            <w:tcW w:type="dxa" w:w="2736"/>
            <w:tcBorders>
              <w:top w:val="nil" w:sz="6" w:color="000000"/>
              <w:bottom w:val="nil" w:sz="6" w:color="000000"/>
              <w:left w:val="nil"/>
              <w:right w:val="nil"/>
              <w:insideH w:val="nil"/>
              <w:insideV w:val="nil"/>
            </w:tcBorders>
          </w:tcPr>
          <w:p>
            <w:pPr>
              <w:spacing w:after="0" w:line="240" w:lineRule="auto"/>
            </w:pPr>
            <w:r/>
            <w:r>
              <w:rPr>
                <w:b w:val="0"/>
                <w:sz w:val="16"/>
              </w:rPr>
              <w:t>+0.02 (−0.03 to +0.06)</w:t>
            </w:r>
          </w:p>
        </w:tc>
        <w:tc>
          <w:tcPr>
            <w:tcW w:type="dxa" w:w="1296"/>
            <w:tcBorders>
              <w:top w:val="nil" w:sz="6" w:color="000000"/>
              <w:bottom w:val="nil" w:sz="6" w:color="000000"/>
              <w:left w:val="nil"/>
              <w:right w:val="nil"/>
              <w:insideH w:val="nil"/>
              <w:insideV w:val="nil"/>
            </w:tcBorders>
          </w:tcPr>
          <w:p>
            <w:pPr>
              <w:spacing w:after="0" w:line="240" w:lineRule="auto"/>
            </w:pPr>
            <w:r/>
            <w:r>
              <w:rPr>
                <w:b w:val="0"/>
                <w:sz w:val="16"/>
              </w:rPr>
              <w:t>0.485</w:t>
            </w:r>
          </w:p>
        </w:tc>
      </w:tr>
      <w:tr>
        <w:tc>
          <w:tcPr>
            <w:tcW w:type="dxa" w:w="6048"/>
            <w:tcBorders>
              <w:top w:val="nil" w:sz="6" w:color="000000"/>
              <w:bottom w:val="nil" w:sz="6" w:color="000000"/>
              <w:left w:val="nil"/>
              <w:right w:val="nil"/>
              <w:insideH w:val="nil"/>
              <w:insideV w:val="nil"/>
            </w:tcBorders>
          </w:tcPr>
          <w:p>
            <w:pPr>
              <w:spacing w:after="0" w:line="240" w:lineRule="auto"/>
            </w:pPr>
            <w:r/>
            <w:r>
              <w:rPr>
                <w:b w:val="0"/>
                <w:sz w:val="16"/>
              </w:rPr>
              <w:t xml:space="preserve">  NOVA workflow (vs original)</w:t>
            </w:r>
          </w:p>
        </w:tc>
        <w:tc>
          <w:tcPr>
            <w:tcW w:type="dxa" w:w="2736"/>
            <w:tcBorders>
              <w:top w:val="nil" w:sz="6" w:color="000000"/>
              <w:bottom w:val="nil" w:sz="6" w:color="000000"/>
              <w:left w:val="nil"/>
              <w:right w:val="nil"/>
              <w:insideH w:val="nil"/>
              <w:insideV w:val="nil"/>
            </w:tcBorders>
          </w:tcPr>
          <w:p>
            <w:pPr>
              <w:spacing w:after="0" w:line="240" w:lineRule="auto"/>
            </w:pPr>
            <w:r/>
            <w:r>
              <w:rPr>
                <w:b w:val="0"/>
                <w:sz w:val="16"/>
              </w:rPr>
              <w:t>+0.10 (−0.01 to +0.22)</w:t>
            </w:r>
          </w:p>
        </w:tc>
        <w:tc>
          <w:tcPr>
            <w:tcW w:type="dxa" w:w="1296"/>
            <w:tcBorders>
              <w:top w:val="nil" w:sz="6" w:color="000000"/>
              <w:bottom w:val="nil" w:sz="6" w:color="000000"/>
              <w:left w:val="nil"/>
              <w:right w:val="nil"/>
              <w:insideH w:val="nil"/>
              <w:insideV w:val="nil"/>
            </w:tcBorders>
          </w:tcPr>
          <w:p>
            <w:pPr>
              <w:spacing w:after="0" w:line="240" w:lineRule="auto"/>
            </w:pPr>
            <w:r/>
            <w:r>
              <w:rPr>
                <w:b w:val="0"/>
                <w:sz w:val="16"/>
              </w:rPr>
              <w:t>0.084</w:t>
            </w:r>
          </w:p>
        </w:tc>
      </w:tr>
      <w:tr>
        <w:tc>
          <w:tcPr>
            <w:tcW w:type="dxa" w:w="6048"/>
            <w:tcBorders>
              <w:top w:val="nil" w:sz="6" w:color="000000"/>
              <w:bottom w:val="nil" w:sz="6" w:color="000000"/>
              <w:left w:val="nil"/>
              <w:right w:val="nil"/>
              <w:insideH w:val="nil"/>
              <w:insideV w:val="nil"/>
            </w:tcBorders>
          </w:tcPr>
          <w:p>
            <w:pPr>
              <w:spacing w:after="0" w:line="240" w:lineRule="auto"/>
            </w:pPr>
            <w:r/>
            <w:r>
              <w:rPr>
                <w:b w:val="0"/>
                <w:sz w:val="16"/>
              </w:rPr>
              <w:t xml:space="preserve">  Optical zone, per mm</w:t>
            </w:r>
          </w:p>
        </w:tc>
        <w:tc>
          <w:tcPr>
            <w:tcW w:type="dxa" w:w="2736"/>
            <w:tcBorders>
              <w:top w:val="nil" w:sz="6" w:color="000000"/>
              <w:bottom w:val="nil" w:sz="6" w:color="000000"/>
              <w:left w:val="nil"/>
              <w:right w:val="nil"/>
              <w:insideH w:val="nil"/>
              <w:insideV w:val="nil"/>
            </w:tcBorders>
          </w:tcPr>
          <w:p>
            <w:pPr>
              <w:spacing w:after="0" w:line="240" w:lineRule="auto"/>
            </w:pPr>
            <w:r/>
            <w:r>
              <w:rPr>
                <w:b w:val="0"/>
                <w:sz w:val="16"/>
              </w:rPr>
              <w:t>+0.01 (−0.14 to +0.16)</w:t>
            </w:r>
          </w:p>
        </w:tc>
        <w:tc>
          <w:tcPr>
            <w:tcW w:type="dxa" w:w="1296"/>
            <w:tcBorders>
              <w:top w:val="nil" w:sz="6" w:color="000000"/>
              <w:bottom w:val="nil" w:sz="6" w:color="000000"/>
              <w:left w:val="nil"/>
              <w:right w:val="nil"/>
              <w:insideH w:val="nil"/>
              <w:insideV w:val="nil"/>
            </w:tcBorders>
          </w:tcPr>
          <w:p>
            <w:pPr>
              <w:spacing w:after="0" w:line="240" w:lineRule="auto"/>
            </w:pPr>
            <w:r/>
            <w:r>
              <w:rPr>
                <w:b w:val="0"/>
                <w:sz w:val="16"/>
              </w:rPr>
              <w:t>0.916</w:t>
            </w:r>
          </w:p>
        </w:tc>
      </w:tr>
      <w:tr>
        <w:tc>
          <w:tcPr>
            <w:tcW w:type="dxa" w:w="6048"/>
            <w:tcBorders>
              <w:top w:val="nil" w:sz="6" w:color="000000"/>
              <w:bottom w:val="nil" w:sz="6" w:color="000000"/>
              <w:left w:val="nil"/>
              <w:right w:val="nil"/>
              <w:insideH w:val="nil"/>
              <w:insideV w:val="nil"/>
            </w:tcBorders>
          </w:tcPr>
          <w:p>
            <w:pPr>
              <w:spacing w:after="0" w:line="240" w:lineRule="auto"/>
            </w:pPr>
            <w:r/>
            <w:r>
              <w:rPr>
                <w:b w:val="0"/>
                <w:sz w:val="16"/>
              </w:rPr>
              <w:t xml:space="preserve">  From July 2024 (vs before)</w:t>
            </w:r>
          </w:p>
        </w:tc>
        <w:tc>
          <w:tcPr>
            <w:tcW w:type="dxa" w:w="2736"/>
            <w:tcBorders>
              <w:top w:val="nil" w:sz="6" w:color="000000"/>
              <w:bottom w:val="nil" w:sz="6" w:color="000000"/>
              <w:left w:val="nil"/>
              <w:right w:val="nil"/>
              <w:insideH w:val="nil"/>
              <w:insideV w:val="nil"/>
            </w:tcBorders>
          </w:tcPr>
          <w:p>
            <w:pPr>
              <w:spacing w:after="0" w:line="240" w:lineRule="auto"/>
            </w:pPr>
            <w:r/>
            <w:r>
              <w:rPr>
                <w:b w:val="0"/>
                <w:sz w:val="16"/>
              </w:rPr>
              <w:t>−0.00 (−0.10 to +0.09)</w:t>
            </w:r>
          </w:p>
        </w:tc>
        <w:tc>
          <w:tcPr>
            <w:tcW w:type="dxa" w:w="1296"/>
            <w:tcBorders>
              <w:top w:val="nil" w:sz="6" w:color="000000"/>
              <w:bottom w:val="nil" w:sz="6" w:color="000000"/>
              <w:left w:val="nil"/>
              <w:right w:val="nil"/>
              <w:insideH w:val="nil"/>
              <w:insideV w:val="nil"/>
            </w:tcBorders>
          </w:tcPr>
          <w:p>
            <w:pPr>
              <w:spacing w:after="0" w:line="240" w:lineRule="auto"/>
            </w:pPr>
            <w:r/>
            <w:r>
              <w:rPr>
                <w:b w:val="0"/>
                <w:sz w:val="16"/>
              </w:rPr>
              <w:t>0.954</w:t>
            </w:r>
          </w:p>
        </w:tc>
      </w:tr>
      <w:tr>
        <w:tc>
          <w:tcPr>
            <w:tcW w:type="dxa" w:w="6048"/>
            <w:tcBorders>
              <w:top w:val="nil" w:sz="6" w:color="000000"/>
              <w:bottom w:val="nil" w:sz="6" w:color="000000"/>
              <w:left w:val="nil"/>
              <w:right w:val="nil"/>
              <w:insideH w:val="nil"/>
              <w:insideV w:val="nil"/>
            </w:tcBorders>
          </w:tcPr>
          <w:p>
            <w:pPr>
              <w:spacing w:after="0" w:line="240" w:lineRule="auto"/>
            </w:pPr>
            <w:r/>
            <w:r>
              <w:rPr>
                <w:b w:val="0"/>
                <w:sz w:val="16"/>
              </w:rPr>
              <w:t xml:space="preserve">  Age, per decade (separate model, N = 424)</w:t>
            </w:r>
          </w:p>
        </w:tc>
        <w:tc>
          <w:tcPr>
            <w:tcW w:type="dxa" w:w="2736"/>
            <w:tcBorders>
              <w:top w:val="nil" w:sz="6" w:color="000000"/>
              <w:bottom w:val="nil" w:sz="6" w:color="000000"/>
              <w:left w:val="nil"/>
              <w:right w:val="nil"/>
              <w:insideH w:val="nil"/>
              <w:insideV w:val="nil"/>
            </w:tcBorders>
          </w:tcPr>
          <w:p>
            <w:pPr>
              <w:spacing w:after="0" w:line="240" w:lineRule="auto"/>
            </w:pPr>
            <w:r/>
            <w:r>
              <w:rPr>
                <w:b w:val="0"/>
                <w:sz w:val="16"/>
              </w:rPr>
              <w:t>−0.12 (−0.20 to −0.04)</w:t>
            </w:r>
          </w:p>
        </w:tc>
        <w:tc>
          <w:tcPr>
            <w:tcW w:type="dxa" w:w="1296"/>
            <w:tcBorders>
              <w:top w:val="nil" w:sz="6" w:color="000000"/>
              <w:bottom w:val="nil" w:sz="6" w:color="000000"/>
              <w:left w:val="nil"/>
              <w:right w:val="nil"/>
              <w:insideH w:val="nil"/>
              <w:insideV w:val="nil"/>
            </w:tcBorders>
          </w:tcPr>
          <w:p>
            <w:pPr>
              <w:spacing w:after="0" w:line="240" w:lineRule="auto"/>
            </w:pPr>
            <w:r/>
            <w:r>
              <w:rPr>
                <w:b w:val="0"/>
                <w:sz w:val="16"/>
              </w:rPr>
              <w:t>0.002</w:t>
            </w:r>
          </w:p>
        </w:tc>
      </w:tr>
      <w:tr>
        <w:tc>
          <w:tcPr>
            <w:tcW w:type="dxa" w:w="6048"/>
            <w:tcBorders>
              <w:top w:val="nil" w:sz="6" w:color="000000"/>
              <w:bottom w:val="nil" w:sz="6" w:color="000000"/>
              <w:left w:val="nil"/>
              <w:right w:val="nil"/>
              <w:insideH w:val="nil"/>
              <w:insideV w:val="nil"/>
            </w:tcBorders>
          </w:tcPr>
          <w:p>
            <w:pPr>
              <w:spacing w:after="0" w:line="240" w:lineRule="auto"/>
            </w:pPr>
            <w:r/>
            <w:r>
              <w:rPr>
                <w:b w:val="0"/>
                <w:sz w:val="16"/>
              </w:rPr>
              <w:t xml:space="preserve">  Band 25-29 y vs 18-24 y (band model, N = 424)</w:t>
            </w:r>
          </w:p>
        </w:tc>
        <w:tc>
          <w:tcPr>
            <w:tcW w:type="dxa" w:w="2736"/>
            <w:tcBorders>
              <w:top w:val="nil" w:sz="6" w:color="000000"/>
              <w:bottom w:val="nil" w:sz="6" w:color="000000"/>
              <w:left w:val="nil"/>
              <w:right w:val="nil"/>
              <w:insideH w:val="nil"/>
              <w:insideV w:val="nil"/>
            </w:tcBorders>
          </w:tcPr>
          <w:p>
            <w:pPr>
              <w:spacing w:after="0" w:line="240" w:lineRule="auto"/>
            </w:pPr>
            <w:r/>
            <w:r>
              <w:rPr>
                <w:b w:val="0"/>
                <w:sz w:val="16"/>
              </w:rPr>
              <w:t>+0.01 (−0.10 to +0.12)</w:t>
            </w:r>
          </w:p>
        </w:tc>
        <w:tc>
          <w:tcPr>
            <w:tcW w:type="dxa" w:w="1296"/>
            <w:tcBorders>
              <w:top w:val="nil" w:sz="6" w:color="000000"/>
              <w:bottom w:val="nil" w:sz="6" w:color="000000"/>
              <w:left w:val="nil"/>
              <w:right w:val="nil"/>
              <w:insideH w:val="nil"/>
              <w:insideV w:val="nil"/>
            </w:tcBorders>
          </w:tcPr>
          <w:p>
            <w:pPr>
              <w:spacing w:after="0" w:line="240" w:lineRule="auto"/>
            </w:pPr>
            <w:r/>
            <w:r>
              <w:rPr>
                <w:b w:val="0"/>
                <w:sz w:val="16"/>
              </w:rPr>
              <w:t>0.880</w:t>
            </w:r>
          </w:p>
        </w:tc>
      </w:tr>
      <w:tr>
        <w:tc>
          <w:tcPr>
            <w:tcW w:type="dxa" w:w="6048"/>
            <w:tcBorders>
              <w:top w:val="nil" w:sz="6" w:color="000000"/>
              <w:bottom w:val="nil" w:sz="6" w:color="000000"/>
              <w:left w:val="nil"/>
              <w:right w:val="nil"/>
              <w:insideH w:val="nil"/>
              <w:insideV w:val="nil"/>
            </w:tcBorders>
          </w:tcPr>
          <w:p>
            <w:pPr>
              <w:spacing w:after="0" w:line="240" w:lineRule="auto"/>
            </w:pPr>
            <w:r/>
            <w:r>
              <w:rPr>
                <w:b w:val="0"/>
                <w:sz w:val="16"/>
              </w:rPr>
              <w:t xml:space="preserve">  Band 30-34 y vs 18-24 y (band model, N = 424)</w:t>
            </w:r>
          </w:p>
        </w:tc>
        <w:tc>
          <w:tcPr>
            <w:tcW w:type="dxa" w:w="2736"/>
            <w:tcBorders>
              <w:top w:val="nil" w:sz="6" w:color="000000"/>
              <w:bottom w:val="nil" w:sz="6" w:color="000000"/>
              <w:left w:val="nil"/>
              <w:right w:val="nil"/>
              <w:insideH w:val="nil"/>
              <w:insideV w:val="nil"/>
            </w:tcBorders>
          </w:tcPr>
          <w:p>
            <w:pPr>
              <w:spacing w:after="0" w:line="240" w:lineRule="auto"/>
            </w:pPr>
            <w:r/>
            <w:r>
              <w:rPr>
                <w:b w:val="0"/>
                <w:sz w:val="16"/>
              </w:rPr>
              <w:t>+0.09 (−0.06 to +0.23)</w:t>
            </w:r>
          </w:p>
        </w:tc>
        <w:tc>
          <w:tcPr>
            <w:tcW w:type="dxa" w:w="1296"/>
            <w:tcBorders>
              <w:top w:val="nil" w:sz="6" w:color="000000"/>
              <w:bottom w:val="nil" w:sz="6" w:color="000000"/>
              <w:left w:val="nil"/>
              <w:right w:val="nil"/>
              <w:insideH w:val="nil"/>
              <w:insideV w:val="nil"/>
            </w:tcBorders>
          </w:tcPr>
          <w:p>
            <w:pPr>
              <w:spacing w:after="0" w:line="240" w:lineRule="auto"/>
            </w:pPr>
            <w:r/>
            <w:r>
              <w:rPr>
                <w:b w:val="0"/>
                <w:sz w:val="16"/>
              </w:rPr>
              <w:t>0.241</w:t>
            </w:r>
          </w:p>
        </w:tc>
      </w:tr>
      <w:tr>
        <w:tc>
          <w:tcPr>
            <w:tcW w:type="dxa" w:w="6048"/>
            <w:tcBorders>
              <w:top w:val="nil" w:sz="6" w:color="000000"/>
              <w:bottom w:val="nil" w:sz="6" w:color="000000"/>
              <w:left w:val="nil"/>
              <w:right w:val="nil"/>
              <w:insideH w:val="nil"/>
              <w:insideV w:val="nil"/>
            </w:tcBorders>
          </w:tcPr>
          <w:p>
            <w:pPr>
              <w:spacing w:after="0" w:line="240" w:lineRule="auto"/>
            </w:pPr>
            <w:r/>
            <w:r>
              <w:rPr>
                <w:b w:val="0"/>
                <w:sz w:val="16"/>
              </w:rPr>
              <w:t xml:space="preserve">  Band 35-39 y vs 18-24 y (band model, N = 424)</w:t>
            </w:r>
          </w:p>
        </w:tc>
        <w:tc>
          <w:tcPr>
            <w:tcW w:type="dxa" w:w="2736"/>
            <w:tcBorders>
              <w:top w:val="nil" w:sz="6" w:color="000000"/>
              <w:bottom w:val="nil" w:sz="6" w:color="000000"/>
              <w:left w:val="nil"/>
              <w:right w:val="nil"/>
              <w:insideH w:val="nil"/>
              <w:insideV w:val="nil"/>
            </w:tcBorders>
          </w:tcPr>
          <w:p>
            <w:pPr>
              <w:spacing w:after="0" w:line="240" w:lineRule="auto"/>
            </w:pPr>
            <w:r/>
            <w:r>
              <w:rPr>
                <w:b w:val="0"/>
                <w:sz w:val="16"/>
              </w:rPr>
              <w:t>−0.00 (−0.18 to +0.17)</w:t>
            </w:r>
          </w:p>
        </w:tc>
        <w:tc>
          <w:tcPr>
            <w:tcW w:type="dxa" w:w="1296"/>
            <w:tcBorders>
              <w:top w:val="nil" w:sz="6" w:color="000000"/>
              <w:bottom w:val="nil" w:sz="6" w:color="000000"/>
              <w:left w:val="nil"/>
              <w:right w:val="nil"/>
              <w:insideH w:val="nil"/>
              <w:insideV w:val="nil"/>
            </w:tcBorders>
          </w:tcPr>
          <w:p>
            <w:pPr>
              <w:spacing w:after="0" w:line="240" w:lineRule="auto"/>
            </w:pPr>
            <w:r/>
            <w:r>
              <w:rPr>
                <w:b w:val="0"/>
                <w:sz w:val="16"/>
              </w:rPr>
              <w:t>0.974</w:t>
            </w:r>
          </w:p>
        </w:tc>
      </w:tr>
      <w:tr>
        <w:tc>
          <w:tcPr>
            <w:tcW w:type="dxa" w:w="6048"/>
            <w:tcBorders>
              <w:top w:val="nil" w:sz="6" w:color="000000"/>
              <w:bottom w:val="nil" w:sz="6" w:color="000000"/>
              <w:left w:val="nil"/>
              <w:right w:val="nil"/>
              <w:insideH w:val="nil"/>
              <w:insideV w:val="nil"/>
            </w:tcBorders>
          </w:tcPr>
          <w:p>
            <w:pPr>
              <w:spacing w:after="0" w:line="240" w:lineRule="auto"/>
            </w:pPr>
            <w:r/>
            <w:r>
              <w:rPr>
                <w:b w:val="0"/>
                <w:sz w:val="16"/>
              </w:rPr>
              <w:t xml:space="preserve">  Band 40-44 y vs 18-24 y (band model, N = 424)</w:t>
            </w:r>
          </w:p>
        </w:tc>
        <w:tc>
          <w:tcPr>
            <w:tcW w:type="dxa" w:w="2736"/>
            <w:tcBorders>
              <w:top w:val="nil" w:sz="6" w:color="000000"/>
              <w:bottom w:val="nil" w:sz="6" w:color="000000"/>
              <w:left w:val="nil"/>
              <w:right w:val="nil"/>
              <w:insideH w:val="nil"/>
              <w:insideV w:val="nil"/>
            </w:tcBorders>
          </w:tcPr>
          <w:p>
            <w:pPr>
              <w:spacing w:after="0" w:line="240" w:lineRule="auto"/>
            </w:pPr>
            <w:r/>
            <w:r>
              <w:rPr>
                <w:b w:val="0"/>
                <w:sz w:val="16"/>
              </w:rPr>
              <w:t>−0.37 (−0.59 to −0.16)</w:t>
            </w:r>
          </w:p>
        </w:tc>
        <w:tc>
          <w:tcPr>
            <w:tcW w:type="dxa" w:w="1296"/>
            <w:tcBorders>
              <w:top w:val="nil" w:sz="6" w:color="000000"/>
              <w:bottom w:val="nil" w:sz="6" w:color="000000"/>
              <w:left w:val="nil"/>
              <w:right w:val="nil"/>
              <w:insideH w:val="nil"/>
              <w:insideV w:val="nil"/>
            </w:tcBorders>
          </w:tcPr>
          <w:p>
            <w:pPr>
              <w:spacing w:after="0" w:line="240" w:lineRule="auto"/>
            </w:pPr>
            <w:r/>
            <w:r>
              <w:rPr>
                <w:b w:val="0"/>
                <w:sz w:val="16"/>
              </w:rPr>
              <w:t>&lt; 0.001</w:t>
            </w:r>
          </w:p>
        </w:tc>
      </w:tr>
      <w:tr>
        <w:tc>
          <w:tcPr>
            <w:tcW w:type="dxa" w:w="6048"/>
            <w:tcBorders>
              <w:top w:val="nil" w:sz="6" w:color="000000"/>
              <w:bottom w:val="nil" w:sz="6" w:color="000000"/>
              <w:left w:val="nil"/>
              <w:right w:val="nil"/>
              <w:insideH w:val="nil"/>
              <w:insideV w:val="nil"/>
            </w:tcBorders>
          </w:tcPr>
          <w:p>
            <w:pPr>
              <w:spacing w:after="0" w:line="240" w:lineRule="auto"/>
            </w:pPr>
            <w:r/>
            <w:r>
              <w:rPr>
                <w:b w:val="0"/>
                <w:sz w:val="16"/>
              </w:rPr>
              <w:t xml:space="preserve">  Band 45+ y vs 18-24 y (band model, N = 424)</w:t>
            </w:r>
          </w:p>
        </w:tc>
        <w:tc>
          <w:tcPr>
            <w:tcW w:type="dxa" w:w="2736"/>
            <w:tcBorders>
              <w:top w:val="nil" w:sz="6" w:color="000000"/>
              <w:bottom w:val="nil" w:sz="6" w:color="000000"/>
              <w:left w:val="nil"/>
              <w:right w:val="nil"/>
              <w:insideH w:val="nil"/>
              <w:insideV w:val="nil"/>
            </w:tcBorders>
          </w:tcPr>
          <w:p>
            <w:pPr>
              <w:spacing w:after="0" w:line="240" w:lineRule="auto"/>
            </w:pPr>
            <w:r/>
            <w:r>
              <w:rPr>
                <w:b w:val="0"/>
                <w:sz w:val="16"/>
              </w:rPr>
              <w:t>−0.57 (−1.03 to −0.11)</w:t>
            </w:r>
          </w:p>
        </w:tc>
        <w:tc>
          <w:tcPr>
            <w:tcW w:type="dxa" w:w="1296"/>
            <w:tcBorders>
              <w:top w:val="nil" w:sz="6" w:color="000000"/>
              <w:bottom w:val="nil" w:sz="6" w:color="000000"/>
              <w:left w:val="nil"/>
              <w:right w:val="nil"/>
              <w:insideH w:val="nil"/>
              <w:insideV w:val="nil"/>
            </w:tcBorders>
          </w:tcPr>
          <w:p>
            <w:pPr>
              <w:spacing w:after="0" w:line="240" w:lineRule="auto"/>
            </w:pPr>
            <w:r/>
            <w:r>
              <w:rPr>
                <w:b w:val="0"/>
                <w:sz w:val="16"/>
              </w:rPr>
              <w:t>0.015</w:t>
            </w:r>
          </w:p>
        </w:tc>
      </w:tr>
      <w:tr>
        <w:tc>
          <w:tcPr>
            <w:tcW w:type="dxa" w:w="6048"/>
            <w:tcBorders>
              <w:top w:val="nil" w:sz="6" w:color="000000"/>
              <w:bottom w:val="nil" w:sz="6" w:color="000000"/>
              <w:left w:val="nil"/>
              <w:right w:val="nil"/>
              <w:insideH w:val="nil"/>
              <w:insideV w:val="nil"/>
            </w:tcBorders>
          </w:tcPr>
          <w:p>
            <w:pPr>
              <w:spacing w:after="0" w:line="240" w:lineRule="auto"/>
            </w:pPr>
            <w:r/>
            <w:r>
              <w:rPr>
                <w:b w:val="0"/>
                <w:sz w:val="16"/>
              </w:rPr>
              <w:t xml:space="preserve">  Age 40 y or older, before July 2024 (N = 229)</w:t>
            </w:r>
          </w:p>
        </w:tc>
        <w:tc>
          <w:tcPr>
            <w:tcW w:type="dxa" w:w="2736"/>
            <w:tcBorders>
              <w:top w:val="nil" w:sz="6" w:color="000000"/>
              <w:bottom w:val="nil" w:sz="6" w:color="000000"/>
              <w:left w:val="nil"/>
              <w:right w:val="nil"/>
              <w:insideH w:val="nil"/>
              <w:insideV w:val="nil"/>
            </w:tcBorders>
          </w:tcPr>
          <w:p>
            <w:pPr>
              <w:spacing w:after="0" w:line="240" w:lineRule="auto"/>
            </w:pPr>
            <w:r/>
            <w:r>
              <w:rPr>
                <w:b w:val="0"/>
                <w:sz w:val="16"/>
              </w:rPr>
              <w:t>−0.32 (−0.60 to −0.04)</w:t>
            </w:r>
          </w:p>
        </w:tc>
        <w:tc>
          <w:tcPr>
            <w:tcW w:type="dxa" w:w="1296"/>
            <w:tcBorders>
              <w:top w:val="nil" w:sz="6" w:color="000000"/>
              <w:bottom w:val="nil" w:sz="6" w:color="000000"/>
              <w:left w:val="nil"/>
              <w:right w:val="nil"/>
              <w:insideH w:val="nil"/>
              <w:insideV w:val="nil"/>
            </w:tcBorders>
          </w:tcPr>
          <w:p>
            <w:pPr>
              <w:spacing w:after="0" w:line="240" w:lineRule="auto"/>
            </w:pPr>
            <w:r/>
            <w:r>
              <w:rPr>
                <w:b w:val="0"/>
                <w:sz w:val="16"/>
              </w:rPr>
              <w:t>0.025</w:t>
            </w:r>
          </w:p>
        </w:tc>
      </w:tr>
      <w:tr>
        <w:tc>
          <w:tcPr>
            <w:tcW w:type="dxa" w:w="6048"/>
            <w:tcBorders>
              <w:top w:val="nil" w:sz="6" w:color="000000"/>
              <w:bottom w:val="nil" w:sz="6" w:color="000000"/>
              <w:left w:val="nil"/>
              <w:right w:val="nil"/>
              <w:insideH w:val="nil"/>
              <w:insideV w:val="nil"/>
            </w:tcBorders>
          </w:tcPr>
          <w:p>
            <w:pPr>
              <w:spacing w:after="0" w:line="240" w:lineRule="auto"/>
            </w:pPr>
            <w:r/>
            <w:r>
              <w:rPr>
                <w:b w:val="0"/>
                <w:sz w:val="16"/>
              </w:rPr>
              <w:t xml:space="preserve">  Age 40 y or older, from July 2024 (N = 195)</w:t>
            </w:r>
          </w:p>
        </w:tc>
        <w:tc>
          <w:tcPr>
            <w:tcW w:type="dxa" w:w="2736"/>
            <w:tcBorders>
              <w:top w:val="nil" w:sz="6" w:color="000000"/>
              <w:bottom w:val="nil" w:sz="6" w:color="000000"/>
              <w:left w:val="nil"/>
              <w:right w:val="nil"/>
              <w:insideH w:val="nil"/>
              <w:insideV w:val="nil"/>
            </w:tcBorders>
          </w:tcPr>
          <w:p>
            <w:pPr>
              <w:spacing w:after="0" w:line="240" w:lineRule="auto"/>
            </w:pPr>
            <w:r/>
            <w:r>
              <w:rPr>
                <w:b w:val="0"/>
                <w:sz w:val="16"/>
              </w:rPr>
              <w:t>−0.52 (−0.77 to −0.27)</w:t>
            </w:r>
          </w:p>
        </w:tc>
        <w:tc>
          <w:tcPr>
            <w:tcW w:type="dxa" w:w="1296"/>
            <w:tcBorders>
              <w:top w:val="nil" w:sz="6" w:color="000000"/>
              <w:bottom w:val="nil" w:sz="6" w:color="000000"/>
              <w:left w:val="nil"/>
              <w:right w:val="nil"/>
              <w:insideH w:val="nil"/>
              <w:insideV w:val="nil"/>
            </w:tcBorders>
          </w:tcPr>
          <w:p>
            <w:pPr>
              <w:spacing w:after="0" w:line="240" w:lineRule="auto"/>
            </w:pPr>
            <w:r/>
            <w:r>
              <w:rPr>
                <w:b w:val="0"/>
                <w:sz w:val="16"/>
              </w:rPr>
              <w:t>&lt; 0.001</w:t>
            </w:r>
          </w:p>
        </w:tc>
      </w:tr>
      <w:tr>
        <w:tc>
          <w:tcPr>
            <w:tcW w:type="dxa" w:w="6048"/>
            <w:tcBorders>
              <w:top w:val="nil" w:sz="6" w:color="000000"/>
              <w:bottom w:val="single" w:sz="6" w:color="000000"/>
              <w:left w:val="nil"/>
              <w:right w:val="nil"/>
              <w:insideH w:val="nil"/>
              <w:insideV w:val="nil"/>
            </w:tcBorders>
          </w:tcPr>
          <w:p>
            <w:pPr>
              <w:spacing w:after="0" w:line="240" w:lineRule="auto"/>
            </w:pPr>
            <w:r/>
            <w:r>
              <w:rPr>
                <w:b w:val="0"/>
                <w:sz w:val="16"/>
              </w:rPr>
              <w:t xml:space="preserve">  Age 40 y or older × attempted SEQ (interaction, N = 424)</w:t>
            </w:r>
          </w:p>
        </w:tc>
        <w:tc>
          <w:tcPr>
            <w:tcW w:type="dxa" w:w="2736"/>
            <w:tcBorders>
              <w:top w:val="nil" w:sz="6" w:color="000000"/>
              <w:bottom w:val="single" w:sz="6" w:color="000000"/>
              <w:left w:val="nil"/>
              <w:right w:val="nil"/>
              <w:insideH w:val="nil"/>
              <w:insideV w:val="nil"/>
            </w:tcBorders>
          </w:tcPr>
          <w:p>
            <w:pPr>
              <w:spacing w:after="0" w:line="240" w:lineRule="auto"/>
            </w:pPr>
            <w:r/>
            <w:r>
              <w:rPr>
                <w:b w:val="0"/>
                <w:sz w:val="16"/>
              </w:rPr>
              <w:t>−0.05 (−0.13 to +0.04)</w:t>
            </w:r>
          </w:p>
        </w:tc>
        <w:tc>
          <w:tcPr>
            <w:tcW w:type="dxa" w:w="1296"/>
            <w:tcBorders>
              <w:top w:val="nil" w:sz="6" w:color="000000"/>
              <w:bottom w:val="single" w:sz="6" w:color="000000"/>
              <w:left w:val="nil"/>
              <w:right w:val="nil"/>
              <w:insideH w:val="nil"/>
              <w:insideV w:val="nil"/>
            </w:tcBorders>
          </w:tcPr>
          <w:p>
            <w:pPr>
              <w:spacing w:after="0" w:line="240" w:lineRule="auto"/>
            </w:pPr>
            <w:r/>
            <w:r>
              <w:rPr>
                <w:b w:val="0"/>
                <w:sz w:val="16"/>
              </w:rPr>
              <w:t>0.264</w:t>
            </w:r>
          </w:p>
        </w:tc>
      </w:tr>
    </w:tbl>
    <w:p>
      <w:pPr>
        <w:spacing w:after="0"/>
      </w:pPr>
      <w:r>
        <w:rPr>
          <w:b w:val="0"/>
          <w:i w:val="0"/>
          <w:sz w:val="16"/>
        </w:rPr>
        <w:t>CI = confidence interval; D = dioptre; OR = odds ratio; SEQ = spherical equivalent refraction; UDVA = uncorrected distance visual acuity; y = years. Patient-clustered logistic and linear models; the full covariate set is shown for the dichotomy models; the per-decade, band and era-specific models use the same covariates (era-specific models omit the era term, and the pre-July 2024 models omit the NOVA term because NOVA was introduced in April 2025). Enhanced eyes are excluded.</w:t>
      </w:r>
    </w:p>
    <w:p>
      <w:r>
        <w:br w:type="page"/>
      </w:r>
    </w:p>
    <w:p>
      <w:pPr>
        <w:spacing w:after="120"/>
      </w:pPr>
      <w:r>
        <w:rPr>
          <w:b/>
          <w:i w:val="0"/>
        </w:rPr>
        <w:t>Supplementary Table S3. Postoperative spherical equivalent by nomogram era, and the second era recomputed as if every eye had received the 0.60 D offset of the 30 to 34 band</w:t>
      </w:r>
    </w:p>
    <w:tbl>
      <w:tblPr>
        <w:tblW w:type="auto" w:w="0"/>
        <w:jc w:val="center"/>
        <w:tblLayout w:type="fixed"/>
        <w:tblLook w:firstColumn="1" w:firstRow="1" w:lastColumn="0" w:lastRow="0" w:noHBand="0" w:noVBand="1" w:val="04A0"/>
      </w:tblPr>
      <w:tblGrid>
        <w:gridCol w:w="2556"/>
        <w:gridCol w:w="2556"/>
        <w:gridCol w:w="2556"/>
        <w:gridCol w:w="2556"/>
      </w:tblGrid>
      <w:tr>
        <w:tc>
          <w:tcPr>
            <w:tcW w:type="dxa" w:w="3744"/>
            <w:tcBorders>
              <w:top w:val="single" w:sz="6" w:color="000000"/>
              <w:bottom w:val="single" w:sz="6" w:color="000000"/>
              <w:left w:val="nil"/>
              <w:right w:val="nil"/>
              <w:insideH w:val="nil"/>
              <w:insideV w:val="nil"/>
            </w:tcBorders>
          </w:tcPr>
          <w:p>
            <w:r/>
            <w:r>
              <w:rPr>
                <w:b/>
                <w:sz w:val="16"/>
              </w:rPr>
              <w:t>Visit and estimate</w:t>
            </w:r>
          </w:p>
        </w:tc>
        <w:tc>
          <w:tcPr>
            <w:tcW w:type="dxa" w:w="2304"/>
            <w:tcBorders>
              <w:top w:val="single" w:sz="6" w:color="000000"/>
              <w:bottom w:val="single" w:sz="6" w:color="000000"/>
              <w:left w:val="nil"/>
              <w:right w:val="nil"/>
              <w:insideH w:val="nil"/>
              <w:insideV w:val="nil"/>
            </w:tcBorders>
          </w:tcPr>
          <w:p>
            <w:r/>
            <w:r>
              <w:rPr>
                <w:b/>
                <w:sz w:val="16"/>
              </w:rPr>
              <w:t>Before July 2024 (no age-dependent offset)</w:t>
            </w:r>
          </w:p>
        </w:tc>
        <w:tc>
          <w:tcPr>
            <w:tcW w:type="dxa" w:w="2304"/>
            <w:tcBorders>
              <w:top w:val="single" w:sz="6" w:color="000000"/>
              <w:bottom w:val="single" w:sz="6" w:color="000000"/>
              <w:left w:val="nil"/>
              <w:right w:val="nil"/>
              <w:insideH w:val="nil"/>
              <w:insideV w:val="nil"/>
            </w:tcBorders>
          </w:tcPr>
          <w:p>
            <w:r/>
            <w:r>
              <w:rPr>
                <w:b/>
                <w:sz w:val="16"/>
              </w:rPr>
              <w:t>From July 2024, observed</w:t>
            </w:r>
          </w:p>
        </w:tc>
        <w:tc>
          <w:tcPr>
            <w:tcW w:type="dxa" w:w="2304"/>
            <w:tcBorders>
              <w:top w:val="single" w:sz="6" w:color="000000"/>
              <w:bottom w:val="single" w:sz="6" w:color="000000"/>
              <w:left w:val="nil"/>
              <w:right w:val="nil"/>
              <w:insideH w:val="nil"/>
              <w:insideV w:val="nil"/>
            </w:tcBorders>
          </w:tcPr>
          <w:p>
            <w:r/>
            <w:r>
              <w:rPr>
                <w:b/>
                <w:sz w:val="16"/>
              </w:rPr>
              <w:t>From July 2024, common 0.60 D offset</w:t>
            </w:r>
          </w:p>
        </w:tc>
      </w:tr>
      <w:tr>
        <w:tc>
          <w:tcPr>
            <w:tcW w:type="dxa" w:w="3744"/>
            <w:tcBorders>
              <w:top w:val="nil" w:sz="6" w:color="000000"/>
              <w:bottom w:val="nil" w:sz="6" w:color="000000"/>
              <w:left w:val="nil"/>
              <w:right w:val="nil"/>
              <w:insideH w:val="nil"/>
              <w:insideV w:val="nil"/>
            </w:tcBorders>
          </w:tcPr>
          <w:p>
            <w:pPr>
              <w:spacing w:after="0" w:line="240" w:lineRule="auto"/>
            </w:pPr>
            <w:r/>
            <w:r>
              <w:rPr>
                <w:b/>
                <w:sz w:val="16"/>
              </w:rPr>
              <w:t>Day 1, objective SEQ</w:t>
            </w:r>
          </w:p>
        </w:tc>
        <w:tc>
          <w:tcPr>
            <w:tcW w:type="dxa" w:w="2304"/>
            <w:tcBorders>
              <w:top w:val="nil" w:sz="6" w:color="000000"/>
              <w:bottom w:val="nil" w:sz="6" w:color="000000"/>
              <w:left w:val="nil"/>
              <w:right w:val="nil"/>
              <w:insideH w:val="nil"/>
              <w:insideV w:val="nil"/>
            </w:tcBorders>
          </w:tcPr>
          <w:p>
            <w:pPr>
              <w:spacing w:after="0" w:line="240" w:lineRule="auto"/>
            </w:pPr>
            <w:r/>
            <w:r>
              <w:rPr>
                <w:b/>
                <w:sz w:val="16"/>
              </w:rPr>
            </w:r>
          </w:p>
        </w:tc>
        <w:tc>
          <w:tcPr>
            <w:tcW w:type="dxa" w:w="2304"/>
            <w:tcBorders>
              <w:top w:val="nil" w:sz="6" w:color="000000"/>
              <w:bottom w:val="nil" w:sz="6" w:color="000000"/>
              <w:left w:val="nil"/>
              <w:right w:val="nil"/>
              <w:insideH w:val="nil"/>
              <w:insideV w:val="nil"/>
            </w:tcBorders>
          </w:tcPr>
          <w:p>
            <w:pPr>
              <w:spacing w:after="0" w:line="240" w:lineRule="auto"/>
            </w:pPr>
            <w:r/>
            <w:r>
              <w:rPr>
                <w:b/>
                <w:sz w:val="16"/>
              </w:rPr>
            </w:r>
          </w:p>
        </w:tc>
        <w:tc>
          <w:tcPr>
            <w:tcW w:type="dxa" w:w="2304"/>
            <w:tcBorders>
              <w:top w:val="nil" w:sz="6" w:color="000000"/>
              <w:bottom w:val="nil" w:sz="6" w:color="000000"/>
              <w:left w:val="nil"/>
              <w:right w:val="nil"/>
              <w:insideH w:val="nil"/>
              <w:insideV w:val="nil"/>
            </w:tcBorders>
          </w:tcPr>
          <w:p>
            <w:pPr>
              <w:spacing w:after="0" w:line="240" w:lineRule="auto"/>
            </w:pPr>
            <w:r/>
            <w:r>
              <w:rPr>
                <w:b/>
                <w:sz w:val="16"/>
              </w:rPr>
            </w:r>
          </w:p>
        </w:tc>
      </w:tr>
      <w:tr>
        <w:tc>
          <w:tcPr>
            <w:tcW w:type="dxa" w:w="3744"/>
            <w:tcBorders>
              <w:top w:val="nil" w:sz="6" w:color="000000"/>
              <w:bottom w:val="nil" w:sz="6" w:color="000000"/>
              <w:left w:val="nil"/>
              <w:right w:val="nil"/>
              <w:insideH w:val="nil"/>
              <w:insideV w:val="nil"/>
            </w:tcBorders>
          </w:tcPr>
          <w:p>
            <w:pPr>
              <w:spacing w:after="0" w:line="240" w:lineRule="auto"/>
            </w:pPr>
            <w:r/>
            <w:r>
              <w:rPr>
                <w:b w:val="0"/>
                <w:sz w:val="16"/>
              </w:rPr>
              <w:t xml:space="preserve">  Mean, under 40 y (N)</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−0.38 (543)</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−0.06 (1419)</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−0.19 (1419)</w:t>
            </w:r>
          </w:p>
        </w:tc>
      </w:tr>
      <w:tr>
        <w:tc>
          <w:tcPr>
            <w:tcW w:type="dxa" w:w="3744"/>
            <w:tcBorders>
              <w:top w:val="nil" w:sz="6" w:color="000000"/>
              <w:bottom w:val="nil" w:sz="6" w:color="000000"/>
              <w:left w:val="nil"/>
              <w:right w:val="nil"/>
              <w:insideH w:val="nil"/>
              <w:insideV w:val="nil"/>
            </w:tcBorders>
          </w:tcPr>
          <w:p>
            <w:pPr>
              <w:spacing w:after="0" w:line="240" w:lineRule="auto"/>
            </w:pPr>
            <w:r/>
            <w:r>
              <w:rPr>
                <w:b w:val="0"/>
                <w:sz w:val="16"/>
              </w:rPr>
              <w:t xml:space="preserve">  Mean, 40 y or older (N)</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−0.42 (36)</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−0.37 (136)</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−0.18 (136)</w:t>
            </w:r>
          </w:p>
        </w:tc>
      </w:tr>
      <w:tr>
        <w:tc>
          <w:tcPr>
            <w:tcW w:type="dxa" w:w="3744"/>
            <w:tcBorders>
              <w:top w:val="nil" w:sz="6" w:color="000000"/>
              <w:bottom w:val="nil" w:sz="6" w:color="000000"/>
              <w:left w:val="nil"/>
              <w:right w:val="nil"/>
              <w:insideH w:val="nil"/>
              <w:insideV w:val="nil"/>
            </w:tcBorders>
          </w:tcPr>
          <w:p>
            <w:pPr>
              <w:spacing w:after="0" w:line="240" w:lineRule="auto"/>
            </w:pPr>
            <w:r/>
            <w:r>
              <w:rPr>
                <w:b w:val="0"/>
                <w:sz w:val="16"/>
              </w:rPr>
              <w:t xml:space="preserve">  Adjusted difference, 40 y or older vs under 40, D</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−0.01 (−0.30 to +0.27); P = 0.927</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−0.28 (−0.42 to −0.15); P &lt; 0.001</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+0.02 (−0.12 to +0.16); P = 0.793</w:t>
            </w:r>
          </w:p>
        </w:tc>
      </w:tr>
      <w:tr>
        <w:tc>
          <w:tcPr>
            <w:tcW w:type="dxa" w:w="3744"/>
            <w:tcBorders>
              <w:top w:val="nil" w:sz="6" w:color="000000"/>
              <w:bottom w:val="nil" w:sz="6" w:color="000000"/>
              <w:left w:val="nil"/>
              <w:right w:val="nil"/>
              <w:insideH w:val="nil"/>
              <w:insideV w:val="nil"/>
            </w:tcBorders>
          </w:tcPr>
          <w:p>
            <w:pPr>
              <w:spacing w:after="0" w:line="240" w:lineRule="auto"/>
            </w:pPr>
            <w:r/>
            <w:r>
              <w:rPr>
                <w:b w:val="0"/>
                <w:sz w:val="16"/>
              </w:rPr>
              <w:t xml:space="preserve">  Adjusted slope per decade, D</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−0.09 (−0.24 to +0.06); P = 0.263</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−0.14 (−0.20 to −0.08); P &lt; 0.001</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+0.14 (+0.07 to +0.20); P &lt; 0.001</w:t>
            </w:r>
          </w:p>
        </w:tc>
      </w:tr>
      <w:tr>
        <w:tc>
          <w:tcPr>
            <w:tcW w:type="dxa" w:w="3744"/>
            <w:tcBorders>
              <w:top w:val="nil" w:sz="6" w:color="000000"/>
              <w:bottom w:val="nil" w:sz="6" w:color="000000"/>
              <w:left w:val="nil"/>
              <w:right w:val="nil"/>
              <w:insideH w:val="nil"/>
              <w:insideV w:val="nil"/>
            </w:tcBorders>
          </w:tcPr>
          <w:p>
            <w:pPr>
              <w:spacing w:after="0" w:line="240" w:lineRule="auto"/>
            </w:pPr>
            <w:r/>
            <w:r>
              <w:rPr>
                <w:b w:val="0"/>
                <w:sz w:val="16"/>
              </w:rPr>
              <w:t xml:space="preserve">  Model N</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579</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1543</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1543</w:t>
            </w:r>
          </w:p>
        </w:tc>
      </w:tr>
      <w:tr>
        <w:tc>
          <w:tcPr>
            <w:tcW w:type="dxa" w:w="3744"/>
            <w:tcBorders>
              <w:top w:val="nil" w:sz="6" w:color="000000"/>
              <w:bottom w:val="nil" w:sz="6" w:color="000000"/>
              <w:left w:val="nil"/>
              <w:right w:val="nil"/>
              <w:insideH w:val="nil"/>
              <w:insideV w:val="nil"/>
            </w:tcBorders>
          </w:tcPr>
          <w:p>
            <w:pPr>
              <w:spacing w:after="0" w:line="240" w:lineRule="auto"/>
            </w:pPr>
            <w:r/>
            <w:r>
              <w:rPr>
                <w:b w:val="0"/>
                <w:sz w:val="16"/>
              </w:rPr>
              <w:t xml:space="preserve">  Mean by band, 18-24 y (N)</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−0.36 (139)</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−0.05 (347)</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−0.45 (347)</w:t>
            </w:r>
          </w:p>
        </w:tc>
      </w:tr>
      <w:tr>
        <w:tc>
          <w:tcPr>
            <w:tcW w:type="dxa" w:w="3744"/>
            <w:tcBorders>
              <w:top w:val="nil" w:sz="6" w:color="000000"/>
              <w:bottom w:val="nil" w:sz="6" w:color="000000"/>
              <w:left w:val="nil"/>
              <w:right w:val="nil"/>
              <w:insideH w:val="nil"/>
              <w:insideV w:val="nil"/>
            </w:tcBorders>
          </w:tcPr>
          <w:p>
            <w:pPr>
              <w:spacing w:after="0" w:line="240" w:lineRule="auto"/>
            </w:pPr>
            <w:r/>
            <w:r>
              <w:rPr>
                <w:b w:val="0"/>
                <w:sz w:val="16"/>
              </w:rPr>
              <w:t xml:space="preserve">  Mean by band, 25-29 y (N)</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−0.36 (159)</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−0.07 (477)</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−0.22 (477)</w:t>
            </w:r>
          </w:p>
        </w:tc>
      </w:tr>
      <w:tr>
        <w:tc>
          <w:tcPr>
            <w:tcW w:type="dxa" w:w="3744"/>
            <w:tcBorders>
              <w:top w:val="nil" w:sz="6" w:color="000000"/>
              <w:bottom w:val="nil" w:sz="6" w:color="000000"/>
              <w:left w:val="nil"/>
              <w:right w:val="nil"/>
              <w:insideH w:val="nil"/>
              <w:insideV w:val="nil"/>
            </w:tcBorders>
          </w:tcPr>
          <w:p>
            <w:pPr>
              <w:spacing w:after="0" w:line="240" w:lineRule="auto"/>
            </w:pPr>
            <w:r/>
            <w:r>
              <w:rPr>
                <w:b w:val="0"/>
                <w:sz w:val="16"/>
              </w:rPr>
              <w:t xml:space="preserve">  Mean by band, 30-34 y (N)</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−0.23 (150)</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+0.01 (351)</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+0.01 (351)</w:t>
            </w:r>
          </w:p>
        </w:tc>
      </w:tr>
      <w:tr>
        <w:tc>
          <w:tcPr>
            <w:tcW w:type="dxa" w:w="3744"/>
            <w:tcBorders>
              <w:top w:val="nil" w:sz="6" w:color="000000"/>
              <w:bottom w:val="nil" w:sz="6" w:color="000000"/>
              <w:left w:val="nil"/>
              <w:right w:val="nil"/>
              <w:insideH w:val="nil"/>
              <w:insideV w:val="nil"/>
            </w:tcBorders>
          </w:tcPr>
          <w:p>
            <w:pPr>
              <w:spacing w:after="0" w:line="240" w:lineRule="auto"/>
            </w:pPr>
            <w:r/>
            <w:r>
              <w:rPr>
                <w:b w:val="0"/>
                <w:sz w:val="16"/>
              </w:rPr>
              <w:t xml:space="preserve">  Mean by band, 35-39 y (N)</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−0.67 (95)</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−0.17 (244)</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−0.07 (244)</w:t>
            </w:r>
          </w:p>
        </w:tc>
      </w:tr>
      <w:tr>
        <w:tc>
          <w:tcPr>
            <w:tcW w:type="dxa" w:w="3744"/>
            <w:tcBorders>
              <w:top w:val="nil" w:sz="6" w:color="000000"/>
              <w:bottom w:val="nil" w:sz="6" w:color="000000"/>
              <w:left w:val="nil"/>
              <w:right w:val="nil"/>
              <w:insideH w:val="nil"/>
              <w:insideV w:val="nil"/>
            </w:tcBorders>
          </w:tcPr>
          <w:p>
            <w:pPr>
              <w:spacing w:after="0" w:line="240" w:lineRule="auto"/>
            </w:pPr>
            <w:r/>
            <w:r>
              <w:rPr>
                <w:b w:val="0"/>
                <w:sz w:val="16"/>
              </w:rPr>
              <w:t xml:space="preserve">  Mean by band, 40-44 y (N)</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−0.42 (36)</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−0.34 (113)</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−0.24 (113)</w:t>
            </w:r>
          </w:p>
        </w:tc>
      </w:tr>
      <w:tr>
        <w:tc>
          <w:tcPr>
            <w:tcW w:type="dxa" w:w="3744"/>
            <w:tcBorders>
              <w:top w:val="nil" w:sz="6" w:color="000000"/>
              <w:bottom w:val="nil" w:sz="6" w:color="000000"/>
              <w:left w:val="nil"/>
              <w:right w:val="nil"/>
              <w:insideH w:val="nil"/>
              <w:insideV w:val="nil"/>
            </w:tcBorders>
          </w:tcPr>
          <w:p>
            <w:pPr>
              <w:spacing w:after="0" w:line="240" w:lineRule="auto"/>
            </w:pPr>
            <w:r/>
            <w:r>
              <w:rPr>
                <w:b w:val="0"/>
                <w:sz w:val="16"/>
              </w:rPr>
              <w:t xml:space="preserve">  Mean by band, 45+ y (N)</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−0.48 (23)</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+0.12 (23)</w:t>
            </w:r>
          </w:p>
        </w:tc>
      </w:tr>
      <w:tr>
        <w:tc>
          <w:tcPr>
            <w:tcW w:type="dxa" w:w="3744"/>
            <w:tcBorders>
              <w:top w:val="nil" w:sz="6" w:color="000000"/>
              <w:bottom w:val="nil" w:sz="6" w:color="000000"/>
              <w:left w:val="nil"/>
              <w:right w:val="nil"/>
              <w:insideH w:val="nil"/>
              <w:insideV w:val="nil"/>
            </w:tcBorders>
          </w:tcPr>
          <w:p>
            <w:pPr>
              <w:spacing w:after="0" w:line="240" w:lineRule="auto"/>
            </w:pPr>
            <w:r/>
            <w:r>
              <w:rPr>
                <w:b/>
                <w:sz w:val="16"/>
              </w:rPr>
              <w:t>3 months, manifest SEQ</w:t>
            </w:r>
          </w:p>
        </w:tc>
        <w:tc>
          <w:tcPr>
            <w:tcW w:type="dxa" w:w="2304"/>
            <w:tcBorders>
              <w:top w:val="nil" w:sz="6" w:color="000000"/>
              <w:bottom w:val="nil" w:sz="6" w:color="000000"/>
              <w:left w:val="nil"/>
              <w:right w:val="nil"/>
              <w:insideH w:val="nil"/>
              <w:insideV w:val="nil"/>
            </w:tcBorders>
          </w:tcPr>
          <w:p>
            <w:pPr>
              <w:spacing w:after="0" w:line="240" w:lineRule="auto"/>
            </w:pPr>
            <w:r/>
            <w:r>
              <w:rPr>
                <w:b/>
                <w:sz w:val="16"/>
              </w:rPr>
            </w:r>
          </w:p>
        </w:tc>
        <w:tc>
          <w:tcPr>
            <w:tcW w:type="dxa" w:w="2304"/>
            <w:tcBorders>
              <w:top w:val="nil" w:sz="6" w:color="000000"/>
              <w:bottom w:val="nil" w:sz="6" w:color="000000"/>
              <w:left w:val="nil"/>
              <w:right w:val="nil"/>
              <w:insideH w:val="nil"/>
              <w:insideV w:val="nil"/>
            </w:tcBorders>
          </w:tcPr>
          <w:p>
            <w:pPr>
              <w:spacing w:after="0" w:line="240" w:lineRule="auto"/>
            </w:pPr>
            <w:r/>
            <w:r>
              <w:rPr>
                <w:b/>
                <w:sz w:val="16"/>
              </w:rPr>
            </w:r>
          </w:p>
        </w:tc>
        <w:tc>
          <w:tcPr>
            <w:tcW w:type="dxa" w:w="2304"/>
            <w:tcBorders>
              <w:top w:val="nil" w:sz="6" w:color="000000"/>
              <w:bottom w:val="nil" w:sz="6" w:color="000000"/>
              <w:left w:val="nil"/>
              <w:right w:val="nil"/>
              <w:insideH w:val="nil"/>
              <w:insideV w:val="nil"/>
            </w:tcBorders>
          </w:tcPr>
          <w:p>
            <w:pPr>
              <w:spacing w:after="0" w:line="240" w:lineRule="auto"/>
            </w:pPr>
            <w:r/>
            <w:r>
              <w:rPr>
                <w:b/>
                <w:sz w:val="16"/>
              </w:rPr>
            </w:r>
          </w:p>
        </w:tc>
      </w:tr>
      <w:tr>
        <w:tc>
          <w:tcPr>
            <w:tcW w:type="dxa" w:w="3744"/>
            <w:tcBorders>
              <w:top w:val="nil" w:sz="6" w:color="000000"/>
              <w:bottom w:val="nil" w:sz="6" w:color="000000"/>
              <w:left w:val="nil"/>
              <w:right w:val="nil"/>
              <w:insideH w:val="nil"/>
              <w:insideV w:val="nil"/>
            </w:tcBorders>
          </w:tcPr>
          <w:p>
            <w:pPr>
              <w:spacing w:after="0" w:line="240" w:lineRule="auto"/>
            </w:pPr>
            <w:r/>
            <w:r>
              <w:rPr>
                <w:b w:val="0"/>
                <w:sz w:val="16"/>
              </w:rPr>
              <w:t xml:space="preserve">  Mean, under 40 y (N)</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−0.20 (238)</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−0.20 (367)</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−0.35 (367)</w:t>
            </w:r>
          </w:p>
        </w:tc>
      </w:tr>
      <w:tr>
        <w:tc>
          <w:tcPr>
            <w:tcW w:type="dxa" w:w="3744"/>
            <w:tcBorders>
              <w:top w:val="nil" w:sz="6" w:color="000000"/>
              <w:bottom w:val="nil" w:sz="6" w:color="000000"/>
              <w:left w:val="nil"/>
              <w:right w:val="nil"/>
              <w:insideH w:val="nil"/>
              <w:insideV w:val="nil"/>
            </w:tcBorders>
          </w:tcPr>
          <w:p>
            <w:pPr>
              <w:spacing w:after="0" w:line="240" w:lineRule="auto"/>
            </w:pPr>
            <w:r/>
            <w:r>
              <w:rPr>
                <w:b w:val="0"/>
                <w:sz w:val="16"/>
              </w:rPr>
              <w:t xml:space="preserve">  Mean, 40 y or older (N)</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−0.38 (18)</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−0.44 (43)</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−0.27 (43)</w:t>
            </w:r>
          </w:p>
        </w:tc>
      </w:tr>
      <w:tr>
        <w:tc>
          <w:tcPr>
            <w:tcW w:type="dxa" w:w="3744"/>
            <w:tcBorders>
              <w:top w:val="nil" w:sz="6" w:color="000000"/>
              <w:bottom w:val="nil" w:sz="6" w:color="000000"/>
              <w:left w:val="nil"/>
              <w:right w:val="nil"/>
              <w:insideH w:val="nil"/>
              <w:insideV w:val="nil"/>
            </w:tcBorders>
          </w:tcPr>
          <w:p>
            <w:pPr>
              <w:spacing w:after="0" w:line="240" w:lineRule="auto"/>
            </w:pPr>
            <w:r/>
            <w:r>
              <w:rPr>
                <w:b w:val="0"/>
                <w:sz w:val="16"/>
              </w:rPr>
              <w:t xml:space="preserve">  Adjusted difference, 40 y or older vs under 40, D</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−0.16 (−0.42 to +0.10); P = 0.220</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−0.19 (−0.39 to −0.00); P = 0.048</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+0.11 (−0.07 to +0.29); P = 0.223</w:t>
            </w:r>
          </w:p>
        </w:tc>
      </w:tr>
      <w:tr>
        <w:tc>
          <w:tcPr>
            <w:tcW w:type="dxa" w:w="3744"/>
            <w:tcBorders>
              <w:top w:val="nil" w:sz="6" w:color="000000"/>
              <w:bottom w:val="nil" w:sz="6" w:color="000000"/>
              <w:left w:val="nil"/>
              <w:right w:val="nil"/>
              <w:insideH w:val="nil"/>
              <w:insideV w:val="nil"/>
            </w:tcBorders>
          </w:tcPr>
          <w:p>
            <w:pPr>
              <w:spacing w:after="0" w:line="240" w:lineRule="auto"/>
            </w:pPr>
            <w:r/>
            <w:r>
              <w:rPr>
                <w:b w:val="0"/>
                <w:sz w:val="16"/>
              </w:rPr>
              <w:t xml:space="preserve">  Adjusted slope per decade, D</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−0.04 (−0.16 to +0.07); P = 0.469</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−0.16 (−0.25 to −0.07); P &lt; 0.001</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+0.11 (+0.02 to +0.20); P = 0.015</w:t>
            </w:r>
          </w:p>
        </w:tc>
      </w:tr>
      <w:tr>
        <w:tc>
          <w:tcPr>
            <w:tcW w:type="dxa" w:w="3744"/>
            <w:tcBorders>
              <w:top w:val="nil" w:sz="6" w:color="000000"/>
              <w:bottom w:val="nil" w:sz="6" w:color="000000"/>
              <w:left w:val="nil"/>
              <w:right w:val="nil"/>
              <w:insideH w:val="nil"/>
              <w:insideV w:val="nil"/>
            </w:tcBorders>
          </w:tcPr>
          <w:p>
            <w:pPr>
              <w:spacing w:after="0" w:line="240" w:lineRule="auto"/>
            </w:pPr>
            <w:r/>
            <w:r>
              <w:rPr>
                <w:b w:val="0"/>
                <w:sz w:val="16"/>
              </w:rPr>
              <w:t xml:space="preserve">  Model N</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256</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409</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409</w:t>
            </w:r>
          </w:p>
        </w:tc>
      </w:tr>
      <w:tr>
        <w:tc>
          <w:tcPr>
            <w:tcW w:type="dxa" w:w="3744"/>
            <w:tcBorders>
              <w:top w:val="nil" w:sz="6" w:color="000000"/>
              <w:bottom w:val="nil" w:sz="6" w:color="000000"/>
              <w:left w:val="nil"/>
              <w:right w:val="nil"/>
              <w:insideH w:val="nil"/>
              <w:insideV w:val="nil"/>
            </w:tcBorders>
          </w:tcPr>
          <w:p>
            <w:pPr>
              <w:spacing w:after="0" w:line="240" w:lineRule="auto"/>
            </w:pPr>
            <w:r/>
            <w:r>
              <w:rPr>
                <w:b w:val="0"/>
                <w:sz w:val="16"/>
              </w:rPr>
              <w:t xml:space="preserve">  Mean by band, 18-24 y (N)</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−0.26 (64)</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−0.06 (96)</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−0.46 (96)</w:t>
            </w:r>
          </w:p>
        </w:tc>
      </w:tr>
      <w:tr>
        <w:tc>
          <w:tcPr>
            <w:tcW w:type="dxa" w:w="3744"/>
            <w:tcBorders>
              <w:top w:val="nil" w:sz="6" w:color="000000"/>
              <w:bottom w:val="nil" w:sz="6" w:color="000000"/>
              <w:left w:val="nil"/>
              <w:right w:val="nil"/>
              <w:insideH w:val="nil"/>
              <w:insideV w:val="nil"/>
            </w:tcBorders>
          </w:tcPr>
          <w:p>
            <w:pPr>
              <w:spacing w:after="0" w:line="240" w:lineRule="auto"/>
            </w:pPr>
            <w:r/>
            <w:r>
              <w:rPr>
                <w:b w:val="0"/>
                <w:sz w:val="16"/>
              </w:rPr>
              <w:t xml:space="preserve">  Mean by band, 25-29 y (N)</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−0.17 (77)</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−0.31 (133)</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−0.46 (133)</w:t>
            </w:r>
          </w:p>
        </w:tc>
      </w:tr>
      <w:tr>
        <w:tc>
          <w:tcPr>
            <w:tcW w:type="dxa" w:w="3744"/>
            <w:tcBorders>
              <w:top w:val="nil" w:sz="6" w:color="000000"/>
              <w:bottom w:val="nil" w:sz="6" w:color="000000"/>
              <w:left w:val="nil"/>
              <w:right w:val="nil"/>
              <w:insideH w:val="nil"/>
              <w:insideV w:val="nil"/>
            </w:tcBorders>
          </w:tcPr>
          <w:p>
            <w:pPr>
              <w:spacing w:after="0" w:line="240" w:lineRule="auto"/>
            </w:pPr>
            <w:r/>
            <w:r>
              <w:rPr>
                <w:b w:val="0"/>
                <w:sz w:val="16"/>
              </w:rPr>
              <w:t xml:space="preserve">  Mean by band, 30-34 y (N)</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−0.12 (57)</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−0.08 (87)</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−0.08 (87)</w:t>
            </w:r>
          </w:p>
        </w:tc>
      </w:tr>
      <w:tr>
        <w:tc>
          <w:tcPr>
            <w:tcW w:type="dxa" w:w="3744"/>
            <w:tcBorders>
              <w:top w:val="nil" w:sz="6" w:color="000000"/>
              <w:bottom w:val="nil" w:sz="6" w:color="000000"/>
              <w:left w:val="nil"/>
              <w:right w:val="nil"/>
              <w:insideH w:val="nil"/>
              <w:insideV w:val="nil"/>
            </w:tcBorders>
          </w:tcPr>
          <w:p>
            <w:pPr>
              <w:spacing w:after="0" w:line="240" w:lineRule="auto"/>
            </w:pPr>
            <w:r/>
            <w:r>
              <w:rPr>
                <w:b w:val="0"/>
                <w:sz w:val="16"/>
              </w:rPr>
              <w:t xml:space="preserve">  Mean by band, 35-39 y (N)</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−0.31 (40)</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−0.41 (51)</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−0.31 (51)</w:t>
            </w:r>
          </w:p>
        </w:tc>
      </w:tr>
      <w:tr>
        <w:tc>
          <w:tcPr>
            <w:tcW w:type="dxa" w:w="3744"/>
            <w:tcBorders>
              <w:top w:val="nil" w:sz="6" w:color="000000"/>
              <w:bottom w:val="nil" w:sz="6" w:color="000000"/>
              <w:left w:val="nil"/>
              <w:right w:val="nil"/>
              <w:insideH w:val="nil"/>
              <w:insideV w:val="nil"/>
            </w:tcBorders>
          </w:tcPr>
          <w:p>
            <w:pPr>
              <w:spacing w:after="0" w:line="240" w:lineRule="auto"/>
            </w:pPr>
            <w:r/>
            <w:r>
              <w:rPr>
                <w:b w:val="0"/>
                <w:sz w:val="16"/>
              </w:rPr>
              <w:t xml:space="preserve">  Mean by band, 40-44 y (N)</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−0.38 (18)</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−0.40 (37)</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−0.30 (37)</w:t>
            </w:r>
          </w:p>
        </w:tc>
      </w:tr>
      <w:tr>
        <w:tc>
          <w:tcPr>
            <w:tcW w:type="dxa" w:w="3744"/>
            <w:tcBorders>
              <w:top w:val="nil" w:sz="6" w:color="000000"/>
              <w:bottom w:val="nil" w:sz="6" w:color="000000"/>
              <w:left w:val="nil"/>
              <w:right w:val="nil"/>
              <w:insideH w:val="nil"/>
              <w:insideV w:val="nil"/>
            </w:tcBorders>
          </w:tcPr>
          <w:p>
            <w:pPr>
              <w:spacing w:after="0" w:line="240" w:lineRule="auto"/>
            </w:pPr>
            <w:r/>
            <w:r>
              <w:rPr>
                <w:b w:val="0"/>
                <w:sz w:val="16"/>
              </w:rPr>
              <w:t xml:space="preserve">  Mean by band, 45+ y (N)</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−0.67 (6)</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−0.07 (6)</w:t>
            </w:r>
          </w:p>
        </w:tc>
      </w:tr>
      <w:tr>
        <w:tc>
          <w:tcPr>
            <w:tcW w:type="dxa" w:w="3744"/>
            <w:tcBorders>
              <w:top w:val="nil" w:sz="6" w:color="000000"/>
              <w:bottom w:val="nil" w:sz="6" w:color="000000"/>
              <w:left w:val="nil"/>
              <w:right w:val="nil"/>
              <w:insideH w:val="nil"/>
              <w:insideV w:val="nil"/>
            </w:tcBorders>
          </w:tcPr>
          <w:p>
            <w:pPr>
              <w:spacing w:after="0" w:line="240" w:lineRule="auto"/>
            </w:pPr>
            <w:r/>
            <w:r>
              <w:rPr>
                <w:b/>
                <w:sz w:val="16"/>
              </w:rPr>
              <w:t>12 months, manifest SEQ</w:t>
            </w:r>
          </w:p>
        </w:tc>
        <w:tc>
          <w:tcPr>
            <w:tcW w:type="dxa" w:w="2304"/>
            <w:tcBorders>
              <w:top w:val="nil" w:sz="6" w:color="000000"/>
              <w:bottom w:val="nil" w:sz="6" w:color="000000"/>
              <w:left w:val="nil"/>
              <w:right w:val="nil"/>
              <w:insideH w:val="nil"/>
              <w:insideV w:val="nil"/>
            </w:tcBorders>
          </w:tcPr>
          <w:p>
            <w:pPr>
              <w:spacing w:after="0" w:line="240" w:lineRule="auto"/>
            </w:pPr>
            <w:r/>
            <w:r>
              <w:rPr>
                <w:b/>
                <w:sz w:val="16"/>
              </w:rPr>
            </w:r>
          </w:p>
        </w:tc>
        <w:tc>
          <w:tcPr>
            <w:tcW w:type="dxa" w:w="2304"/>
            <w:tcBorders>
              <w:top w:val="nil" w:sz="6" w:color="000000"/>
              <w:bottom w:val="nil" w:sz="6" w:color="000000"/>
              <w:left w:val="nil"/>
              <w:right w:val="nil"/>
              <w:insideH w:val="nil"/>
              <w:insideV w:val="nil"/>
            </w:tcBorders>
          </w:tcPr>
          <w:p>
            <w:pPr>
              <w:spacing w:after="0" w:line="240" w:lineRule="auto"/>
            </w:pPr>
            <w:r/>
            <w:r>
              <w:rPr>
                <w:b/>
                <w:sz w:val="16"/>
              </w:rPr>
            </w:r>
          </w:p>
        </w:tc>
        <w:tc>
          <w:tcPr>
            <w:tcW w:type="dxa" w:w="2304"/>
            <w:tcBorders>
              <w:top w:val="nil" w:sz="6" w:color="000000"/>
              <w:bottom w:val="nil" w:sz="6" w:color="000000"/>
              <w:left w:val="nil"/>
              <w:right w:val="nil"/>
              <w:insideH w:val="nil"/>
              <w:insideV w:val="nil"/>
            </w:tcBorders>
          </w:tcPr>
          <w:p>
            <w:pPr>
              <w:spacing w:after="0" w:line="240" w:lineRule="auto"/>
            </w:pPr>
            <w:r/>
            <w:r>
              <w:rPr>
                <w:b/>
                <w:sz w:val="16"/>
              </w:rPr>
            </w:r>
          </w:p>
        </w:tc>
      </w:tr>
      <w:tr>
        <w:tc>
          <w:tcPr>
            <w:tcW w:type="dxa" w:w="3744"/>
            <w:tcBorders>
              <w:top w:val="nil" w:sz="6" w:color="000000"/>
              <w:bottom w:val="nil" w:sz="6" w:color="000000"/>
              <w:left w:val="nil"/>
              <w:right w:val="nil"/>
              <w:insideH w:val="nil"/>
              <w:insideV w:val="nil"/>
            </w:tcBorders>
          </w:tcPr>
          <w:p>
            <w:pPr>
              <w:spacing w:after="0" w:line="240" w:lineRule="auto"/>
            </w:pPr>
            <w:r/>
            <w:r>
              <w:rPr>
                <w:b w:val="0"/>
                <w:sz w:val="16"/>
              </w:rPr>
              <w:t xml:space="preserve">  Mean, under 40 y (N)</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−0.12 (208)</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−0.10 (170)</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−0.24 (170)</w:t>
            </w:r>
          </w:p>
        </w:tc>
      </w:tr>
      <w:tr>
        <w:tc>
          <w:tcPr>
            <w:tcW w:type="dxa" w:w="3744"/>
            <w:tcBorders>
              <w:top w:val="nil" w:sz="6" w:color="000000"/>
              <w:bottom w:val="nil" w:sz="6" w:color="000000"/>
              <w:left w:val="nil"/>
              <w:right w:val="nil"/>
              <w:insideH w:val="nil"/>
              <w:insideV w:val="nil"/>
            </w:tcBorders>
          </w:tcPr>
          <w:p>
            <w:pPr>
              <w:spacing w:after="0" w:line="240" w:lineRule="auto"/>
            </w:pPr>
            <w:r/>
            <w:r>
              <w:rPr>
                <w:b w:val="0"/>
                <w:sz w:val="16"/>
              </w:rPr>
              <w:t xml:space="preserve">  Mean, 40 y or older (N)</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−0.46 (21)</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−0.60 (25)</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−0.41 (25)</w:t>
            </w:r>
          </w:p>
        </w:tc>
      </w:tr>
      <w:tr>
        <w:tc>
          <w:tcPr>
            <w:tcW w:type="dxa" w:w="3744"/>
            <w:tcBorders>
              <w:top w:val="nil" w:sz="6" w:color="000000"/>
              <w:bottom w:val="nil" w:sz="6" w:color="000000"/>
              <w:left w:val="nil"/>
              <w:right w:val="nil"/>
              <w:insideH w:val="nil"/>
              <w:insideV w:val="nil"/>
            </w:tcBorders>
          </w:tcPr>
          <w:p>
            <w:pPr>
              <w:spacing w:after="0" w:line="240" w:lineRule="auto"/>
            </w:pPr>
            <w:r/>
            <w:r>
              <w:rPr>
                <w:b w:val="0"/>
                <w:sz w:val="16"/>
              </w:rPr>
              <w:t xml:space="preserve">  Adjusted difference, 40 y or older vs under 40, D</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−0.32 (−0.60 to −0.04); P = 0.025</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−0.52 (−0.77 to −0.27); P &lt; 0.001</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−0.19 (−0.45 to +0.07); P = 0.158</w:t>
            </w:r>
          </w:p>
        </w:tc>
      </w:tr>
      <w:tr>
        <w:tc>
          <w:tcPr>
            <w:tcW w:type="dxa" w:w="3744"/>
            <w:tcBorders>
              <w:top w:val="nil" w:sz="6" w:color="000000"/>
              <w:bottom w:val="nil" w:sz="6" w:color="000000"/>
              <w:left w:val="nil"/>
              <w:right w:val="nil"/>
              <w:insideH w:val="nil"/>
              <w:insideV w:val="nil"/>
            </w:tcBorders>
          </w:tcPr>
          <w:p>
            <w:pPr>
              <w:spacing w:after="0" w:line="240" w:lineRule="auto"/>
            </w:pPr>
            <w:r/>
            <w:r>
              <w:rPr>
                <w:b w:val="0"/>
                <w:sz w:val="16"/>
              </w:rPr>
              <w:t xml:space="preserve">  Adjusted slope per decade, D</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−0.05 (−0.18 to +0.08); P = 0.432</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−0.18 (−0.27 to −0.10); P &lt; 0.001</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+0.07 (−0.02 to +0.16); P = 0.125</w:t>
            </w:r>
          </w:p>
        </w:tc>
      </w:tr>
      <w:tr>
        <w:tc>
          <w:tcPr>
            <w:tcW w:type="dxa" w:w="3744"/>
            <w:tcBorders>
              <w:top w:val="nil" w:sz="6" w:color="000000"/>
              <w:bottom w:val="nil" w:sz="6" w:color="000000"/>
              <w:left w:val="nil"/>
              <w:right w:val="nil"/>
              <w:insideH w:val="nil"/>
              <w:insideV w:val="nil"/>
            </w:tcBorders>
          </w:tcPr>
          <w:p>
            <w:pPr>
              <w:spacing w:after="0" w:line="240" w:lineRule="auto"/>
            </w:pPr>
            <w:r/>
            <w:r>
              <w:rPr>
                <w:b w:val="0"/>
                <w:sz w:val="16"/>
              </w:rPr>
              <w:t xml:space="preserve">  Model N</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229</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195</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195</w:t>
            </w:r>
          </w:p>
        </w:tc>
      </w:tr>
      <w:tr>
        <w:tc>
          <w:tcPr>
            <w:tcW w:type="dxa" w:w="3744"/>
            <w:tcBorders>
              <w:top w:val="nil" w:sz="6" w:color="000000"/>
              <w:bottom w:val="nil" w:sz="6" w:color="000000"/>
              <w:left w:val="nil"/>
              <w:right w:val="nil"/>
              <w:insideH w:val="nil"/>
              <w:insideV w:val="nil"/>
            </w:tcBorders>
          </w:tcPr>
          <w:p>
            <w:pPr>
              <w:spacing w:after="0" w:line="240" w:lineRule="auto"/>
            </w:pPr>
            <w:r/>
            <w:r>
              <w:rPr>
                <w:b w:val="0"/>
                <w:sz w:val="16"/>
              </w:rPr>
              <w:t xml:space="preserve">  Mean by band, 18-24 y (N)</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−0.21 (54)</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−0.09 (46)</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−0.49 (46)</w:t>
            </w:r>
          </w:p>
        </w:tc>
      </w:tr>
      <w:tr>
        <w:tc>
          <w:tcPr>
            <w:tcW w:type="dxa" w:w="3744"/>
            <w:tcBorders>
              <w:top w:val="nil" w:sz="6" w:color="000000"/>
              <w:bottom w:val="nil" w:sz="6" w:color="000000"/>
              <w:left w:val="nil"/>
              <w:right w:val="nil"/>
              <w:insideH w:val="nil"/>
              <w:insideV w:val="nil"/>
            </w:tcBorders>
          </w:tcPr>
          <w:p>
            <w:pPr>
              <w:spacing w:after="0" w:line="240" w:lineRule="auto"/>
            </w:pPr>
            <w:r/>
            <w:r>
              <w:rPr>
                <w:b w:val="0"/>
                <w:sz w:val="16"/>
              </w:rPr>
              <w:t xml:space="preserve">  Mean by band, 25-29 y (N)</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−0.12 (67)</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−0.10 (56)</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−0.25 (56)</w:t>
            </w:r>
          </w:p>
        </w:tc>
      </w:tr>
      <w:tr>
        <w:tc>
          <w:tcPr>
            <w:tcW w:type="dxa" w:w="3744"/>
            <w:tcBorders>
              <w:top w:val="nil" w:sz="6" w:color="000000"/>
              <w:bottom w:val="nil" w:sz="6" w:color="000000"/>
              <w:left w:val="nil"/>
              <w:right w:val="nil"/>
              <w:insideH w:val="nil"/>
              <w:insideV w:val="nil"/>
            </w:tcBorders>
          </w:tcPr>
          <w:p>
            <w:pPr>
              <w:spacing w:after="0" w:line="240" w:lineRule="auto"/>
            </w:pPr>
            <w:r/>
            <w:r>
              <w:rPr>
                <w:b w:val="0"/>
                <w:sz w:val="16"/>
              </w:rPr>
              <w:t xml:space="preserve">  Mean by band, 30-34 y (N)</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−0.01 (43)</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−0.08 (46)</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−0.08 (46)</w:t>
            </w:r>
          </w:p>
        </w:tc>
      </w:tr>
      <w:tr>
        <w:tc>
          <w:tcPr>
            <w:tcW w:type="dxa" w:w="3744"/>
            <w:tcBorders>
              <w:top w:val="nil" w:sz="6" w:color="000000"/>
              <w:bottom w:val="nil" w:sz="6" w:color="000000"/>
              <w:left w:val="nil"/>
              <w:right w:val="nil"/>
              <w:insideH w:val="nil"/>
              <w:insideV w:val="nil"/>
            </w:tcBorders>
          </w:tcPr>
          <w:p>
            <w:pPr>
              <w:spacing w:after="0" w:line="240" w:lineRule="auto"/>
            </w:pPr>
            <w:r/>
            <w:r>
              <w:rPr>
                <w:b w:val="0"/>
                <w:sz w:val="16"/>
              </w:rPr>
              <w:t xml:space="preserve">  Mean by band, 35-39 y (N)</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−0.13 (44)</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−0.12 (22)</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−0.03 (22)</w:t>
            </w:r>
          </w:p>
        </w:tc>
      </w:tr>
      <w:tr>
        <w:tc>
          <w:tcPr>
            <w:tcW w:type="dxa" w:w="3744"/>
            <w:tcBorders>
              <w:top w:val="nil" w:sz="6" w:color="000000"/>
              <w:bottom w:val="nil" w:sz="6" w:color="000000"/>
              <w:left w:val="nil"/>
              <w:right w:val="nil"/>
              <w:insideH w:val="nil"/>
              <w:insideV w:val="nil"/>
            </w:tcBorders>
          </w:tcPr>
          <w:p>
            <w:pPr>
              <w:spacing w:after="0" w:line="240" w:lineRule="auto"/>
            </w:pPr>
            <w:r/>
            <w:r>
              <w:rPr>
                <w:b w:val="0"/>
                <w:sz w:val="16"/>
              </w:rPr>
              <w:t xml:space="preserve">  Mean by band, 40-44 y (N)</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−0.46 (21)</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−0.59 (20)</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−0.49 (20)</w:t>
            </w:r>
          </w:p>
        </w:tc>
      </w:tr>
      <w:tr>
        <w:tc>
          <w:tcPr>
            <w:tcW w:type="dxa" w:w="3744"/>
            <w:tcBorders>
              <w:top w:val="nil" w:sz="6" w:color="000000"/>
              <w:bottom w:val="nil" w:sz="6" w:color="000000"/>
              <w:left w:val="nil"/>
              <w:right w:val="nil"/>
              <w:insideH w:val="nil"/>
              <w:insideV w:val="nil"/>
            </w:tcBorders>
          </w:tcPr>
          <w:p>
            <w:pPr>
              <w:spacing w:after="0" w:line="240" w:lineRule="auto"/>
            </w:pPr>
            <w:r/>
            <w:r>
              <w:rPr>
                <w:b w:val="0"/>
                <w:sz w:val="16"/>
              </w:rPr>
              <w:t xml:space="preserve">  Mean by band, 45+ y (N)</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−0.68 (5)</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−0.08 (5)</w:t>
            </w:r>
          </w:p>
        </w:tc>
      </w:tr>
      <w:tr>
        <w:tc>
          <w:tcPr>
            <w:tcW w:type="dxa" w:w="3744"/>
            <w:tcBorders>
              <w:top w:val="nil" w:sz="6" w:color="000000"/>
              <w:bottom w:val="nil" w:sz="6" w:color="000000"/>
              <w:left w:val="nil"/>
              <w:right w:val="nil"/>
              <w:insideH w:val="nil"/>
              <w:insideV w:val="nil"/>
            </w:tcBorders>
          </w:tcPr>
          <w:p>
            <w:pPr>
              <w:spacing w:after="0" w:line="240" w:lineRule="auto"/>
            </w:pPr>
            <w:r/>
            <w:r>
              <w:rPr>
                <w:b/>
                <w:sz w:val="16"/>
              </w:rPr>
              <w:t>Within the shared 0.50 D offset band (35 to 44 y): 40 to 44 y vs 35 to 39 y, adjusted difference, D (model N)</w:t>
            </w:r>
          </w:p>
        </w:tc>
        <w:tc>
          <w:tcPr>
            <w:tcW w:type="dxa" w:w="2304"/>
            <w:tcBorders>
              <w:top w:val="nil" w:sz="6" w:color="000000"/>
              <w:bottom w:val="nil" w:sz="6" w:color="000000"/>
              <w:left w:val="nil"/>
              <w:right w:val="nil"/>
              <w:insideH w:val="nil"/>
              <w:insideV w:val="nil"/>
            </w:tcBorders>
          </w:tcPr>
          <w:p>
            <w:pPr>
              <w:spacing w:after="0" w:line="240" w:lineRule="auto"/>
            </w:pPr>
            <w:r/>
            <w:r>
              <w:rPr>
                <w:b/>
                <w:sz w:val="16"/>
              </w:rPr>
            </w:r>
          </w:p>
        </w:tc>
        <w:tc>
          <w:tcPr>
            <w:tcW w:type="dxa" w:w="2304"/>
            <w:tcBorders>
              <w:top w:val="nil" w:sz="6" w:color="000000"/>
              <w:bottom w:val="nil" w:sz="6" w:color="000000"/>
              <w:left w:val="nil"/>
              <w:right w:val="nil"/>
              <w:insideH w:val="nil"/>
              <w:insideV w:val="nil"/>
            </w:tcBorders>
          </w:tcPr>
          <w:p>
            <w:pPr>
              <w:spacing w:after="0" w:line="240" w:lineRule="auto"/>
            </w:pPr>
            <w:r/>
            <w:r>
              <w:rPr>
                <w:b/>
                <w:sz w:val="16"/>
              </w:rPr>
            </w:r>
          </w:p>
        </w:tc>
        <w:tc>
          <w:tcPr>
            <w:tcW w:type="dxa" w:w="2304"/>
            <w:tcBorders>
              <w:top w:val="nil" w:sz="6" w:color="000000"/>
              <w:bottom w:val="nil" w:sz="6" w:color="000000"/>
              <w:left w:val="nil"/>
              <w:right w:val="nil"/>
              <w:insideH w:val="nil"/>
              <w:insideV w:val="nil"/>
            </w:tcBorders>
          </w:tcPr>
          <w:p>
            <w:pPr>
              <w:spacing w:after="0" w:line="240" w:lineRule="auto"/>
            </w:pPr>
            <w:r/>
            <w:r>
              <w:rPr>
                <w:b/>
                <w:sz w:val="16"/>
              </w:rPr>
            </w:r>
          </w:p>
        </w:tc>
      </w:tr>
      <w:tr>
        <w:tc>
          <w:tcPr>
            <w:tcW w:type="dxa" w:w="3744"/>
            <w:tcBorders>
              <w:top w:val="nil" w:sz="6" w:color="000000"/>
              <w:bottom w:val="nil" w:sz="6" w:color="000000"/>
              <w:left w:val="nil"/>
              <w:right w:val="nil"/>
              <w:insideH w:val="nil"/>
              <w:insideV w:val="nil"/>
            </w:tcBorders>
          </w:tcPr>
          <w:p>
            <w:pPr>
              <w:spacing w:after="0" w:line="240" w:lineRule="auto"/>
            </w:pPr>
            <w:r/>
            <w:r>
              <w:rPr>
                <w:b w:val="0"/>
                <w:sz w:val="16"/>
              </w:rPr>
              <w:t xml:space="preserve">  Day 1</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+0.42 (−0.23 to +1.06); P = 0.209 (131)</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−0.15 (−0.31 to +0.01); P = 0.067 (356)</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both eras: +0.00 (−0.22 to +0.22); P = 0.968 (487)</w:t>
            </w:r>
          </w:p>
        </w:tc>
      </w:tr>
      <w:tr>
        <w:tc>
          <w:tcPr>
            <w:tcW w:type="dxa" w:w="3744"/>
            <w:tcBorders>
              <w:top w:val="nil" w:sz="6" w:color="000000"/>
              <w:bottom w:val="nil" w:sz="6" w:color="000000"/>
              <w:left w:val="nil"/>
              <w:right w:val="nil"/>
              <w:insideH w:val="nil"/>
              <w:insideV w:val="nil"/>
            </w:tcBorders>
          </w:tcPr>
          <w:p>
            <w:pPr>
              <w:spacing w:after="0" w:line="240" w:lineRule="auto"/>
            </w:pPr>
            <w:r/>
            <w:r>
              <w:rPr>
                <w:b w:val="0"/>
                <w:sz w:val="16"/>
              </w:rPr>
              <w:t xml:space="preserve">  3 months</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−0.04 (−0.40 to +0.32); P = 0.825 (58)</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+0.04 (−0.24 to +0.33); P = 0.771 (87)</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both eras: +0.02 (−0.21 to +0.24); P = 0.893 (145)</w:t>
            </w:r>
          </w:p>
        </w:tc>
      </w:tr>
      <w:tr>
        <w:tc>
          <w:tcPr>
            <w:tcW w:type="dxa" w:w="3744"/>
            <w:tcBorders>
              <w:top w:val="nil" w:sz="6" w:color="000000"/>
              <w:bottom w:val="nil" w:sz="6" w:color="000000"/>
              <w:left w:val="nil"/>
              <w:right w:val="nil"/>
              <w:insideH w:val="nil"/>
              <w:insideV w:val="nil"/>
            </w:tcBorders>
          </w:tcPr>
          <w:p>
            <w:pPr>
              <w:spacing w:after="0" w:line="240" w:lineRule="auto"/>
            </w:pPr>
            <w:r/>
            <w:r>
              <w:rPr>
                <w:b w:val="0"/>
                <w:sz w:val="16"/>
              </w:rPr>
              <w:t xml:space="preserve">  12 months</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−0.33 (−0.67 to +0.01); P = 0.059 (65)</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−0.46 (−0.84 to −0.08); P = 0.019 (42)</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both eras: −0.37 (−0.62 to −0.12); P = 0.004 (107)</w:t>
            </w:r>
          </w:p>
        </w:tc>
      </w:tr>
      <w:tr>
        <w:tc>
          <w:tcPr>
            <w:tcW w:type="dxa" w:w="3744"/>
            <w:tcBorders>
              <w:top w:val="nil" w:sz="6" w:color="000000"/>
              <w:bottom w:val="nil" w:sz="6" w:color="000000"/>
              <w:left w:val="nil"/>
              <w:right w:val="nil"/>
              <w:insideH w:val="nil"/>
              <w:insideV w:val="nil"/>
            </w:tcBorders>
          </w:tcPr>
          <w:p>
            <w:pPr>
              <w:spacing w:after="0" w:line="240" w:lineRule="auto"/>
            </w:pPr>
            <w:r/>
            <w:r>
              <w:rPr>
                <w:b/>
                <w:sz w:val="16"/>
              </w:rPr>
              <w:t>Efficiency model: SEQ on programmed correction (attempted SEQ plus offset, D), age (per decade, centred at 30 y) and their product</w:t>
            </w:r>
          </w:p>
        </w:tc>
        <w:tc>
          <w:tcPr>
            <w:tcW w:type="dxa" w:w="2304"/>
            <w:tcBorders>
              <w:top w:val="nil" w:sz="6" w:color="000000"/>
              <w:bottom w:val="nil" w:sz="6" w:color="000000"/>
              <w:left w:val="nil"/>
              <w:right w:val="nil"/>
              <w:insideH w:val="nil"/>
              <w:insideV w:val="nil"/>
            </w:tcBorders>
          </w:tcPr>
          <w:p>
            <w:pPr>
              <w:spacing w:after="0" w:line="240" w:lineRule="auto"/>
            </w:pPr>
            <w:r/>
            <w:r>
              <w:rPr>
                <w:b/>
                <w:sz w:val="16"/>
              </w:rPr>
            </w:r>
          </w:p>
        </w:tc>
        <w:tc>
          <w:tcPr>
            <w:tcW w:type="dxa" w:w="2304"/>
            <w:tcBorders>
              <w:top w:val="nil" w:sz="6" w:color="000000"/>
              <w:bottom w:val="nil" w:sz="6" w:color="000000"/>
              <w:left w:val="nil"/>
              <w:right w:val="nil"/>
              <w:insideH w:val="nil"/>
              <w:insideV w:val="nil"/>
            </w:tcBorders>
          </w:tcPr>
          <w:p>
            <w:pPr>
              <w:spacing w:after="0" w:line="240" w:lineRule="auto"/>
            </w:pPr>
            <w:r/>
            <w:r>
              <w:rPr>
                <w:b/>
                <w:sz w:val="16"/>
              </w:rPr>
            </w:r>
          </w:p>
        </w:tc>
        <w:tc>
          <w:tcPr>
            <w:tcW w:type="dxa" w:w="2304"/>
            <w:tcBorders>
              <w:top w:val="nil" w:sz="6" w:color="000000"/>
              <w:bottom w:val="nil" w:sz="6" w:color="000000"/>
              <w:left w:val="nil"/>
              <w:right w:val="nil"/>
              <w:insideH w:val="nil"/>
              <w:insideV w:val="nil"/>
            </w:tcBorders>
          </w:tcPr>
          <w:p>
            <w:pPr>
              <w:spacing w:after="0" w:line="240" w:lineRule="auto"/>
            </w:pPr>
            <w:r/>
            <w:r>
              <w:rPr>
                <w:b/>
                <w:sz w:val="16"/>
              </w:rPr>
            </w:r>
          </w:p>
        </w:tc>
      </w:tr>
      <w:tr>
        <w:tc>
          <w:tcPr>
            <w:tcW w:type="dxa" w:w="3744"/>
            <w:tcBorders>
              <w:top w:val="nil" w:sz="6" w:color="000000"/>
              <w:bottom w:val="nil" w:sz="6" w:color="000000"/>
              <w:left w:val="nil"/>
              <w:right w:val="nil"/>
              <w:insideH w:val="nil"/>
              <w:insideV w:val="nil"/>
            </w:tcBorders>
          </w:tcPr>
          <w:p>
            <w:pPr>
              <w:spacing w:after="0" w:line="240" w:lineRule="auto"/>
            </w:pPr>
            <w:r/>
            <w:r>
              <w:rPr>
                <w:b w:val="0"/>
                <w:sz w:val="16"/>
              </w:rPr>
              <w:t xml:space="preserve">  Day 1, per programmed dioptre</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−0.08 (−0.18 to +0.01); P = 0.082 (579)</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−0.06 (−0.09 to −0.04); P &lt; 0.001 (1543)</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both eras: −0.06 (−0.09 to −0.04); P &lt; 0.001 (2122)</w:t>
            </w:r>
          </w:p>
        </w:tc>
      </w:tr>
      <w:tr>
        <w:tc>
          <w:tcPr>
            <w:tcW w:type="dxa" w:w="3744"/>
            <w:tcBorders>
              <w:top w:val="nil" w:sz="6" w:color="000000"/>
              <w:bottom w:val="nil" w:sz="6" w:color="000000"/>
              <w:left w:val="nil"/>
              <w:right w:val="nil"/>
              <w:insideH w:val="nil"/>
              <w:insideV w:val="nil"/>
            </w:tcBorders>
          </w:tcPr>
          <w:p>
            <w:pPr>
              <w:spacing w:after="0" w:line="240" w:lineRule="auto"/>
            </w:pPr>
            <w:r/>
            <w:r>
              <w:rPr>
                <w:b w:val="0"/>
                <w:sz w:val="16"/>
              </w:rPr>
              <w:t xml:space="preserve">  Day 1, age offset per decade</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+0.41 (−0.16 to +0.98); P = 0.157</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−0.12 (−0.27 to +0.04); P = 0.143</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both eras: −0.00 (−0.15 to +0.15); P = 0.969</w:t>
            </w:r>
          </w:p>
        </w:tc>
      </w:tr>
      <w:tr>
        <w:tc>
          <w:tcPr>
            <w:tcW w:type="dxa" w:w="3744"/>
            <w:tcBorders>
              <w:top w:val="nil" w:sz="6" w:color="000000"/>
              <w:bottom w:val="nil" w:sz="6" w:color="000000"/>
              <w:left w:val="nil"/>
              <w:right w:val="nil"/>
              <w:insideH w:val="nil"/>
              <w:insideV w:val="nil"/>
            </w:tcBorders>
          </w:tcPr>
          <w:p>
            <w:pPr>
              <w:spacing w:after="0" w:line="240" w:lineRule="auto"/>
            </w:pPr>
            <w:r/>
            <w:r>
              <w:rPr>
                <w:b w:val="0"/>
                <w:sz w:val="16"/>
              </w:rPr>
              <w:t xml:space="preserve">  Day 1, programmed dioptre × decade</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−0.13 (−0.29 to +0.04); P = 0.131</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−0.01 (−0.04 to +0.02); P = 0.586</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both eras: −0.03 (−0.07 to +0.01); P = 0.097</w:t>
            </w:r>
          </w:p>
        </w:tc>
      </w:tr>
      <w:tr>
        <w:tc>
          <w:tcPr>
            <w:tcW w:type="dxa" w:w="3744"/>
            <w:tcBorders>
              <w:top w:val="nil" w:sz="6" w:color="000000"/>
              <w:bottom w:val="nil" w:sz="6" w:color="000000"/>
              <w:left w:val="nil"/>
              <w:right w:val="nil"/>
              <w:insideH w:val="nil"/>
              <w:insideV w:val="nil"/>
            </w:tcBorders>
          </w:tcPr>
          <w:p>
            <w:pPr>
              <w:spacing w:after="0" w:line="240" w:lineRule="auto"/>
            </w:pPr>
            <w:r/>
            <w:r>
              <w:rPr>
                <w:b w:val="0"/>
                <w:sz w:val="16"/>
              </w:rPr>
              <w:t xml:space="preserve">  3 months, per programmed dioptre</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−0.01 (−0.06 to +0.03); P = 0.570 (256)</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−0.07 (−0.10 to −0.03); P &lt; 0.001 (409)</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both eras: −0.05 (−0.08 to −0.02); P &lt; 0.001 (665)</w:t>
            </w:r>
          </w:p>
        </w:tc>
      </w:tr>
      <w:tr>
        <w:tc>
          <w:tcPr>
            <w:tcW w:type="dxa" w:w="3744"/>
            <w:tcBorders>
              <w:top w:val="nil" w:sz="6" w:color="000000"/>
              <w:bottom w:val="nil" w:sz="6" w:color="000000"/>
              <w:left w:val="nil"/>
              <w:right w:val="nil"/>
              <w:insideH w:val="nil"/>
              <w:insideV w:val="nil"/>
            </w:tcBorders>
          </w:tcPr>
          <w:p>
            <w:pPr>
              <w:spacing w:after="0" w:line="240" w:lineRule="auto"/>
            </w:pPr>
            <w:r/>
            <w:r>
              <w:rPr>
                <w:b w:val="0"/>
                <w:sz w:val="16"/>
              </w:rPr>
              <w:t xml:space="preserve">  3 months, age offset per decade</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+0.07 (−0.19 to +0.33); P = 0.598</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−0.01 (−0.25 to +0.22); P = 0.903</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both eras: +0.05 (−0.15 to +0.25); P = 0.630</w:t>
            </w:r>
          </w:p>
        </w:tc>
      </w:tr>
      <w:tr>
        <w:tc>
          <w:tcPr>
            <w:tcW w:type="dxa" w:w="3744"/>
            <w:tcBorders>
              <w:top w:val="nil" w:sz="6" w:color="000000"/>
              <w:bottom w:val="nil" w:sz="6" w:color="000000"/>
              <w:left w:val="nil"/>
              <w:right w:val="nil"/>
              <w:insideH w:val="nil"/>
              <w:insideV w:val="nil"/>
            </w:tcBorders>
          </w:tcPr>
          <w:p>
            <w:pPr>
              <w:spacing w:after="0" w:line="240" w:lineRule="auto"/>
            </w:pPr>
            <w:r/>
            <w:r>
              <w:rPr>
                <w:b w:val="0"/>
                <w:sz w:val="16"/>
              </w:rPr>
              <w:t xml:space="preserve">  3 months, programmed dioptre × decade</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−0.03 (−0.08 to +0.03); P = 0.362</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−0.03 (−0.08 to +0.02); P = 0.192</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both eras: −0.04 (−0.08 to +0.01); P = 0.087</w:t>
            </w:r>
          </w:p>
        </w:tc>
      </w:tr>
      <w:tr>
        <w:tc>
          <w:tcPr>
            <w:tcW w:type="dxa" w:w="3744"/>
            <w:tcBorders>
              <w:top w:val="nil" w:sz="6" w:color="000000"/>
              <w:bottom w:val="nil" w:sz="6" w:color="000000"/>
              <w:left w:val="nil"/>
              <w:right w:val="nil"/>
              <w:insideH w:val="nil"/>
              <w:insideV w:val="nil"/>
            </w:tcBorders>
          </w:tcPr>
          <w:p>
            <w:pPr>
              <w:spacing w:after="0" w:line="240" w:lineRule="auto"/>
            </w:pPr>
            <w:r/>
            <w:r>
              <w:rPr>
                <w:b w:val="0"/>
                <w:sz w:val="16"/>
              </w:rPr>
              <w:t xml:space="preserve">  12 months, per programmed dioptre</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−0.06 (−0.10 to −0.03); P &lt; 0.001 (229)</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−0.03 (−0.06 to −0.00); P = 0.025 (195)</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both eras: −0.04 (−0.07 to −0.02); P &lt; 0.001 (424)</w:t>
            </w:r>
          </w:p>
        </w:tc>
      </w:tr>
      <w:tr>
        <w:tc>
          <w:tcPr>
            <w:tcW w:type="dxa" w:w="3744"/>
            <w:tcBorders>
              <w:top w:val="nil" w:sz="6" w:color="000000"/>
              <w:bottom w:val="nil" w:sz="6" w:color="000000"/>
              <w:left w:val="nil"/>
              <w:right w:val="nil"/>
              <w:insideH w:val="nil"/>
              <w:insideV w:val="nil"/>
            </w:tcBorders>
          </w:tcPr>
          <w:p>
            <w:pPr>
              <w:spacing w:after="0" w:line="240" w:lineRule="auto"/>
            </w:pPr>
            <w:r/>
            <w:r>
              <w:rPr>
                <w:b w:val="0"/>
                <w:sz w:val="16"/>
              </w:rPr>
              <w:t xml:space="preserve">  12 months, age offset per decade</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−0.00 (−0.27 to +0.26); P = 0.983</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−0.14 (−0.30 to +0.01); P = 0.074</w:t>
            </w:r>
          </w:p>
        </w:tc>
        <w:tc>
          <w:tcPr>
            <w:tcW w:type="dxa" w:w="2304"/>
            <w:tcBorders>
              <w:top w:val="nil" w:sz="6" w:color="000000"/>
              <w:bottom w:val="nil" w:sz="6" w:color="000000"/>
              <w:left w:val="nil"/>
              <w:right w:val="nil"/>
              <w:insideH w:val="nil"/>
              <w:insideV w:val="nil"/>
            </w:tcBorders>
          </w:tcPr>
          <w:p>
            <w:pPr>
              <w:spacing w:after="0" w:line="240" w:lineRule="auto"/>
            </w:pPr>
            <w:r/>
            <w:r>
              <w:rPr>
                <w:b w:val="0"/>
                <w:sz w:val="16"/>
              </w:rPr>
              <w:t>both eras: −0.04 (−0.19 to +0.11); P = 0.590</w:t>
            </w:r>
          </w:p>
        </w:tc>
      </w:tr>
      <w:tr>
        <w:tc>
          <w:tcPr>
            <w:tcW w:type="dxa" w:w="3744"/>
            <w:tcBorders>
              <w:top w:val="nil" w:sz="6" w:color="000000"/>
              <w:bottom w:val="single" w:sz="6" w:color="000000"/>
              <w:left w:val="nil"/>
              <w:right w:val="nil"/>
              <w:insideH w:val="nil"/>
              <w:insideV w:val="nil"/>
            </w:tcBorders>
          </w:tcPr>
          <w:p>
            <w:pPr>
              <w:spacing w:after="0" w:line="240" w:lineRule="auto"/>
            </w:pPr>
            <w:r/>
            <w:r>
              <w:rPr>
                <w:b w:val="0"/>
                <w:sz w:val="16"/>
              </w:rPr>
              <w:t xml:space="preserve">  12 months, programmed dioptre × decade</w:t>
            </w:r>
          </w:p>
        </w:tc>
        <w:tc>
          <w:tcPr>
            <w:tcW w:type="dxa" w:w="2304"/>
            <w:tcBorders>
              <w:top w:val="nil" w:sz="6" w:color="000000"/>
              <w:bottom w:val="single" w:sz="6" w:color="000000"/>
              <w:left w:val="nil"/>
              <w:right w:val="nil"/>
              <w:insideH w:val="nil"/>
              <w:insideV w:val="nil"/>
            </w:tcBorders>
          </w:tcPr>
          <w:p>
            <w:pPr>
              <w:spacing w:after="0" w:line="240" w:lineRule="auto"/>
            </w:pPr>
            <w:r/>
            <w:r>
              <w:rPr>
                <w:b w:val="0"/>
                <w:sz w:val="16"/>
              </w:rPr>
              <w:t>−0.01 (−0.07 to +0.04); P = 0.690</w:t>
            </w:r>
          </w:p>
        </w:tc>
        <w:tc>
          <w:tcPr>
            <w:tcW w:type="dxa" w:w="2304"/>
            <w:tcBorders>
              <w:top w:val="nil" w:sz="6" w:color="000000"/>
              <w:bottom w:val="single" w:sz="6" w:color="000000"/>
              <w:left w:val="nil"/>
              <w:right w:val="nil"/>
              <w:insideH w:val="nil"/>
              <w:insideV w:val="nil"/>
            </w:tcBorders>
          </w:tcPr>
          <w:p>
            <w:pPr>
              <w:spacing w:after="0" w:line="240" w:lineRule="auto"/>
            </w:pPr>
            <w:r/>
            <w:r>
              <w:rPr>
                <w:b w:val="0"/>
                <w:sz w:val="16"/>
              </w:rPr>
              <w:t>−0.01 (−0.04 to +0.02); P = 0.595</w:t>
            </w:r>
          </w:p>
        </w:tc>
        <w:tc>
          <w:tcPr>
            <w:tcW w:type="dxa" w:w="2304"/>
            <w:tcBorders>
              <w:top w:val="nil" w:sz="6" w:color="000000"/>
              <w:bottom w:val="single" w:sz="6" w:color="000000"/>
              <w:left w:val="nil"/>
              <w:right w:val="nil"/>
              <w:insideH w:val="nil"/>
              <w:insideV w:val="nil"/>
            </w:tcBorders>
          </w:tcPr>
          <w:p>
            <w:pPr>
              <w:spacing w:after="0" w:line="240" w:lineRule="auto"/>
            </w:pPr>
            <w:r/>
            <w:r>
              <w:rPr>
                <w:b w:val="0"/>
                <w:sz w:val="16"/>
              </w:rPr>
              <w:t>both eras: −0.02 (−0.05 to +0.01); P = 0.228</w:t>
            </w:r>
          </w:p>
        </w:tc>
      </w:tr>
    </w:tbl>
    <w:p>
      <w:pPr>
        <w:spacing w:after="0"/>
      </w:pPr>
      <w:r>
        <w:rPr>
          <w:b w:val="0"/>
          <w:i w:val="0"/>
        </w:rPr>
        <w:t>D = dioptre; SEQ = spherical equivalent refraction; y = years. From 1 July 2024 the nomogram added myopic correction at the corneal plane that decreased with age: 1.00 D under 25 years, 0.75 D from 25, 0.60 D from 30, 0.50 D from 35 and none from 45. The offset is not stored per eye and was reconstructed from age. Recomputed SEQ = observed SEQ + (0.60 D − offset), assuming one-to-one transfer of programmed correction into postoperative refraction. Adjusted estimates are from patient-clustered linear models with attempted SEQ, attempted cylinder and optical zone (and profile version in the second era) as covariates; within the second era age and offset are collinear, so no model can hold both. Means are unadjusted with the number of eyes in brackets; manifest SEQ is that of refracted eyes, day-1 SEQ the objective aberrometer refraction of all eyes measured. The within-band rows compare the 40 to 44 and 35 to 39 bands, which received the same 0.50 D offset, adjusted as above (plus era when pooled); the last column pools both eras. The efficiency model regresses SEQ on the programmed myopic correction (attempted SEQ magnitude plus the offset), age and their product, with cylinder and optical zone (and profile version, and era when pooled): the product term tests whether the refractive response per programmed dioptre changes with age. – = no eyes with a record.</w:t>
      </w:r>
    </w:p>
    <w:p>
      <w:r>
        <w:br w:type="page"/>
      </w:r>
    </w:p>
    <w:p>
      <w:pPr>
        <w:spacing w:after="120"/>
      </w:pPr>
      <w:r>
        <w:rPr>
          <w:b/>
          <w:i w:val="0"/>
        </w:rPr>
        <w:t>Supplementary Table S4. Optical quality by age group: change from the preoperative value in the micro-aberration scatter index (MASI) and in 6-mm corneal (total corneal wavefront, vertex-centred) and ocular (pyramidal aberrometer, pupil-centred) wavefront aberrations</w:t>
      </w:r>
    </w:p>
    <w:tbl>
      <w:tblPr>
        <w:tblW w:type="auto" w:w="0"/>
        <w:jc w:val="center"/>
        <w:tblLayout w:type="fixed"/>
        <w:tblLook w:firstColumn="1" w:firstRow="1" w:lastColumn="0" w:lastRow="0" w:noHBand="0" w:noVBand="1" w:val="04A0"/>
      </w:tblPr>
      <w:tblGrid>
        <w:gridCol w:w="3408"/>
        <w:gridCol w:w="3408"/>
        <w:gridCol w:w="3408"/>
      </w:tblGrid>
      <w:tr>
        <w:tc>
          <w:tcPr>
            <w:tcW w:type="dxa" w:w="4608"/>
            <w:tcBorders>
              <w:top w:val="single" w:sz="6" w:color="000000"/>
              <w:bottom w:val="single" w:sz="6" w:color="000000"/>
              <w:left w:val="nil"/>
              <w:right w:val="nil"/>
              <w:insideH w:val="nil"/>
              <w:insideV w:val="nil"/>
            </w:tcBorders>
          </w:tcPr>
          <w:p>
            <w:r/>
            <w:r>
              <w:rPr>
                <w:b/>
                <w:sz w:val="16"/>
              </w:rPr>
              <w:t>Measure</w:t>
            </w:r>
          </w:p>
        </w:tc>
        <w:tc>
          <w:tcPr>
            <w:tcW w:type="dxa" w:w="2880"/>
            <w:tcBorders>
              <w:top w:val="single" w:sz="6" w:color="000000"/>
              <w:bottom w:val="single" w:sz="6" w:color="000000"/>
              <w:left w:val="nil"/>
              <w:right w:val="nil"/>
              <w:insideH w:val="nil"/>
              <w:insideV w:val="nil"/>
            </w:tcBorders>
          </w:tcPr>
          <w:p>
            <w:r/>
            <w:r>
              <w:rPr>
                <w:b/>
                <w:sz w:val="16"/>
              </w:rPr>
              <w:t>Under 40 y, mean (95% CI), N</w:t>
            </w:r>
          </w:p>
        </w:tc>
        <w:tc>
          <w:tcPr>
            <w:tcW w:type="dxa" w:w="2880"/>
            <w:tcBorders>
              <w:top w:val="single" w:sz="6" w:color="000000"/>
              <w:bottom w:val="single" w:sz="6" w:color="000000"/>
              <w:left w:val="nil"/>
              <w:right w:val="nil"/>
              <w:insideH w:val="nil"/>
              <w:insideV w:val="nil"/>
            </w:tcBorders>
          </w:tcPr>
          <w:p>
            <w:r/>
            <w:r>
              <w:rPr>
                <w:b/>
                <w:sz w:val="16"/>
              </w:rPr>
              <w:t>40 y and older, mean (95% CI), N</w:t>
            </w:r>
          </w:p>
        </w:tc>
      </w:tr>
      <w:tr>
        <w:tc>
          <w:tcPr>
            <w:tcW w:type="dxa" w:w="4608"/>
            <w:tcBorders>
              <w:top w:val="nil" w:sz="6" w:color="000000"/>
              <w:bottom w:val="nil" w:sz="6" w:color="000000"/>
              <w:left w:val="nil"/>
              <w:right w:val="nil"/>
              <w:insideH w:val="nil"/>
              <w:insideV w:val="nil"/>
            </w:tcBorders>
          </w:tcPr>
          <w:p>
            <w:pPr>
              <w:spacing w:after="0" w:line="240" w:lineRule="auto"/>
            </w:pPr>
            <w:r/>
            <w:r>
              <w:rPr>
                <w:b w:val="0"/>
                <w:sz w:val="16"/>
              </w:rPr>
              <w:t>Change in MASI (×1000), Day 1</w:t>
            </w:r>
          </w:p>
        </w:tc>
        <w:tc>
          <w:tcPr>
            <w:tcW w:type="dxa" w:w="2880"/>
            <w:tcBorders>
              <w:top w:val="nil" w:sz="6" w:color="000000"/>
              <w:bottom w:val="nil" w:sz="6" w:color="000000"/>
              <w:left w:val="nil"/>
              <w:right w:val="nil"/>
              <w:insideH w:val="nil"/>
              <w:insideV w:val="nil"/>
            </w:tcBorders>
          </w:tcPr>
          <w:p>
            <w:pPr>
              <w:spacing w:after="0" w:line="240" w:lineRule="auto"/>
            </w:pPr>
            <w:r/>
            <w:r>
              <w:rPr>
                <w:b w:val="0"/>
                <w:sz w:val="16"/>
              </w:rPr>
              <w:t>+21.3 (+20.5 to +22.2), 1818</w:t>
            </w:r>
          </w:p>
        </w:tc>
        <w:tc>
          <w:tcPr>
            <w:tcW w:type="dxa" w:w="2880"/>
            <w:tcBorders>
              <w:top w:val="nil" w:sz="6" w:color="000000"/>
              <w:bottom w:val="nil" w:sz="6" w:color="000000"/>
              <w:left w:val="nil"/>
              <w:right w:val="nil"/>
              <w:insideH w:val="nil"/>
              <w:insideV w:val="nil"/>
            </w:tcBorders>
          </w:tcPr>
          <w:p>
            <w:pPr>
              <w:spacing w:after="0" w:line="240" w:lineRule="auto"/>
            </w:pPr>
            <w:r/>
            <w:r>
              <w:rPr>
                <w:b w:val="0"/>
                <w:sz w:val="16"/>
              </w:rPr>
              <w:t>+21.5 (+18.1 to +25.2), 172</w:t>
            </w:r>
          </w:p>
        </w:tc>
      </w:tr>
      <w:tr>
        <w:tc>
          <w:tcPr>
            <w:tcW w:type="dxa" w:w="4608"/>
            <w:tcBorders>
              <w:top w:val="nil" w:sz="6" w:color="000000"/>
              <w:bottom w:val="nil" w:sz="6" w:color="000000"/>
              <w:left w:val="nil"/>
              <w:right w:val="nil"/>
              <w:insideH w:val="nil"/>
              <w:insideV w:val="nil"/>
            </w:tcBorders>
          </w:tcPr>
          <w:p>
            <w:pPr>
              <w:spacing w:after="0" w:line="240" w:lineRule="auto"/>
            </w:pPr>
            <w:r/>
            <w:r>
              <w:rPr>
                <w:b w:val="0"/>
                <w:sz w:val="16"/>
              </w:rPr>
              <w:t>Change in MASI (×1000), 1 week</w:t>
            </w:r>
          </w:p>
        </w:tc>
        <w:tc>
          <w:tcPr>
            <w:tcW w:type="dxa" w:w="2880"/>
            <w:tcBorders>
              <w:top w:val="nil" w:sz="6" w:color="000000"/>
              <w:bottom w:val="nil" w:sz="6" w:color="000000"/>
              <w:left w:val="nil"/>
              <w:right w:val="nil"/>
              <w:insideH w:val="nil"/>
              <w:insideV w:val="nil"/>
            </w:tcBorders>
          </w:tcPr>
          <w:p>
            <w:pPr>
              <w:spacing w:after="0" w:line="240" w:lineRule="auto"/>
            </w:pPr>
            <w:r/>
            <w:r>
              <w:rPr>
                <w:b w:val="0"/>
                <w:sz w:val="16"/>
              </w:rPr>
              <w:t>+12.8 (+12.0 to +13.7), 1379</w:t>
            </w:r>
          </w:p>
        </w:tc>
        <w:tc>
          <w:tcPr>
            <w:tcW w:type="dxa" w:w="2880"/>
            <w:tcBorders>
              <w:top w:val="nil" w:sz="6" w:color="000000"/>
              <w:bottom w:val="nil" w:sz="6" w:color="000000"/>
              <w:left w:val="nil"/>
              <w:right w:val="nil"/>
              <w:insideH w:val="nil"/>
              <w:insideV w:val="nil"/>
            </w:tcBorders>
          </w:tcPr>
          <w:p>
            <w:pPr>
              <w:spacing w:after="0" w:line="240" w:lineRule="auto"/>
            </w:pPr>
            <w:r/>
            <w:r>
              <w:rPr>
                <w:b w:val="0"/>
                <w:sz w:val="16"/>
              </w:rPr>
              <w:t>+12.1 (+9.3 to +14.6), 124</w:t>
            </w:r>
          </w:p>
        </w:tc>
      </w:tr>
      <w:tr>
        <w:tc>
          <w:tcPr>
            <w:tcW w:type="dxa" w:w="4608"/>
            <w:tcBorders>
              <w:top w:val="nil" w:sz="6" w:color="000000"/>
              <w:bottom w:val="nil" w:sz="6" w:color="000000"/>
              <w:left w:val="nil"/>
              <w:right w:val="nil"/>
              <w:insideH w:val="nil"/>
              <w:insideV w:val="nil"/>
            </w:tcBorders>
          </w:tcPr>
          <w:p>
            <w:pPr>
              <w:spacing w:after="0" w:line="240" w:lineRule="auto"/>
            </w:pPr>
            <w:r/>
            <w:r>
              <w:rPr>
                <w:b w:val="0"/>
                <w:sz w:val="16"/>
              </w:rPr>
              <w:t>Change in MASI (×1000), 1 month</w:t>
            </w:r>
          </w:p>
        </w:tc>
        <w:tc>
          <w:tcPr>
            <w:tcW w:type="dxa" w:w="2880"/>
            <w:tcBorders>
              <w:top w:val="nil" w:sz="6" w:color="000000"/>
              <w:bottom w:val="nil" w:sz="6" w:color="000000"/>
              <w:left w:val="nil"/>
              <w:right w:val="nil"/>
              <w:insideH w:val="nil"/>
              <w:insideV w:val="nil"/>
            </w:tcBorders>
          </w:tcPr>
          <w:p>
            <w:pPr>
              <w:spacing w:after="0" w:line="240" w:lineRule="auto"/>
            </w:pPr>
            <w:r/>
            <w:r>
              <w:rPr>
                <w:b w:val="0"/>
                <w:sz w:val="16"/>
              </w:rPr>
              <w:t>+9.0 (+8.2 to +9.7), 1258</w:t>
            </w:r>
          </w:p>
        </w:tc>
        <w:tc>
          <w:tcPr>
            <w:tcW w:type="dxa" w:w="2880"/>
            <w:tcBorders>
              <w:top w:val="nil" w:sz="6" w:color="000000"/>
              <w:bottom w:val="nil" w:sz="6" w:color="000000"/>
              <w:left w:val="nil"/>
              <w:right w:val="nil"/>
              <w:insideH w:val="nil"/>
              <w:insideV w:val="nil"/>
            </w:tcBorders>
          </w:tcPr>
          <w:p>
            <w:pPr>
              <w:spacing w:after="0" w:line="240" w:lineRule="auto"/>
            </w:pPr>
            <w:r/>
            <w:r>
              <w:rPr>
                <w:b w:val="0"/>
                <w:sz w:val="16"/>
              </w:rPr>
              <w:t>+8.0 (+5.8 to +10.1), 126</w:t>
            </w:r>
          </w:p>
        </w:tc>
      </w:tr>
      <w:tr>
        <w:tc>
          <w:tcPr>
            <w:tcW w:type="dxa" w:w="4608"/>
            <w:tcBorders>
              <w:top w:val="nil" w:sz="6" w:color="000000"/>
              <w:bottom w:val="nil" w:sz="6" w:color="000000"/>
              <w:left w:val="nil"/>
              <w:right w:val="nil"/>
              <w:insideH w:val="nil"/>
              <w:insideV w:val="nil"/>
            </w:tcBorders>
          </w:tcPr>
          <w:p>
            <w:pPr>
              <w:spacing w:after="0" w:line="240" w:lineRule="auto"/>
            </w:pPr>
            <w:r/>
            <w:r>
              <w:rPr>
                <w:b w:val="0"/>
                <w:sz w:val="16"/>
              </w:rPr>
              <w:t>Change in MASI (×1000), 3 months</w:t>
            </w:r>
          </w:p>
        </w:tc>
        <w:tc>
          <w:tcPr>
            <w:tcW w:type="dxa" w:w="2880"/>
            <w:tcBorders>
              <w:top w:val="nil" w:sz="6" w:color="000000"/>
              <w:bottom w:val="nil" w:sz="6" w:color="000000"/>
              <w:left w:val="nil"/>
              <w:right w:val="nil"/>
              <w:insideH w:val="nil"/>
              <w:insideV w:val="nil"/>
            </w:tcBorders>
          </w:tcPr>
          <w:p>
            <w:pPr>
              <w:spacing w:after="0" w:line="240" w:lineRule="auto"/>
            </w:pPr>
            <w:r/>
            <w:r>
              <w:rPr>
                <w:b w:val="0"/>
                <w:sz w:val="16"/>
              </w:rPr>
              <w:t>+5.3 (+3.8 to +6.5), 462</w:t>
            </w:r>
          </w:p>
        </w:tc>
        <w:tc>
          <w:tcPr>
            <w:tcW w:type="dxa" w:w="2880"/>
            <w:tcBorders>
              <w:top w:val="nil" w:sz="6" w:color="000000"/>
              <w:bottom w:val="nil" w:sz="6" w:color="000000"/>
              <w:left w:val="nil"/>
              <w:right w:val="nil"/>
              <w:insideH w:val="nil"/>
              <w:insideV w:val="nil"/>
            </w:tcBorders>
          </w:tcPr>
          <w:p>
            <w:pPr>
              <w:spacing w:after="0" w:line="240" w:lineRule="auto"/>
            </w:pPr>
            <w:r/>
            <w:r>
              <w:rPr>
                <w:b w:val="0"/>
                <w:sz w:val="16"/>
              </w:rPr>
              <w:t>+4.5 (−1.6 to +9.0), 42</w:t>
            </w:r>
          </w:p>
        </w:tc>
      </w:tr>
      <w:tr>
        <w:tc>
          <w:tcPr>
            <w:tcW w:type="dxa" w:w="4608"/>
            <w:tcBorders>
              <w:top w:val="nil" w:sz="6" w:color="000000"/>
              <w:bottom w:val="nil" w:sz="6" w:color="000000"/>
              <w:left w:val="nil"/>
              <w:right w:val="nil"/>
              <w:insideH w:val="nil"/>
              <w:insideV w:val="nil"/>
            </w:tcBorders>
          </w:tcPr>
          <w:p>
            <w:pPr>
              <w:spacing w:after="0" w:line="240" w:lineRule="auto"/>
            </w:pPr>
            <w:r/>
            <w:r>
              <w:rPr>
                <w:b w:val="0"/>
                <w:sz w:val="16"/>
              </w:rPr>
              <w:t>Change in MASI (×1000), 12 months</w:t>
            </w:r>
          </w:p>
        </w:tc>
        <w:tc>
          <w:tcPr>
            <w:tcW w:type="dxa" w:w="2880"/>
            <w:tcBorders>
              <w:top w:val="nil" w:sz="6" w:color="000000"/>
              <w:bottom w:val="nil" w:sz="6" w:color="000000"/>
              <w:left w:val="nil"/>
              <w:right w:val="nil"/>
              <w:insideH w:val="nil"/>
              <w:insideV w:val="nil"/>
            </w:tcBorders>
          </w:tcPr>
          <w:p>
            <w:pPr>
              <w:spacing w:after="0" w:line="240" w:lineRule="auto"/>
            </w:pPr>
            <w:r/>
            <w:r>
              <w:rPr>
                <w:b w:val="0"/>
                <w:sz w:val="16"/>
              </w:rPr>
              <w:t>+1.0 (−1.3 to +2.7), 198</w:t>
            </w:r>
          </w:p>
        </w:tc>
        <w:tc>
          <w:tcPr>
            <w:tcW w:type="dxa" w:w="2880"/>
            <w:tcBorders>
              <w:top w:val="nil" w:sz="6" w:color="000000"/>
              <w:bottom w:val="nil" w:sz="6" w:color="000000"/>
              <w:left w:val="nil"/>
              <w:right w:val="nil"/>
              <w:insideH w:val="nil"/>
              <w:insideV w:val="nil"/>
            </w:tcBorders>
          </w:tcPr>
          <w:p>
            <w:pPr>
              <w:spacing w:after="0" w:line="240" w:lineRule="auto"/>
            </w:pPr>
            <w:r/>
            <w:r>
              <w:rPr>
                <w:b w:val="0"/>
                <w:sz w:val="16"/>
              </w:rPr>
              <w:t>+0.6 (−9.0 to +7.9), 26</w:t>
            </w:r>
          </w:p>
        </w:tc>
      </w:tr>
      <w:tr>
        <w:tc>
          <w:tcPr>
            <w:tcW w:type="dxa" w:w="4608"/>
            <w:tcBorders>
              <w:top w:val="nil" w:sz="6" w:color="000000"/>
              <w:bottom w:val="nil" w:sz="6" w:color="000000"/>
              <w:left w:val="nil"/>
              <w:right w:val="nil"/>
              <w:insideH w:val="nil"/>
              <w:insideV w:val="nil"/>
            </w:tcBorders>
          </w:tcPr>
          <w:p>
            <w:pPr>
              <w:spacing w:after="0" w:line="240" w:lineRule="auto"/>
            </w:pPr>
            <w:r/>
            <w:r>
              <w:rPr>
                <w:b w:val="0"/>
                <w:sz w:val="16"/>
              </w:rPr>
              <w:t>Change in corneal Z(4,0) at 6 mm, µm, Day 1</w:t>
            </w:r>
          </w:p>
        </w:tc>
        <w:tc>
          <w:tcPr>
            <w:tcW w:type="dxa" w:w="2880"/>
            <w:tcBorders>
              <w:top w:val="nil" w:sz="6" w:color="000000"/>
              <w:bottom w:val="nil" w:sz="6" w:color="000000"/>
              <w:left w:val="nil"/>
              <w:right w:val="nil"/>
              <w:insideH w:val="nil"/>
              <w:insideV w:val="nil"/>
            </w:tcBorders>
          </w:tcPr>
          <w:p>
            <w:pPr>
              <w:spacing w:after="0" w:line="240" w:lineRule="auto"/>
            </w:pPr>
            <w:r/>
            <w:r>
              <w:rPr>
                <w:b w:val="0"/>
                <w:sz w:val="16"/>
              </w:rPr>
              <w:t>−0.14 (−0.15 to −0.12), 1157</w:t>
            </w:r>
          </w:p>
        </w:tc>
        <w:tc>
          <w:tcPr>
            <w:tcW w:type="dxa" w:w="2880"/>
            <w:tcBorders>
              <w:top w:val="nil" w:sz="6" w:color="000000"/>
              <w:bottom w:val="nil" w:sz="6" w:color="000000"/>
              <w:left w:val="nil"/>
              <w:right w:val="nil"/>
              <w:insideH w:val="nil"/>
              <w:insideV w:val="nil"/>
            </w:tcBorders>
          </w:tcPr>
          <w:p>
            <w:pPr>
              <w:spacing w:after="0" w:line="240" w:lineRule="auto"/>
            </w:pPr>
            <w:r/>
            <w:r>
              <w:rPr>
                <w:b w:val="0"/>
                <w:sz w:val="16"/>
              </w:rPr>
              <w:t>−0.14 (−0.21 to −0.06), 95</w:t>
            </w:r>
          </w:p>
        </w:tc>
      </w:tr>
      <w:tr>
        <w:tc>
          <w:tcPr>
            <w:tcW w:type="dxa" w:w="4608"/>
            <w:tcBorders>
              <w:top w:val="nil" w:sz="6" w:color="000000"/>
              <w:bottom w:val="nil" w:sz="6" w:color="000000"/>
              <w:left w:val="nil"/>
              <w:right w:val="nil"/>
              <w:insideH w:val="nil"/>
              <w:insideV w:val="nil"/>
            </w:tcBorders>
          </w:tcPr>
          <w:p>
            <w:pPr>
              <w:spacing w:after="0" w:line="240" w:lineRule="auto"/>
            </w:pPr>
            <w:r/>
            <w:r>
              <w:rPr>
                <w:b w:val="0"/>
                <w:sz w:val="16"/>
              </w:rPr>
              <w:t>Change in corneal HOA RMS at 6 mm, µm, Day 1</w:t>
            </w:r>
          </w:p>
        </w:tc>
        <w:tc>
          <w:tcPr>
            <w:tcW w:type="dxa" w:w="2880"/>
            <w:tcBorders>
              <w:top w:val="nil" w:sz="6" w:color="000000"/>
              <w:bottom w:val="nil" w:sz="6" w:color="000000"/>
              <w:left w:val="nil"/>
              <w:right w:val="nil"/>
              <w:insideH w:val="nil"/>
              <w:insideV w:val="nil"/>
            </w:tcBorders>
          </w:tcPr>
          <w:p>
            <w:pPr>
              <w:spacing w:after="0" w:line="240" w:lineRule="auto"/>
            </w:pPr>
            <w:r/>
            <w:r>
              <w:rPr>
                <w:b w:val="0"/>
                <w:sz w:val="16"/>
              </w:rPr>
              <w:t>+0.16 (+0.14 to +0.19), 1157</w:t>
            </w:r>
          </w:p>
        </w:tc>
        <w:tc>
          <w:tcPr>
            <w:tcW w:type="dxa" w:w="2880"/>
            <w:tcBorders>
              <w:top w:val="nil" w:sz="6" w:color="000000"/>
              <w:bottom w:val="nil" w:sz="6" w:color="000000"/>
              <w:left w:val="nil"/>
              <w:right w:val="nil"/>
              <w:insideH w:val="nil"/>
              <w:insideV w:val="nil"/>
            </w:tcBorders>
          </w:tcPr>
          <w:p>
            <w:pPr>
              <w:spacing w:after="0" w:line="240" w:lineRule="auto"/>
            </w:pPr>
            <w:r/>
            <w:r>
              <w:rPr>
                <w:b w:val="0"/>
                <w:sz w:val="16"/>
              </w:rPr>
              <w:t>+0.28 (+0.19 to +0.37), 95</w:t>
            </w:r>
          </w:p>
        </w:tc>
      </w:tr>
      <w:tr>
        <w:tc>
          <w:tcPr>
            <w:tcW w:type="dxa" w:w="4608"/>
            <w:tcBorders>
              <w:top w:val="nil" w:sz="6" w:color="000000"/>
              <w:bottom w:val="nil" w:sz="6" w:color="000000"/>
              <w:left w:val="nil"/>
              <w:right w:val="nil"/>
              <w:insideH w:val="nil"/>
              <w:insideV w:val="nil"/>
            </w:tcBorders>
          </w:tcPr>
          <w:p>
            <w:pPr>
              <w:spacing w:after="0" w:line="240" w:lineRule="auto"/>
            </w:pPr>
            <w:r/>
            <w:r>
              <w:rPr>
                <w:b w:val="0"/>
                <w:sz w:val="16"/>
              </w:rPr>
              <w:t>Change in corneal coma RMS at 6 mm, µm, Day 1</w:t>
            </w:r>
          </w:p>
        </w:tc>
        <w:tc>
          <w:tcPr>
            <w:tcW w:type="dxa" w:w="2880"/>
            <w:tcBorders>
              <w:top w:val="nil" w:sz="6" w:color="000000"/>
              <w:bottom w:val="nil" w:sz="6" w:color="000000"/>
              <w:left w:val="nil"/>
              <w:right w:val="nil"/>
              <w:insideH w:val="nil"/>
              <w:insideV w:val="nil"/>
            </w:tcBorders>
          </w:tcPr>
          <w:p>
            <w:pPr>
              <w:spacing w:after="0" w:line="240" w:lineRule="auto"/>
            </w:pPr>
            <w:r/>
            <w:r>
              <w:rPr>
                <w:b w:val="0"/>
                <w:sz w:val="16"/>
              </w:rPr>
              <w:t>+0.15 (+0.14 to +0.17), 1157</w:t>
            </w:r>
          </w:p>
        </w:tc>
        <w:tc>
          <w:tcPr>
            <w:tcW w:type="dxa" w:w="2880"/>
            <w:tcBorders>
              <w:top w:val="nil" w:sz="6" w:color="000000"/>
              <w:bottom w:val="nil" w:sz="6" w:color="000000"/>
              <w:left w:val="nil"/>
              <w:right w:val="nil"/>
              <w:insideH w:val="nil"/>
              <w:insideV w:val="nil"/>
            </w:tcBorders>
          </w:tcPr>
          <w:p>
            <w:pPr>
              <w:spacing w:after="0" w:line="240" w:lineRule="auto"/>
            </w:pPr>
            <w:r/>
            <w:r>
              <w:rPr>
                <w:b w:val="0"/>
                <w:sz w:val="16"/>
              </w:rPr>
              <w:t>+0.21 (+0.14 to +0.29), 95</w:t>
            </w:r>
          </w:p>
        </w:tc>
      </w:tr>
      <w:tr>
        <w:tc>
          <w:tcPr>
            <w:tcW w:type="dxa" w:w="4608"/>
            <w:tcBorders>
              <w:top w:val="nil" w:sz="6" w:color="000000"/>
              <w:bottom w:val="nil" w:sz="6" w:color="000000"/>
              <w:left w:val="nil"/>
              <w:right w:val="nil"/>
              <w:insideH w:val="nil"/>
              <w:insideV w:val="nil"/>
            </w:tcBorders>
          </w:tcPr>
          <w:p>
            <w:pPr>
              <w:spacing w:after="0" w:line="240" w:lineRule="auto"/>
            </w:pPr>
            <w:r/>
            <w:r>
              <w:rPr>
                <w:b w:val="0"/>
                <w:sz w:val="16"/>
              </w:rPr>
              <w:t>Change in corneal Z(4,0) at 6 mm, µm, 1 week</w:t>
            </w:r>
          </w:p>
        </w:tc>
        <w:tc>
          <w:tcPr>
            <w:tcW w:type="dxa" w:w="2880"/>
            <w:tcBorders>
              <w:top w:val="nil" w:sz="6" w:color="000000"/>
              <w:bottom w:val="nil" w:sz="6" w:color="000000"/>
              <w:left w:val="nil"/>
              <w:right w:val="nil"/>
              <w:insideH w:val="nil"/>
              <w:insideV w:val="nil"/>
            </w:tcBorders>
          </w:tcPr>
          <w:p>
            <w:pPr>
              <w:spacing w:after="0" w:line="240" w:lineRule="auto"/>
            </w:pPr>
            <w:r/>
            <w:r>
              <w:rPr>
                <w:b w:val="0"/>
                <w:sz w:val="16"/>
              </w:rPr>
              <w:t>−0.07 (−0.09 to −0.05), 844</w:t>
            </w:r>
          </w:p>
        </w:tc>
        <w:tc>
          <w:tcPr>
            <w:tcW w:type="dxa" w:w="2880"/>
            <w:tcBorders>
              <w:top w:val="nil" w:sz="6" w:color="000000"/>
              <w:bottom w:val="nil" w:sz="6" w:color="000000"/>
              <w:left w:val="nil"/>
              <w:right w:val="nil"/>
              <w:insideH w:val="nil"/>
              <w:insideV w:val="nil"/>
            </w:tcBorders>
          </w:tcPr>
          <w:p>
            <w:pPr>
              <w:spacing w:after="0" w:line="240" w:lineRule="auto"/>
            </w:pPr>
            <w:r/>
            <w:r>
              <w:rPr>
                <w:b w:val="0"/>
                <w:sz w:val="16"/>
              </w:rPr>
              <w:t>−0.06 (−0.15 to +0.03), 64</w:t>
            </w:r>
          </w:p>
        </w:tc>
      </w:tr>
      <w:tr>
        <w:tc>
          <w:tcPr>
            <w:tcW w:type="dxa" w:w="4608"/>
            <w:tcBorders>
              <w:top w:val="nil" w:sz="6" w:color="000000"/>
              <w:bottom w:val="nil" w:sz="6" w:color="000000"/>
              <w:left w:val="nil"/>
              <w:right w:val="nil"/>
              <w:insideH w:val="nil"/>
              <w:insideV w:val="nil"/>
            </w:tcBorders>
          </w:tcPr>
          <w:p>
            <w:pPr>
              <w:spacing w:after="0" w:line="240" w:lineRule="auto"/>
            </w:pPr>
            <w:r/>
            <w:r>
              <w:rPr>
                <w:b w:val="0"/>
                <w:sz w:val="16"/>
              </w:rPr>
              <w:t>Change in corneal HOA RMS at 6 mm, µm, 1 week</w:t>
            </w:r>
          </w:p>
        </w:tc>
        <w:tc>
          <w:tcPr>
            <w:tcW w:type="dxa" w:w="2880"/>
            <w:tcBorders>
              <w:top w:val="nil" w:sz="6" w:color="000000"/>
              <w:bottom w:val="nil" w:sz="6" w:color="000000"/>
              <w:left w:val="nil"/>
              <w:right w:val="nil"/>
              <w:insideH w:val="nil"/>
              <w:insideV w:val="nil"/>
            </w:tcBorders>
          </w:tcPr>
          <w:p>
            <w:pPr>
              <w:spacing w:after="0" w:line="240" w:lineRule="auto"/>
            </w:pPr>
            <w:r/>
            <w:r>
              <w:rPr>
                <w:b w:val="0"/>
                <w:sz w:val="16"/>
              </w:rPr>
              <w:t>+0.16 (+0.13 to +0.18), 844</w:t>
            </w:r>
          </w:p>
        </w:tc>
        <w:tc>
          <w:tcPr>
            <w:tcW w:type="dxa" w:w="2880"/>
            <w:tcBorders>
              <w:top w:val="nil" w:sz="6" w:color="000000"/>
              <w:bottom w:val="nil" w:sz="6" w:color="000000"/>
              <w:left w:val="nil"/>
              <w:right w:val="nil"/>
              <w:insideH w:val="nil"/>
              <w:insideV w:val="nil"/>
            </w:tcBorders>
          </w:tcPr>
          <w:p>
            <w:pPr>
              <w:spacing w:after="0" w:line="240" w:lineRule="auto"/>
            </w:pPr>
            <w:r/>
            <w:r>
              <w:rPr>
                <w:b w:val="0"/>
                <w:sz w:val="16"/>
              </w:rPr>
              <w:t>+0.27 (+0.16 to +0.38), 64</w:t>
            </w:r>
          </w:p>
        </w:tc>
      </w:tr>
      <w:tr>
        <w:tc>
          <w:tcPr>
            <w:tcW w:type="dxa" w:w="4608"/>
            <w:tcBorders>
              <w:top w:val="nil" w:sz="6" w:color="000000"/>
              <w:bottom w:val="nil" w:sz="6" w:color="000000"/>
              <w:left w:val="nil"/>
              <w:right w:val="nil"/>
              <w:insideH w:val="nil"/>
              <w:insideV w:val="nil"/>
            </w:tcBorders>
          </w:tcPr>
          <w:p>
            <w:pPr>
              <w:spacing w:after="0" w:line="240" w:lineRule="auto"/>
            </w:pPr>
            <w:r/>
            <w:r>
              <w:rPr>
                <w:b w:val="0"/>
                <w:sz w:val="16"/>
              </w:rPr>
              <w:t>Change in corneal coma RMS at 6 mm, µm, 1 week</w:t>
            </w:r>
          </w:p>
        </w:tc>
        <w:tc>
          <w:tcPr>
            <w:tcW w:type="dxa" w:w="2880"/>
            <w:tcBorders>
              <w:top w:val="nil" w:sz="6" w:color="000000"/>
              <w:bottom w:val="nil" w:sz="6" w:color="000000"/>
              <w:left w:val="nil"/>
              <w:right w:val="nil"/>
              <w:insideH w:val="nil"/>
              <w:insideV w:val="nil"/>
            </w:tcBorders>
          </w:tcPr>
          <w:p>
            <w:pPr>
              <w:spacing w:after="0" w:line="240" w:lineRule="auto"/>
            </w:pPr>
            <w:r/>
            <w:r>
              <w:rPr>
                <w:b w:val="0"/>
                <w:sz w:val="16"/>
              </w:rPr>
              <w:t>+0.15 (+0.13 to +0.17), 844</w:t>
            </w:r>
          </w:p>
        </w:tc>
        <w:tc>
          <w:tcPr>
            <w:tcW w:type="dxa" w:w="2880"/>
            <w:tcBorders>
              <w:top w:val="nil" w:sz="6" w:color="000000"/>
              <w:bottom w:val="nil" w:sz="6" w:color="000000"/>
              <w:left w:val="nil"/>
              <w:right w:val="nil"/>
              <w:insideH w:val="nil"/>
              <w:insideV w:val="nil"/>
            </w:tcBorders>
          </w:tcPr>
          <w:p>
            <w:pPr>
              <w:spacing w:after="0" w:line="240" w:lineRule="auto"/>
            </w:pPr>
            <w:r/>
            <w:r>
              <w:rPr>
                <w:b w:val="0"/>
                <w:sz w:val="16"/>
              </w:rPr>
              <w:t>+0.21 (+0.12 to +0.29), 64</w:t>
            </w:r>
          </w:p>
        </w:tc>
      </w:tr>
      <w:tr>
        <w:tc>
          <w:tcPr>
            <w:tcW w:type="dxa" w:w="4608"/>
            <w:tcBorders>
              <w:top w:val="nil" w:sz="6" w:color="000000"/>
              <w:bottom w:val="nil" w:sz="6" w:color="000000"/>
              <w:left w:val="nil"/>
              <w:right w:val="nil"/>
              <w:insideH w:val="nil"/>
              <w:insideV w:val="nil"/>
            </w:tcBorders>
          </w:tcPr>
          <w:p>
            <w:pPr>
              <w:spacing w:after="0" w:line="240" w:lineRule="auto"/>
            </w:pPr>
            <w:r/>
            <w:r>
              <w:rPr>
                <w:b w:val="0"/>
                <w:sz w:val="16"/>
              </w:rPr>
              <w:t>Change in corneal Z(4,0) at 6 mm, µm, 1 month</w:t>
            </w:r>
          </w:p>
        </w:tc>
        <w:tc>
          <w:tcPr>
            <w:tcW w:type="dxa" w:w="2880"/>
            <w:tcBorders>
              <w:top w:val="nil" w:sz="6" w:color="000000"/>
              <w:bottom w:val="nil" w:sz="6" w:color="000000"/>
              <w:left w:val="nil"/>
              <w:right w:val="nil"/>
              <w:insideH w:val="nil"/>
              <w:insideV w:val="nil"/>
            </w:tcBorders>
          </w:tcPr>
          <w:p>
            <w:pPr>
              <w:spacing w:after="0" w:line="240" w:lineRule="auto"/>
            </w:pPr>
            <w:r/>
            <w:r>
              <w:rPr>
                <w:b w:val="0"/>
                <w:sz w:val="16"/>
              </w:rPr>
              <w:t>−0.06 (−0.08 to −0.04), 811</w:t>
            </w:r>
          </w:p>
        </w:tc>
        <w:tc>
          <w:tcPr>
            <w:tcW w:type="dxa" w:w="2880"/>
            <w:tcBorders>
              <w:top w:val="nil" w:sz="6" w:color="000000"/>
              <w:bottom w:val="nil" w:sz="6" w:color="000000"/>
              <w:left w:val="nil"/>
              <w:right w:val="nil"/>
              <w:insideH w:val="nil"/>
              <w:insideV w:val="nil"/>
            </w:tcBorders>
          </w:tcPr>
          <w:p>
            <w:pPr>
              <w:spacing w:after="0" w:line="240" w:lineRule="auto"/>
            </w:pPr>
            <w:r/>
            <w:r>
              <w:rPr>
                <w:b w:val="0"/>
                <w:sz w:val="16"/>
              </w:rPr>
              <w:t>+0.01 (−0.07 to +0.09), 72</w:t>
            </w:r>
          </w:p>
        </w:tc>
      </w:tr>
      <w:tr>
        <w:tc>
          <w:tcPr>
            <w:tcW w:type="dxa" w:w="4608"/>
            <w:tcBorders>
              <w:top w:val="nil" w:sz="6" w:color="000000"/>
              <w:bottom w:val="nil" w:sz="6" w:color="000000"/>
              <w:left w:val="nil"/>
              <w:right w:val="nil"/>
              <w:insideH w:val="nil"/>
              <w:insideV w:val="nil"/>
            </w:tcBorders>
          </w:tcPr>
          <w:p>
            <w:pPr>
              <w:spacing w:after="0" w:line="240" w:lineRule="auto"/>
            </w:pPr>
            <w:r/>
            <w:r>
              <w:rPr>
                <w:b w:val="0"/>
                <w:sz w:val="16"/>
              </w:rPr>
              <w:t>Change in corneal HOA RMS at 6 mm, µm, 1 month</w:t>
            </w:r>
          </w:p>
        </w:tc>
        <w:tc>
          <w:tcPr>
            <w:tcW w:type="dxa" w:w="2880"/>
            <w:tcBorders>
              <w:top w:val="nil" w:sz="6" w:color="000000"/>
              <w:bottom w:val="nil" w:sz="6" w:color="000000"/>
              <w:left w:val="nil"/>
              <w:right w:val="nil"/>
              <w:insideH w:val="nil"/>
              <w:insideV w:val="nil"/>
            </w:tcBorders>
          </w:tcPr>
          <w:p>
            <w:pPr>
              <w:spacing w:after="0" w:line="240" w:lineRule="auto"/>
            </w:pPr>
            <w:r/>
            <w:r>
              <w:rPr>
                <w:b w:val="0"/>
                <w:sz w:val="16"/>
              </w:rPr>
              <w:t>+0.16 (+0.14 to +0.18), 811</w:t>
            </w:r>
          </w:p>
        </w:tc>
        <w:tc>
          <w:tcPr>
            <w:tcW w:type="dxa" w:w="2880"/>
            <w:tcBorders>
              <w:top w:val="nil" w:sz="6" w:color="000000"/>
              <w:bottom w:val="nil" w:sz="6" w:color="000000"/>
              <w:left w:val="nil"/>
              <w:right w:val="nil"/>
              <w:insideH w:val="nil"/>
              <w:insideV w:val="nil"/>
            </w:tcBorders>
          </w:tcPr>
          <w:p>
            <w:pPr>
              <w:spacing w:after="0" w:line="240" w:lineRule="auto"/>
            </w:pPr>
            <w:r/>
            <w:r>
              <w:rPr>
                <w:b w:val="0"/>
                <w:sz w:val="16"/>
              </w:rPr>
              <w:t>+0.27 (+0.19 to +0.37), 72</w:t>
            </w:r>
          </w:p>
        </w:tc>
      </w:tr>
      <w:tr>
        <w:tc>
          <w:tcPr>
            <w:tcW w:type="dxa" w:w="4608"/>
            <w:tcBorders>
              <w:top w:val="nil" w:sz="6" w:color="000000"/>
              <w:bottom w:val="nil" w:sz="6" w:color="000000"/>
              <w:left w:val="nil"/>
              <w:right w:val="nil"/>
              <w:insideH w:val="nil"/>
              <w:insideV w:val="nil"/>
            </w:tcBorders>
          </w:tcPr>
          <w:p>
            <w:pPr>
              <w:spacing w:after="0" w:line="240" w:lineRule="auto"/>
            </w:pPr>
            <w:r/>
            <w:r>
              <w:rPr>
                <w:b w:val="0"/>
                <w:sz w:val="16"/>
              </w:rPr>
              <w:t>Change in corneal coma RMS at 6 mm, µm, 1 month</w:t>
            </w:r>
          </w:p>
        </w:tc>
        <w:tc>
          <w:tcPr>
            <w:tcW w:type="dxa" w:w="2880"/>
            <w:tcBorders>
              <w:top w:val="nil" w:sz="6" w:color="000000"/>
              <w:bottom w:val="nil" w:sz="6" w:color="000000"/>
              <w:left w:val="nil"/>
              <w:right w:val="nil"/>
              <w:insideH w:val="nil"/>
              <w:insideV w:val="nil"/>
            </w:tcBorders>
          </w:tcPr>
          <w:p>
            <w:pPr>
              <w:spacing w:after="0" w:line="240" w:lineRule="auto"/>
            </w:pPr>
            <w:r/>
            <w:r>
              <w:rPr>
                <w:b w:val="0"/>
                <w:sz w:val="16"/>
              </w:rPr>
              <w:t>+0.16 (+0.14 to +0.18), 811</w:t>
            </w:r>
          </w:p>
        </w:tc>
        <w:tc>
          <w:tcPr>
            <w:tcW w:type="dxa" w:w="2880"/>
            <w:tcBorders>
              <w:top w:val="nil" w:sz="6" w:color="000000"/>
              <w:bottom w:val="nil" w:sz="6" w:color="000000"/>
              <w:left w:val="nil"/>
              <w:right w:val="nil"/>
              <w:insideH w:val="nil"/>
              <w:insideV w:val="nil"/>
            </w:tcBorders>
          </w:tcPr>
          <w:p>
            <w:pPr>
              <w:spacing w:after="0" w:line="240" w:lineRule="auto"/>
            </w:pPr>
            <w:r/>
            <w:r>
              <w:rPr>
                <w:b w:val="0"/>
                <w:sz w:val="16"/>
              </w:rPr>
              <w:t>+0.21 (+0.12 to +0.30), 72</w:t>
            </w:r>
          </w:p>
        </w:tc>
      </w:tr>
      <w:tr>
        <w:tc>
          <w:tcPr>
            <w:tcW w:type="dxa" w:w="4608"/>
            <w:tcBorders>
              <w:top w:val="nil" w:sz="6" w:color="000000"/>
              <w:bottom w:val="nil" w:sz="6" w:color="000000"/>
              <w:left w:val="nil"/>
              <w:right w:val="nil"/>
              <w:insideH w:val="nil"/>
              <w:insideV w:val="nil"/>
            </w:tcBorders>
          </w:tcPr>
          <w:p>
            <w:pPr>
              <w:spacing w:after="0" w:line="240" w:lineRule="auto"/>
            </w:pPr>
            <w:r/>
            <w:r>
              <w:rPr>
                <w:b w:val="0"/>
                <w:sz w:val="16"/>
              </w:rPr>
              <w:t>Change in corneal Z(4,0) at 6 mm, µm, 3 months</w:t>
            </w:r>
          </w:p>
        </w:tc>
        <w:tc>
          <w:tcPr>
            <w:tcW w:type="dxa" w:w="2880"/>
            <w:tcBorders>
              <w:top w:val="nil" w:sz="6" w:color="000000"/>
              <w:bottom w:val="nil" w:sz="6" w:color="000000"/>
              <w:left w:val="nil"/>
              <w:right w:val="nil"/>
              <w:insideH w:val="nil"/>
              <w:insideV w:val="nil"/>
            </w:tcBorders>
          </w:tcPr>
          <w:p>
            <w:pPr>
              <w:spacing w:after="0" w:line="240" w:lineRule="auto"/>
            </w:pPr>
            <w:r/>
            <w:r>
              <w:rPr>
                <w:b w:val="0"/>
                <w:sz w:val="16"/>
              </w:rPr>
              <w:t>−0.05 (−0.08 to −0.02), 290</w:t>
            </w:r>
          </w:p>
        </w:tc>
        <w:tc>
          <w:tcPr>
            <w:tcW w:type="dxa" w:w="2880"/>
            <w:tcBorders>
              <w:top w:val="nil" w:sz="6" w:color="000000"/>
              <w:bottom w:val="nil" w:sz="6" w:color="000000"/>
              <w:left w:val="nil"/>
              <w:right w:val="nil"/>
              <w:insideH w:val="nil"/>
              <w:insideV w:val="nil"/>
            </w:tcBorders>
          </w:tcPr>
          <w:p>
            <w:pPr>
              <w:spacing w:after="0" w:line="240" w:lineRule="auto"/>
            </w:pPr>
            <w:r/>
            <w:r>
              <w:rPr>
                <w:b w:val="0"/>
                <w:sz w:val="16"/>
              </w:rPr>
              <w:t>−0.12 (−0.24 to −0.01), 27</w:t>
            </w:r>
          </w:p>
        </w:tc>
      </w:tr>
      <w:tr>
        <w:tc>
          <w:tcPr>
            <w:tcW w:type="dxa" w:w="4608"/>
            <w:tcBorders>
              <w:top w:val="nil" w:sz="6" w:color="000000"/>
              <w:bottom w:val="nil" w:sz="6" w:color="000000"/>
              <w:left w:val="nil"/>
              <w:right w:val="nil"/>
              <w:insideH w:val="nil"/>
              <w:insideV w:val="nil"/>
            </w:tcBorders>
          </w:tcPr>
          <w:p>
            <w:pPr>
              <w:spacing w:after="0" w:line="240" w:lineRule="auto"/>
            </w:pPr>
            <w:r/>
            <w:r>
              <w:rPr>
                <w:b w:val="0"/>
                <w:sz w:val="16"/>
              </w:rPr>
              <w:t>Change in corneal HOA RMS at 6 mm, µm, 3 months</w:t>
            </w:r>
          </w:p>
        </w:tc>
        <w:tc>
          <w:tcPr>
            <w:tcW w:type="dxa" w:w="2880"/>
            <w:tcBorders>
              <w:top w:val="nil" w:sz="6" w:color="000000"/>
              <w:bottom w:val="nil" w:sz="6" w:color="000000"/>
              <w:left w:val="nil"/>
              <w:right w:val="nil"/>
              <w:insideH w:val="nil"/>
              <w:insideV w:val="nil"/>
            </w:tcBorders>
          </w:tcPr>
          <w:p>
            <w:pPr>
              <w:spacing w:after="0" w:line="240" w:lineRule="auto"/>
            </w:pPr>
            <w:r/>
            <w:r>
              <w:rPr>
                <w:b w:val="0"/>
                <w:sz w:val="16"/>
              </w:rPr>
              <w:t>+0.14 (+0.09 to +0.18), 290</w:t>
            </w:r>
          </w:p>
        </w:tc>
        <w:tc>
          <w:tcPr>
            <w:tcW w:type="dxa" w:w="2880"/>
            <w:tcBorders>
              <w:top w:val="nil" w:sz="6" w:color="000000"/>
              <w:bottom w:val="nil" w:sz="6" w:color="000000"/>
              <w:left w:val="nil"/>
              <w:right w:val="nil"/>
              <w:insideH w:val="nil"/>
              <w:insideV w:val="nil"/>
            </w:tcBorders>
          </w:tcPr>
          <w:p>
            <w:pPr>
              <w:spacing w:after="0" w:line="240" w:lineRule="auto"/>
            </w:pPr>
            <w:r/>
            <w:r>
              <w:rPr>
                <w:b w:val="0"/>
                <w:sz w:val="16"/>
              </w:rPr>
              <w:t>+0.21 (+0.08 to +0.36), 27</w:t>
            </w:r>
          </w:p>
        </w:tc>
      </w:tr>
      <w:tr>
        <w:tc>
          <w:tcPr>
            <w:tcW w:type="dxa" w:w="4608"/>
            <w:tcBorders>
              <w:top w:val="nil" w:sz="6" w:color="000000"/>
              <w:bottom w:val="nil" w:sz="6" w:color="000000"/>
              <w:left w:val="nil"/>
              <w:right w:val="nil"/>
              <w:insideH w:val="nil"/>
              <w:insideV w:val="nil"/>
            </w:tcBorders>
          </w:tcPr>
          <w:p>
            <w:pPr>
              <w:spacing w:after="0" w:line="240" w:lineRule="auto"/>
            </w:pPr>
            <w:r/>
            <w:r>
              <w:rPr>
                <w:b w:val="0"/>
                <w:sz w:val="16"/>
              </w:rPr>
              <w:t>Change in corneal coma RMS at 6 mm, µm, 3 months</w:t>
            </w:r>
          </w:p>
        </w:tc>
        <w:tc>
          <w:tcPr>
            <w:tcW w:type="dxa" w:w="2880"/>
            <w:tcBorders>
              <w:top w:val="nil" w:sz="6" w:color="000000"/>
              <w:bottom w:val="nil" w:sz="6" w:color="000000"/>
              <w:left w:val="nil"/>
              <w:right w:val="nil"/>
              <w:insideH w:val="nil"/>
              <w:insideV w:val="nil"/>
            </w:tcBorders>
          </w:tcPr>
          <w:p>
            <w:pPr>
              <w:spacing w:after="0" w:line="240" w:lineRule="auto"/>
            </w:pPr>
            <w:r/>
            <w:r>
              <w:rPr>
                <w:b w:val="0"/>
                <w:sz w:val="16"/>
              </w:rPr>
              <w:t>+0.14 (+0.10 to +0.17), 290</w:t>
            </w:r>
          </w:p>
        </w:tc>
        <w:tc>
          <w:tcPr>
            <w:tcW w:type="dxa" w:w="2880"/>
            <w:tcBorders>
              <w:top w:val="nil" w:sz="6" w:color="000000"/>
              <w:bottom w:val="nil" w:sz="6" w:color="000000"/>
              <w:left w:val="nil"/>
              <w:right w:val="nil"/>
              <w:insideH w:val="nil"/>
              <w:insideV w:val="nil"/>
            </w:tcBorders>
          </w:tcPr>
          <w:p>
            <w:pPr>
              <w:spacing w:after="0" w:line="240" w:lineRule="auto"/>
            </w:pPr>
            <w:r/>
            <w:r>
              <w:rPr>
                <w:b w:val="0"/>
                <w:sz w:val="16"/>
              </w:rPr>
              <w:t>+0.18 (+0.06 to +0.32), 27</w:t>
            </w:r>
          </w:p>
        </w:tc>
      </w:tr>
      <w:tr>
        <w:tc>
          <w:tcPr>
            <w:tcW w:type="dxa" w:w="4608"/>
            <w:tcBorders>
              <w:top w:val="nil" w:sz="6" w:color="000000"/>
              <w:bottom w:val="nil" w:sz="6" w:color="000000"/>
              <w:left w:val="nil"/>
              <w:right w:val="nil"/>
              <w:insideH w:val="nil"/>
              <w:insideV w:val="nil"/>
            </w:tcBorders>
          </w:tcPr>
          <w:p>
            <w:pPr>
              <w:spacing w:after="0" w:line="240" w:lineRule="auto"/>
            </w:pPr>
            <w:r/>
            <w:r>
              <w:rPr>
                <w:b w:val="0"/>
                <w:sz w:val="16"/>
              </w:rPr>
              <w:t>Change in ocular Z(4,0) at 6 mm, µm, Day 1</w:t>
            </w:r>
          </w:p>
        </w:tc>
        <w:tc>
          <w:tcPr>
            <w:tcW w:type="dxa" w:w="2880"/>
            <w:tcBorders>
              <w:top w:val="nil" w:sz="6" w:color="000000"/>
              <w:bottom w:val="nil" w:sz="6" w:color="000000"/>
              <w:left w:val="nil"/>
              <w:right w:val="nil"/>
              <w:insideH w:val="nil"/>
              <w:insideV w:val="nil"/>
            </w:tcBorders>
          </w:tcPr>
          <w:p>
            <w:pPr>
              <w:spacing w:after="0" w:line="240" w:lineRule="auto"/>
            </w:pPr>
            <w:r/>
            <w:r>
              <w:rPr>
                <w:b w:val="0"/>
                <w:sz w:val="16"/>
              </w:rPr>
              <w:t>−0.18 (−0.20 to −0.17), 1159</w:t>
            </w:r>
          </w:p>
        </w:tc>
        <w:tc>
          <w:tcPr>
            <w:tcW w:type="dxa" w:w="2880"/>
            <w:tcBorders>
              <w:top w:val="nil" w:sz="6" w:color="000000"/>
              <w:bottom w:val="nil" w:sz="6" w:color="000000"/>
              <w:left w:val="nil"/>
              <w:right w:val="nil"/>
              <w:insideH w:val="nil"/>
              <w:insideV w:val="nil"/>
            </w:tcBorders>
          </w:tcPr>
          <w:p>
            <w:pPr>
              <w:spacing w:after="0" w:line="240" w:lineRule="auto"/>
            </w:pPr>
            <w:r/>
            <w:r>
              <w:rPr>
                <w:b w:val="0"/>
                <w:sz w:val="16"/>
              </w:rPr>
              <w:t>−0.21 (−0.29 to −0.14), 60</w:t>
            </w:r>
          </w:p>
        </w:tc>
      </w:tr>
      <w:tr>
        <w:tc>
          <w:tcPr>
            <w:tcW w:type="dxa" w:w="4608"/>
            <w:tcBorders>
              <w:top w:val="nil" w:sz="6" w:color="000000"/>
              <w:bottom w:val="nil" w:sz="6" w:color="000000"/>
              <w:left w:val="nil"/>
              <w:right w:val="nil"/>
              <w:insideH w:val="nil"/>
              <w:insideV w:val="nil"/>
            </w:tcBorders>
          </w:tcPr>
          <w:p>
            <w:pPr>
              <w:spacing w:after="0" w:line="240" w:lineRule="auto"/>
            </w:pPr>
            <w:r/>
            <w:r>
              <w:rPr>
                <w:b w:val="0"/>
                <w:sz w:val="16"/>
              </w:rPr>
              <w:t>Change in ocular HOA RMS at 6 mm, µm, Day 1</w:t>
            </w:r>
          </w:p>
        </w:tc>
        <w:tc>
          <w:tcPr>
            <w:tcW w:type="dxa" w:w="2880"/>
            <w:tcBorders>
              <w:top w:val="nil" w:sz="6" w:color="000000"/>
              <w:bottom w:val="nil" w:sz="6" w:color="000000"/>
              <w:left w:val="nil"/>
              <w:right w:val="nil"/>
              <w:insideH w:val="nil"/>
              <w:insideV w:val="nil"/>
            </w:tcBorders>
          </w:tcPr>
          <w:p>
            <w:pPr>
              <w:spacing w:after="0" w:line="240" w:lineRule="auto"/>
            </w:pPr>
            <w:r/>
            <w:r>
              <w:rPr>
                <w:b w:val="0"/>
                <w:sz w:val="16"/>
              </w:rPr>
              <w:t>+0.15 (+0.14 to +0.17), 1159</w:t>
            </w:r>
          </w:p>
        </w:tc>
        <w:tc>
          <w:tcPr>
            <w:tcW w:type="dxa" w:w="2880"/>
            <w:tcBorders>
              <w:top w:val="nil" w:sz="6" w:color="000000"/>
              <w:bottom w:val="nil" w:sz="6" w:color="000000"/>
              <w:left w:val="nil"/>
              <w:right w:val="nil"/>
              <w:insideH w:val="nil"/>
              <w:insideV w:val="nil"/>
            </w:tcBorders>
          </w:tcPr>
          <w:p>
            <w:pPr>
              <w:spacing w:after="0" w:line="240" w:lineRule="auto"/>
            </w:pPr>
            <w:r/>
            <w:r>
              <w:rPr>
                <w:b w:val="0"/>
                <w:sz w:val="16"/>
              </w:rPr>
              <w:t>+0.23 (+0.15 to +0.31), 60</w:t>
            </w:r>
          </w:p>
        </w:tc>
      </w:tr>
      <w:tr>
        <w:tc>
          <w:tcPr>
            <w:tcW w:type="dxa" w:w="4608"/>
            <w:tcBorders>
              <w:top w:val="nil" w:sz="6" w:color="000000"/>
              <w:bottom w:val="nil" w:sz="6" w:color="000000"/>
              <w:left w:val="nil"/>
              <w:right w:val="nil"/>
              <w:insideH w:val="nil"/>
              <w:insideV w:val="nil"/>
            </w:tcBorders>
          </w:tcPr>
          <w:p>
            <w:pPr>
              <w:spacing w:after="0" w:line="240" w:lineRule="auto"/>
            </w:pPr>
            <w:r/>
            <w:r>
              <w:rPr>
                <w:b w:val="0"/>
                <w:sz w:val="16"/>
              </w:rPr>
              <w:t>Change in ocular coma RMS at 6 mm, µm, Day 1</w:t>
            </w:r>
          </w:p>
        </w:tc>
        <w:tc>
          <w:tcPr>
            <w:tcW w:type="dxa" w:w="2880"/>
            <w:tcBorders>
              <w:top w:val="nil" w:sz="6" w:color="000000"/>
              <w:bottom w:val="nil" w:sz="6" w:color="000000"/>
              <w:left w:val="nil"/>
              <w:right w:val="nil"/>
              <w:insideH w:val="nil"/>
              <w:insideV w:val="nil"/>
            </w:tcBorders>
          </w:tcPr>
          <w:p>
            <w:pPr>
              <w:spacing w:after="0" w:line="240" w:lineRule="auto"/>
            </w:pPr>
            <w:r/>
            <w:r>
              <w:rPr>
                <w:b w:val="0"/>
                <w:sz w:val="16"/>
              </w:rPr>
              <w:t>+0.10 (+0.09 to +0.11), 1159</w:t>
            </w:r>
          </w:p>
        </w:tc>
        <w:tc>
          <w:tcPr>
            <w:tcW w:type="dxa" w:w="2880"/>
            <w:tcBorders>
              <w:top w:val="nil" w:sz="6" w:color="000000"/>
              <w:bottom w:val="nil" w:sz="6" w:color="000000"/>
              <w:left w:val="nil"/>
              <w:right w:val="nil"/>
              <w:insideH w:val="nil"/>
              <w:insideV w:val="nil"/>
            </w:tcBorders>
          </w:tcPr>
          <w:p>
            <w:pPr>
              <w:spacing w:after="0" w:line="240" w:lineRule="auto"/>
            </w:pPr>
            <w:r/>
            <w:r>
              <w:rPr>
                <w:b w:val="0"/>
                <w:sz w:val="16"/>
              </w:rPr>
              <w:t>+0.14 (+0.09 to +0.19), 60</w:t>
            </w:r>
          </w:p>
        </w:tc>
      </w:tr>
      <w:tr>
        <w:tc>
          <w:tcPr>
            <w:tcW w:type="dxa" w:w="4608"/>
            <w:tcBorders>
              <w:top w:val="nil" w:sz="6" w:color="000000"/>
              <w:bottom w:val="nil" w:sz="6" w:color="000000"/>
              <w:left w:val="nil"/>
              <w:right w:val="nil"/>
              <w:insideH w:val="nil"/>
              <w:insideV w:val="nil"/>
            </w:tcBorders>
          </w:tcPr>
          <w:p>
            <w:pPr>
              <w:spacing w:after="0" w:line="240" w:lineRule="auto"/>
            </w:pPr>
            <w:r/>
            <w:r>
              <w:rPr>
                <w:b w:val="0"/>
                <w:sz w:val="16"/>
              </w:rPr>
              <w:t>Change in ocular Z(4,0) at 6 mm, µm, 1 week</w:t>
            </w:r>
          </w:p>
        </w:tc>
        <w:tc>
          <w:tcPr>
            <w:tcW w:type="dxa" w:w="2880"/>
            <w:tcBorders>
              <w:top w:val="nil" w:sz="6" w:color="000000"/>
              <w:bottom w:val="nil" w:sz="6" w:color="000000"/>
              <w:left w:val="nil"/>
              <w:right w:val="nil"/>
              <w:insideH w:val="nil"/>
              <w:insideV w:val="nil"/>
            </w:tcBorders>
          </w:tcPr>
          <w:p>
            <w:pPr>
              <w:spacing w:after="0" w:line="240" w:lineRule="auto"/>
            </w:pPr>
            <w:r/>
            <w:r>
              <w:rPr>
                <w:b w:val="0"/>
                <w:sz w:val="16"/>
              </w:rPr>
              <w:t>−0.13 (−0.14 to −0.12), 989</w:t>
            </w:r>
          </w:p>
        </w:tc>
        <w:tc>
          <w:tcPr>
            <w:tcW w:type="dxa" w:w="2880"/>
            <w:tcBorders>
              <w:top w:val="nil" w:sz="6" w:color="000000"/>
              <w:bottom w:val="nil" w:sz="6" w:color="000000"/>
              <w:left w:val="nil"/>
              <w:right w:val="nil"/>
              <w:insideH w:val="nil"/>
              <w:insideV w:val="nil"/>
            </w:tcBorders>
          </w:tcPr>
          <w:p>
            <w:pPr>
              <w:spacing w:after="0" w:line="240" w:lineRule="auto"/>
            </w:pPr>
            <w:r/>
            <w:r>
              <w:rPr>
                <w:b w:val="0"/>
                <w:sz w:val="16"/>
              </w:rPr>
              <w:t>−0.09 (−0.14 to −0.03), 54</w:t>
            </w:r>
          </w:p>
        </w:tc>
      </w:tr>
      <w:tr>
        <w:tc>
          <w:tcPr>
            <w:tcW w:type="dxa" w:w="4608"/>
            <w:tcBorders>
              <w:top w:val="nil" w:sz="6" w:color="000000"/>
              <w:bottom w:val="nil" w:sz="6" w:color="000000"/>
              <w:left w:val="nil"/>
              <w:right w:val="nil"/>
              <w:insideH w:val="nil"/>
              <w:insideV w:val="nil"/>
            </w:tcBorders>
          </w:tcPr>
          <w:p>
            <w:pPr>
              <w:spacing w:after="0" w:line="240" w:lineRule="auto"/>
            </w:pPr>
            <w:r/>
            <w:r>
              <w:rPr>
                <w:b w:val="0"/>
                <w:sz w:val="16"/>
              </w:rPr>
              <w:t>Change in ocular HOA RMS at 6 mm, µm, 1 week</w:t>
            </w:r>
          </w:p>
        </w:tc>
        <w:tc>
          <w:tcPr>
            <w:tcW w:type="dxa" w:w="2880"/>
            <w:tcBorders>
              <w:top w:val="nil" w:sz="6" w:color="000000"/>
              <w:bottom w:val="nil" w:sz="6" w:color="000000"/>
              <w:left w:val="nil"/>
              <w:right w:val="nil"/>
              <w:insideH w:val="nil"/>
              <w:insideV w:val="nil"/>
            </w:tcBorders>
          </w:tcPr>
          <w:p>
            <w:pPr>
              <w:spacing w:after="0" w:line="240" w:lineRule="auto"/>
            </w:pPr>
            <w:r/>
            <w:r>
              <w:rPr>
                <w:b w:val="0"/>
                <w:sz w:val="16"/>
              </w:rPr>
              <w:t>+0.14 (+0.12 to +0.16), 989</w:t>
            </w:r>
          </w:p>
        </w:tc>
        <w:tc>
          <w:tcPr>
            <w:tcW w:type="dxa" w:w="2880"/>
            <w:tcBorders>
              <w:top w:val="nil" w:sz="6" w:color="000000"/>
              <w:bottom w:val="nil" w:sz="6" w:color="000000"/>
              <w:left w:val="nil"/>
              <w:right w:val="nil"/>
              <w:insideH w:val="nil"/>
              <w:insideV w:val="nil"/>
            </w:tcBorders>
          </w:tcPr>
          <w:p>
            <w:pPr>
              <w:spacing w:after="0" w:line="240" w:lineRule="auto"/>
            </w:pPr>
            <w:r/>
            <w:r>
              <w:rPr>
                <w:b w:val="0"/>
                <w:sz w:val="16"/>
              </w:rPr>
              <w:t>+0.16 (+0.11 to +0.22), 54</w:t>
            </w:r>
          </w:p>
        </w:tc>
      </w:tr>
      <w:tr>
        <w:tc>
          <w:tcPr>
            <w:tcW w:type="dxa" w:w="4608"/>
            <w:tcBorders>
              <w:top w:val="nil" w:sz="6" w:color="000000"/>
              <w:bottom w:val="nil" w:sz="6" w:color="000000"/>
              <w:left w:val="nil"/>
              <w:right w:val="nil"/>
              <w:insideH w:val="nil"/>
              <w:insideV w:val="nil"/>
            </w:tcBorders>
          </w:tcPr>
          <w:p>
            <w:pPr>
              <w:spacing w:after="0" w:line="240" w:lineRule="auto"/>
            </w:pPr>
            <w:r/>
            <w:r>
              <w:rPr>
                <w:b w:val="0"/>
                <w:sz w:val="16"/>
              </w:rPr>
              <w:t>Change in ocular coma RMS at 6 mm, µm, 1 week</w:t>
            </w:r>
          </w:p>
        </w:tc>
        <w:tc>
          <w:tcPr>
            <w:tcW w:type="dxa" w:w="2880"/>
            <w:tcBorders>
              <w:top w:val="nil" w:sz="6" w:color="000000"/>
              <w:bottom w:val="nil" w:sz="6" w:color="000000"/>
              <w:left w:val="nil"/>
              <w:right w:val="nil"/>
              <w:insideH w:val="nil"/>
              <w:insideV w:val="nil"/>
            </w:tcBorders>
          </w:tcPr>
          <w:p>
            <w:pPr>
              <w:spacing w:after="0" w:line="240" w:lineRule="auto"/>
            </w:pPr>
            <w:r/>
            <w:r>
              <w:rPr>
                <w:b w:val="0"/>
                <w:sz w:val="16"/>
              </w:rPr>
              <w:t>+0.11 (+0.10 to +0.13), 989</w:t>
            </w:r>
          </w:p>
        </w:tc>
        <w:tc>
          <w:tcPr>
            <w:tcW w:type="dxa" w:w="2880"/>
            <w:tcBorders>
              <w:top w:val="nil" w:sz="6" w:color="000000"/>
              <w:bottom w:val="nil" w:sz="6" w:color="000000"/>
              <w:left w:val="nil"/>
              <w:right w:val="nil"/>
              <w:insideH w:val="nil"/>
              <w:insideV w:val="nil"/>
            </w:tcBorders>
          </w:tcPr>
          <w:p>
            <w:pPr>
              <w:spacing w:after="0" w:line="240" w:lineRule="auto"/>
            </w:pPr>
            <w:r/>
            <w:r>
              <w:rPr>
                <w:b w:val="0"/>
                <w:sz w:val="16"/>
              </w:rPr>
              <w:t>+0.10 (+0.06 to +0.14), 54</w:t>
            </w:r>
          </w:p>
        </w:tc>
      </w:tr>
      <w:tr>
        <w:tc>
          <w:tcPr>
            <w:tcW w:type="dxa" w:w="4608"/>
            <w:tcBorders>
              <w:top w:val="nil" w:sz="6" w:color="000000"/>
              <w:bottom w:val="nil" w:sz="6" w:color="000000"/>
              <w:left w:val="nil"/>
              <w:right w:val="nil"/>
              <w:insideH w:val="nil"/>
              <w:insideV w:val="nil"/>
            </w:tcBorders>
          </w:tcPr>
          <w:p>
            <w:pPr>
              <w:spacing w:after="0" w:line="240" w:lineRule="auto"/>
            </w:pPr>
            <w:r/>
            <w:r>
              <w:rPr>
                <w:b w:val="0"/>
                <w:sz w:val="16"/>
              </w:rPr>
              <w:t>Change in ocular Z(4,0) at 6 mm, µm, 1 month</w:t>
            </w:r>
          </w:p>
        </w:tc>
        <w:tc>
          <w:tcPr>
            <w:tcW w:type="dxa" w:w="2880"/>
            <w:tcBorders>
              <w:top w:val="nil" w:sz="6" w:color="000000"/>
              <w:bottom w:val="nil" w:sz="6" w:color="000000"/>
              <w:left w:val="nil"/>
              <w:right w:val="nil"/>
              <w:insideH w:val="nil"/>
              <w:insideV w:val="nil"/>
            </w:tcBorders>
          </w:tcPr>
          <w:p>
            <w:pPr>
              <w:spacing w:after="0" w:line="240" w:lineRule="auto"/>
            </w:pPr>
            <w:r/>
            <w:r>
              <w:rPr>
                <w:b w:val="0"/>
                <w:sz w:val="16"/>
              </w:rPr>
              <w:t>−0.12 (−0.13 to −0.10), 888</w:t>
            </w:r>
          </w:p>
        </w:tc>
        <w:tc>
          <w:tcPr>
            <w:tcW w:type="dxa" w:w="2880"/>
            <w:tcBorders>
              <w:top w:val="nil" w:sz="6" w:color="000000"/>
              <w:bottom w:val="nil" w:sz="6" w:color="000000"/>
              <w:left w:val="nil"/>
              <w:right w:val="nil"/>
              <w:insideH w:val="nil"/>
              <w:insideV w:val="nil"/>
            </w:tcBorders>
          </w:tcPr>
          <w:p>
            <w:pPr>
              <w:spacing w:after="0" w:line="240" w:lineRule="auto"/>
            </w:pPr>
            <w:r/>
            <w:r>
              <w:rPr>
                <w:b w:val="0"/>
                <w:sz w:val="16"/>
              </w:rPr>
              <w:t>−0.06 (−0.13 to +0.02), 46</w:t>
            </w:r>
          </w:p>
        </w:tc>
      </w:tr>
      <w:tr>
        <w:tc>
          <w:tcPr>
            <w:tcW w:type="dxa" w:w="4608"/>
            <w:tcBorders>
              <w:top w:val="nil" w:sz="6" w:color="000000"/>
              <w:bottom w:val="nil" w:sz="6" w:color="000000"/>
              <w:left w:val="nil"/>
              <w:right w:val="nil"/>
              <w:insideH w:val="nil"/>
              <w:insideV w:val="nil"/>
            </w:tcBorders>
          </w:tcPr>
          <w:p>
            <w:pPr>
              <w:spacing w:after="0" w:line="240" w:lineRule="auto"/>
            </w:pPr>
            <w:r/>
            <w:r>
              <w:rPr>
                <w:b w:val="0"/>
                <w:sz w:val="16"/>
              </w:rPr>
              <w:t>Change in ocular HOA RMS at 6 mm, µm, 1 month</w:t>
            </w:r>
          </w:p>
        </w:tc>
        <w:tc>
          <w:tcPr>
            <w:tcW w:type="dxa" w:w="2880"/>
            <w:tcBorders>
              <w:top w:val="nil" w:sz="6" w:color="000000"/>
              <w:bottom w:val="nil" w:sz="6" w:color="000000"/>
              <w:left w:val="nil"/>
              <w:right w:val="nil"/>
              <w:insideH w:val="nil"/>
              <w:insideV w:val="nil"/>
            </w:tcBorders>
          </w:tcPr>
          <w:p>
            <w:pPr>
              <w:spacing w:after="0" w:line="240" w:lineRule="auto"/>
            </w:pPr>
            <w:r/>
            <w:r>
              <w:rPr>
                <w:b w:val="0"/>
                <w:sz w:val="16"/>
              </w:rPr>
              <w:t>+0.13 (+0.11 to +0.15), 888</w:t>
            </w:r>
          </w:p>
        </w:tc>
        <w:tc>
          <w:tcPr>
            <w:tcW w:type="dxa" w:w="2880"/>
            <w:tcBorders>
              <w:top w:val="nil" w:sz="6" w:color="000000"/>
              <w:bottom w:val="nil" w:sz="6" w:color="000000"/>
              <w:left w:val="nil"/>
              <w:right w:val="nil"/>
              <w:insideH w:val="nil"/>
              <w:insideV w:val="nil"/>
            </w:tcBorders>
          </w:tcPr>
          <w:p>
            <w:pPr>
              <w:spacing w:after="0" w:line="240" w:lineRule="auto"/>
            </w:pPr>
            <w:r/>
            <w:r>
              <w:rPr>
                <w:b w:val="0"/>
                <w:sz w:val="16"/>
              </w:rPr>
              <w:t>+0.18 (+0.12 to +0.24), 46</w:t>
            </w:r>
          </w:p>
        </w:tc>
      </w:tr>
      <w:tr>
        <w:tc>
          <w:tcPr>
            <w:tcW w:type="dxa" w:w="4608"/>
            <w:tcBorders>
              <w:top w:val="nil" w:sz="6" w:color="000000"/>
              <w:bottom w:val="nil" w:sz="6" w:color="000000"/>
              <w:left w:val="nil"/>
              <w:right w:val="nil"/>
              <w:insideH w:val="nil"/>
              <w:insideV w:val="nil"/>
            </w:tcBorders>
          </w:tcPr>
          <w:p>
            <w:pPr>
              <w:spacing w:after="0" w:line="240" w:lineRule="auto"/>
            </w:pPr>
            <w:r/>
            <w:r>
              <w:rPr>
                <w:b w:val="0"/>
                <w:sz w:val="16"/>
              </w:rPr>
              <w:t>Change in ocular coma RMS at 6 mm, µm, 1 month</w:t>
            </w:r>
          </w:p>
        </w:tc>
        <w:tc>
          <w:tcPr>
            <w:tcW w:type="dxa" w:w="2880"/>
            <w:tcBorders>
              <w:top w:val="nil" w:sz="6" w:color="000000"/>
              <w:bottom w:val="nil" w:sz="6" w:color="000000"/>
              <w:left w:val="nil"/>
              <w:right w:val="nil"/>
              <w:insideH w:val="nil"/>
              <w:insideV w:val="nil"/>
            </w:tcBorders>
          </w:tcPr>
          <w:p>
            <w:pPr>
              <w:spacing w:after="0" w:line="240" w:lineRule="auto"/>
            </w:pPr>
            <w:r/>
            <w:r>
              <w:rPr>
                <w:b w:val="0"/>
                <w:sz w:val="16"/>
              </w:rPr>
              <w:t>+0.11 (+0.10 to +0.13), 888</w:t>
            </w:r>
          </w:p>
        </w:tc>
        <w:tc>
          <w:tcPr>
            <w:tcW w:type="dxa" w:w="2880"/>
            <w:tcBorders>
              <w:top w:val="nil" w:sz="6" w:color="000000"/>
              <w:bottom w:val="nil" w:sz="6" w:color="000000"/>
              <w:left w:val="nil"/>
              <w:right w:val="nil"/>
              <w:insideH w:val="nil"/>
              <w:insideV w:val="nil"/>
            </w:tcBorders>
          </w:tcPr>
          <w:p>
            <w:pPr>
              <w:spacing w:after="0" w:line="240" w:lineRule="auto"/>
            </w:pPr>
            <w:r/>
            <w:r>
              <w:rPr>
                <w:b w:val="0"/>
                <w:sz w:val="16"/>
              </w:rPr>
              <w:t>+0.11 (+0.07 to +0.17), 46</w:t>
            </w:r>
          </w:p>
        </w:tc>
      </w:tr>
      <w:tr>
        <w:tc>
          <w:tcPr>
            <w:tcW w:type="dxa" w:w="4608"/>
            <w:tcBorders>
              <w:top w:val="nil" w:sz="6" w:color="000000"/>
              <w:bottom w:val="nil" w:sz="6" w:color="000000"/>
              <w:left w:val="nil"/>
              <w:right w:val="nil"/>
              <w:insideH w:val="nil"/>
              <w:insideV w:val="nil"/>
            </w:tcBorders>
          </w:tcPr>
          <w:p>
            <w:pPr>
              <w:spacing w:after="0" w:line="240" w:lineRule="auto"/>
            </w:pPr>
            <w:r/>
            <w:r>
              <w:rPr>
                <w:b w:val="0"/>
                <w:sz w:val="16"/>
              </w:rPr>
              <w:t>Adjusted difference (40 y or older minus under 40) in corneal HOA RMS change, µm, Day 1 (N = 1242)</w:t>
            </w:r>
          </w:p>
        </w:tc>
        <w:tc>
          <w:tcPr>
            <w:tcW w:type="dxa" w:w="2880"/>
            <w:tcBorders>
              <w:top w:val="nil" w:sz="6" w:color="000000"/>
              <w:bottom w:val="nil" w:sz="6" w:color="000000"/>
              <w:left w:val="nil"/>
              <w:right w:val="nil"/>
              <w:insideH w:val="nil"/>
              <w:insideV w:val="nil"/>
            </w:tcBorders>
          </w:tcPr>
          <w:p>
            <w:pPr>
              <w:spacing w:after="0" w:line="240" w:lineRule="auto"/>
            </w:pPr>
            <w:r/>
            <w:r>
              <w:rPr>
                <w:b w:val="0"/>
                <w:sz w:val="16"/>
              </w:rPr>
            </w:r>
          </w:p>
        </w:tc>
        <w:tc>
          <w:tcPr>
            <w:tcW w:type="dxa" w:w="2880"/>
            <w:tcBorders>
              <w:top w:val="nil" w:sz="6" w:color="000000"/>
              <w:bottom w:val="nil" w:sz="6" w:color="000000"/>
              <w:left w:val="nil"/>
              <w:right w:val="nil"/>
              <w:insideH w:val="nil"/>
              <w:insideV w:val="nil"/>
            </w:tcBorders>
          </w:tcPr>
          <w:p>
            <w:pPr>
              <w:spacing w:after="0" w:line="240" w:lineRule="auto"/>
            </w:pPr>
            <w:r/>
            <w:r>
              <w:rPr>
                <w:b w:val="0"/>
                <w:sz w:val="16"/>
              </w:rPr>
              <w:t>+0.05 (−0.03 to +0.12), P = 0.213</w:t>
            </w:r>
          </w:p>
        </w:tc>
      </w:tr>
      <w:tr>
        <w:tc>
          <w:tcPr>
            <w:tcW w:type="dxa" w:w="4608"/>
            <w:tcBorders>
              <w:top w:val="nil" w:sz="6" w:color="000000"/>
              <w:bottom w:val="single" w:sz="6" w:color="000000"/>
              <w:left w:val="nil"/>
              <w:right w:val="nil"/>
              <w:insideH w:val="nil"/>
              <w:insideV w:val="nil"/>
            </w:tcBorders>
          </w:tcPr>
          <w:p>
            <w:pPr>
              <w:spacing w:after="0" w:line="240" w:lineRule="auto"/>
            </w:pPr>
            <w:r/>
            <w:r>
              <w:rPr>
                <w:b w:val="0"/>
                <w:sz w:val="16"/>
              </w:rPr>
              <w:t>Adjusted difference (40 y or older minus under 40) in corneal HOA RMS change, µm, 3 months (N = 315)</w:t>
            </w:r>
          </w:p>
        </w:tc>
        <w:tc>
          <w:tcPr>
            <w:tcW w:type="dxa" w:w="2880"/>
            <w:tcBorders>
              <w:top w:val="nil" w:sz="6" w:color="000000"/>
              <w:bottom w:val="single" w:sz="6" w:color="000000"/>
              <w:left w:val="nil"/>
              <w:right w:val="nil"/>
              <w:insideH w:val="nil"/>
              <w:insideV w:val="nil"/>
            </w:tcBorders>
          </w:tcPr>
          <w:p>
            <w:pPr>
              <w:spacing w:after="0" w:line="240" w:lineRule="auto"/>
            </w:pPr>
            <w:r/>
            <w:r>
              <w:rPr>
                <w:b w:val="0"/>
                <w:sz w:val="16"/>
              </w:rPr>
            </w:r>
          </w:p>
        </w:tc>
        <w:tc>
          <w:tcPr>
            <w:tcW w:type="dxa" w:w="2880"/>
            <w:tcBorders>
              <w:top w:val="nil" w:sz="6" w:color="000000"/>
              <w:bottom w:val="single" w:sz="6" w:color="000000"/>
              <w:left w:val="nil"/>
              <w:right w:val="nil"/>
              <w:insideH w:val="nil"/>
              <w:insideV w:val="nil"/>
            </w:tcBorders>
          </w:tcPr>
          <w:p>
            <w:pPr>
              <w:spacing w:after="0" w:line="240" w:lineRule="auto"/>
            </w:pPr>
            <w:r/>
            <w:r>
              <w:rPr>
                <w:b w:val="0"/>
                <w:sz w:val="16"/>
              </w:rPr>
              <w:t>+0.04 (−0.08 to +0.16), P = 0.542</w:t>
            </w:r>
          </w:p>
        </w:tc>
      </w:tr>
    </w:tbl>
    <w:p>
      <w:pPr>
        <w:spacing w:after="0"/>
      </w:pPr>
      <w:r>
        <w:rPr>
          <w:b w:val="0"/>
          <w:i w:val="0"/>
          <w:sz w:val="16"/>
        </w:rPr>
        <w:t>CI = patient-cluster bootstrap confidence interval; HOA = higher-order aberration; MASI = micro-aberration scatter index (×1000); RMS = root mean square; SEQ = spherical equivalent refraction; y = years; Z(4,0) = primary spherical aberration in the Optical Society of America/American National Standards Institute sign convention. Corneal pairs are within the same Zernike fit order; ocular scans required a pupil of 6 mm or more, so older eyes are a selected subgroup; visits with fewer than 15 paired scans in the older group are omitted. The adjusted differences are from patient-clustered linear models on the same-fit-order pairs with attempted SEQ, attempted cylinder, profile version, optical zone and nomogram era as covariates.</w:t>
      </w:r>
    </w:p>
    <w:sectPr w:rsidR="00FC693F" w:rsidRPr="0006063C" w:rsidSect="00034616">
      <w:pgSz w:w="12240" w:h="15840"/>
      <w:pgMar w:top="1440" w:right="1008" w:bottom="144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