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E57B" w14:textId="77777777" w:rsidR="00D440D3" w:rsidRPr="00D440D3" w:rsidRDefault="00D440D3" w:rsidP="00D440D3">
      <w:pPr>
        <w:rPr>
          <w:rFonts w:ascii="Times New Roman" w:hAnsi="Times New Roman" w:cs="Times New Roman"/>
          <w:sz w:val="20"/>
          <w:szCs w:val="20"/>
        </w:rPr>
      </w:pPr>
      <w:r w:rsidRPr="00D440D3">
        <w:rPr>
          <w:rFonts w:ascii="Times New Roman" w:hAnsi="Times New Roman" w:cs="Times New Roman"/>
          <w:b/>
          <w:bCs/>
          <w:sz w:val="20"/>
          <w:szCs w:val="20"/>
        </w:rPr>
        <w:t>Short title:</w:t>
      </w:r>
      <w:r w:rsidRPr="00D440D3">
        <w:rPr>
          <w:rFonts w:ascii="Times New Roman" w:hAnsi="Times New Roman" w:cs="Times New Roman"/>
          <w:sz w:val="20"/>
          <w:szCs w:val="20"/>
        </w:rPr>
        <w:br/>
        <w:t>Integrated genetic analysis of ferroptosis-related genes and subarachnoid hemorrhage</w:t>
      </w:r>
    </w:p>
    <w:p w14:paraId="7D786810" w14:textId="77777777" w:rsidR="00D440D3" w:rsidRPr="00D440D3" w:rsidRDefault="00D440D3" w:rsidP="00D440D3">
      <w:pPr>
        <w:rPr>
          <w:rFonts w:ascii="Times New Roman" w:hAnsi="Times New Roman" w:cs="Times New Roman"/>
          <w:sz w:val="20"/>
          <w:szCs w:val="20"/>
        </w:rPr>
      </w:pPr>
      <w:r w:rsidRPr="00D440D3">
        <w:rPr>
          <w:rFonts w:ascii="Times New Roman" w:hAnsi="Times New Roman" w:cs="Times New Roman"/>
          <w:b/>
          <w:bCs/>
          <w:sz w:val="20"/>
          <w:szCs w:val="20"/>
        </w:rPr>
        <w:t>Description:</w:t>
      </w:r>
      <w:r w:rsidRPr="00D440D3">
        <w:rPr>
          <w:rFonts w:ascii="Times New Roman" w:hAnsi="Times New Roman" w:cs="Times New Roman"/>
          <w:sz w:val="20"/>
          <w:szCs w:val="20"/>
        </w:rPr>
        <w:br/>
        <w:t>This study integrates ferroptosis-related genes, bulk eQTL data, SAH GWAS, transcriptomic validation, and single-cell eQTL analysis within a Mendelian randomization framework. The workflow identifies candidate ferroptosis-related genes associated with SAH and further evaluates the cell-type-specific association of CFL1 expression across immune cell subtypes.</w:t>
      </w:r>
    </w:p>
    <w:p w14:paraId="72CA607E" w14:textId="77777777" w:rsidR="00C03091" w:rsidRPr="00D440D3" w:rsidRDefault="00C03091">
      <w:pPr>
        <w:rPr>
          <w:rFonts w:hint="eastAsia"/>
        </w:rPr>
      </w:pPr>
    </w:p>
    <w:sectPr w:rsidR="00C03091" w:rsidRPr="00D440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D3"/>
    <w:rsid w:val="001808F7"/>
    <w:rsid w:val="004D389C"/>
    <w:rsid w:val="00830221"/>
    <w:rsid w:val="00A77A9C"/>
    <w:rsid w:val="00C03091"/>
    <w:rsid w:val="00D4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A3A6E"/>
  <w15:chartTrackingRefBased/>
  <w15:docId w15:val="{DF80E64E-32AC-467E-B1DE-884C989E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40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0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0D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0D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0D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0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0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0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1808F7"/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宋体"/>
        <w:sz w:val="21"/>
      </w:rPr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D440D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40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40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40D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40D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440D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40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40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40D3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440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44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440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440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440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440D3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440D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440D3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440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440D3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D440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409</Characters>
  <Application>Microsoft Office Word</Application>
  <DocSecurity>0</DocSecurity>
  <Lines>8</Lines>
  <Paragraphs>3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y</dc:creator>
  <cp:keywords/>
  <dc:description/>
  <cp:lastModifiedBy>x y</cp:lastModifiedBy>
  <cp:revision>1</cp:revision>
  <dcterms:created xsi:type="dcterms:W3CDTF">2026-09-22T15:54:00Z</dcterms:created>
  <dcterms:modified xsi:type="dcterms:W3CDTF">2026-09-22T15:55:00Z</dcterms:modified>
</cp:coreProperties>
</file>