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0596D">
      <w:pPr>
        <w:pStyle w:val="31"/>
        <w:spacing w:before="480" w:after="360"/>
        <w:jc w:val="center"/>
        <w:rPr>
          <w:rFonts w:hint="default" w:ascii="Times New Roman" w:hAnsi="Times New Roman" w:cs="Times New Roman"/>
        </w:rPr>
      </w:pPr>
      <w:r>
        <w:rPr>
          <w:rFonts w:hint="default" w:ascii="Times New Roman" w:hAnsi="Times New Roman" w:eastAsia="Arial" w:cs="Times New Roman"/>
          <w:b/>
          <w:color w:val="000000"/>
          <w:sz w:val="36"/>
        </w:rPr>
        <w:t>Supplementary Information</w:t>
      </w:r>
    </w:p>
    <w:p w14:paraId="27C4FB72">
      <w:pPr>
        <w:spacing w:after="200"/>
        <w:jc w:val="center"/>
        <w:rPr>
          <w:rFonts w:hint="default" w:ascii="Times New Roman" w:hAnsi="Times New Roman" w:cs="Times New Roman"/>
        </w:rPr>
      </w:pPr>
      <w:r>
        <w:rPr>
          <w:rFonts w:hint="default" w:ascii="Times New Roman" w:hAnsi="Times New Roman" w:eastAsia="Arial" w:cs="Times New Roman"/>
          <w:b/>
          <w:color w:val="000000"/>
          <w:sz w:val="26"/>
        </w:rPr>
        <w:t>Pathways to Sustainable Forestry Leisure Tourism in China: Efficiency Dynamics, Spatial Spillovers, and Configurational Evidence</w:t>
      </w:r>
    </w:p>
    <w:p w14:paraId="6F592D9A">
      <w:pPr>
        <w:keepLines w:val="0"/>
        <w:spacing w:after="120" w:line="259" w:lineRule="auto"/>
        <w:jc w:val="both"/>
        <w:rPr>
          <w:rFonts w:hint="default" w:ascii="Times New Roman" w:hAnsi="Times New Roman" w:eastAsia="Arial" w:cs="Times New Roman"/>
          <w:color w:val="000000"/>
          <w:sz w:val="21"/>
        </w:rPr>
      </w:pPr>
      <w:r>
        <w:rPr>
          <w:rFonts w:hint="default" w:ascii="Times New Roman" w:hAnsi="Times New Roman" w:eastAsia="Arial" w:cs="Times New Roman"/>
          <w:color w:val="000000"/>
          <w:sz w:val="21"/>
        </w:rPr>
        <w:t>Submission ID 0b2ffc0a-36ff-462a-b3c9-9d2873befdd4</w:t>
      </w:r>
    </w:p>
    <w:p w14:paraId="264216D4">
      <w:pPr>
        <w:keepLines w:val="0"/>
        <w:spacing w:after="120" w:line="259" w:lineRule="auto"/>
        <w:jc w:val="both"/>
        <w:rPr>
          <w:rFonts w:hint="default" w:ascii="Times New Roman" w:hAnsi="Times New Roman" w:eastAsia="Arial" w:cs="Times New Roman"/>
          <w:color w:val="000000"/>
          <w:sz w:val="21"/>
        </w:rPr>
      </w:pPr>
      <w:r>
        <w:rPr>
          <w:rFonts w:hint="default" w:ascii="Times New Roman" w:hAnsi="Times New Roman" w:eastAsia="Arial" w:cs="Times New Roman"/>
          <w:color w:val="000000"/>
          <w:sz w:val="21"/>
        </w:rPr>
        <w:t>This Supplementary Information describes the datasets, processing steps, model inputs, code files and supplementary figure supplied for editorial and peer-review scrutiny. The accompanying data and code archive contains the machine-readable files referenced below.</w:t>
      </w:r>
    </w:p>
    <w:p w14:paraId="748E70A7">
      <w:pPr>
        <w:pStyle w:val="3"/>
        <w:keepNext/>
        <w:spacing w:before="240" w:after="100"/>
        <w:rPr>
          <w:rFonts w:hint="default" w:ascii="Times New Roman" w:hAnsi="Times New Roman" w:cs="Times New Roman"/>
        </w:rPr>
      </w:pPr>
      <w:r>
        <w:rPr>
          <w:rFonts w:hint="default" w:ascii="Times New Roman" w:hAnsi="Times New Roman" w:eastAsia="Arial" w:cs="Times New Roman"/>
          <w:b/>
          <w:color w:val="000000"/>
          <w:sz w:val="26"/>
        </w:rPr>
        <w:t>Supplementary Methods</w:t>
      </w:r>
    </w:p>
    <w:p w14:paraId="3A442989">
      <w:pPr>
        <w:pStyle w:val="4"/>
        <w:keepNext/>
        <w:spacing w:before="160" w:after="100"/>
        <w:rPr>
          <w:rFonts w:hint="default" w:ascii="Times New Roman" w:hAnsi="Times New Roman" w:eastAsia="Arial" w:cs="Times New Roman"/>
          <w:b/>
          <w:color w:val="000000"/>
          <w:sz w:val="23"/>
        </w:rPr>
      </w:pPr>
      <w:r>
        <w:rPr>
          <w:rFonts w:hint="default" w:ascii="Times New Roman" w:hAnsi="Times New Roman" w:eastAsia="Arial" w:cs="Times New Roman"/>
          <w:b/>
          <w:color w:val="000000"/>
          <w:sz w:val="23"/>
        </w:rPr>
        <w:t>S1 Data structure and panel construction</w:t>
      </w:r>
    </w:p>
    <w:p w14:paraId="1BCCA29A">
      <w:pPr>
        <w:keepLines w:val="0"/>
        <w:spacing w:after="120" w:line="259" w:lineRule="auto"/>
        <w:jc w:val="both"/>
        <w:rPr>
          <w:rFonts w:hint="default" w:ascii="Times New Roman" w:hAnsi="Times New Roman" w:cs="Times New Roman"/>
        </w:rPr>
      </w:pPr>
      <w:r>
        <w:rPr>
          <w:rFonts w:hint="default" w:ascii="Times New Roman" w:hAnsi="Times New Roman" w:eastAsia="Arial" w:cs="Times New Roman"/>
          <w:color w:val="000000"/>
          <w:sz w:val="21"/>
        </w:rPr>
        <w:t>The analytical panel contains 341 province-year observations for 31 Chinese provinces from 2013 to 2023. Each observation is uniquely identified by province and year. The clean panel supplied with the data archive contains no missing cells or duplicate province-year records. The source statistical series and indicator definitions follow the main manuscript.</w:t>
      </w:r>
    </w:p>
    <w:p w14:paraId="410D818C">
      <w:pPr>
        <w:pStyle w:val="4"/>
        <w:keepNext/>
        <w:spacing w:before="160" w:after="100"/>
        <w:rPr>
          <w:rFonts w:hint="default" w:ascii="Times New Roman" w:hAnsi="Times New Roman" w:eastAsia="Arial" w:cs="Times New Roman"/>
          <w:b/>
          <w:color w:val="000000"/>
          <w:sz w:val="23"/>
        </w:rPr>
      </w:pPr>
      <w:r>
        <w:rPr>
          <w:rFonts w:hint="default" w:ascii="Times New Roman" w:hAnsi="Times New Roman" w:eastAsia="Arial" w:cs="Times New Roman"/>
          <w:b/>
          <w:color w:val="000000"/>
          <w:sz w:val="23"/>
        </w:rPr>
        <w:t>S2 Global Super SBM data and implementation</w:t>
      </w:r>
    </w:p>
    <w:p w14:paraId="616A9D56">
      <w:pPr>
        <w:keepLines w:val="0"/>
        <w:spacing w:after="120" w:line="259" w:lineRule="auto"/>
        <w:jc w:val="both"/>
        <w:rPr>
          <w:rFonts w:hint="default" w:ascii="Times New Roman" w:hAnsi="Times New Roman" w:eastAsia="Arial" w:cs="Times New Roman"/>
          <w:color w:val="000000"/>
          <w:sz w:val="21"/>
        </w:rPr>
      </w:pPr>
      <w:r>
        <w:rPr>
          <w:rFonts w:hint="default" w:ascii="Times New Roman" w:hAnsi="Times New Roman" w:eastAsia="Arial" w:cs="Times New Roman"/>
          <w:color w:val="000000"/>
          <w:sz w:val="21"/>
        </w:rPr>
        <w:t>Forestry leisure tourism development efficiency was calculated using four inputs and two desirable outputs. The inputs were expenditure on culture, sports and media, urban employment in culture, sports and entertainment, total park area, and the number of A-rated tourist attractions. The desirable outputs were forestry leisure tourism visits and forestry leisure tourism revenue.</w:t>
      </w:r>
    </w:p>
    <w:p w14:paraId="274DDA57">
      <w:pPr>
        <w:keepLines w:val="0"/>
        <w:spacing w:after="120" w:line="259" w:lineRule="auto"/>
        <w:jc w:val="both"/>
        <w:rPr>
          <w:rFonts w:hint="default" w:ascii="Times New Roman" w:hAnsi="Times New Roman" w:eastAsia="Arial" w:cs="Times New Roman"/>
          <w:color w:val="000000"/>
          <w:sz w:val="21"/>
        </w:rPr>
      </w:pPr>
      <w:r>
        <w:rPr>
          <w:rFonts w:hint="default" w:ascii="Times New Roman" w:hAnsi="Times New Roman" w:eastAsia="Arial" w:cs="Times New Roman"/>
          <w:color w:val="000000"/>
          <w:sz w:val="21"/>
        </w:rPr>
        <w:t>The supplied compatibility workbook contains the 341 model observations, MATLAB-formatted input, 2012 auxiliary observations, an imputation log and the model settings. The recorded model specification is a Global Super-SBM model under constant returns to scale, with super-efficiency and decomposition options enabled. The 341 efficiency estimates in the supplied output file match the FLTE values in the level-form panel by province and year.</w:t>
      </w:r>
    </w:p>
    <w:p w14:paraId="32C7487F">
      <w:pPr>
        <w:keepLines w:val="0"/>
        <w:spacing w:after="120" w:line="259" w:lineRule="auto"/>
        <w:jc w:val="both"/>
        <w:rPr>
          <w:rFonts w:hint="default" w:ascii="Times New Roman" w:hAnsi="Times New Roman" w:eastAsia="Arial" w:cs="Times New Roman"/>
          <w:color w:val="000000"/>
          <w:sz w:val="21"/>
        </w:rPr>
      </w:pPr>
      <w:r>
        <w:rPr>
          <w:rFonts w:hint="default" w:ascii="Times New Roman" w:hAnsi="Times New Roman" w:eastAsia="Arial" w:cs="Times New Roman"/>
          <w:color w:val="000000"/>
          <w:sz w:val="21"/>
        </w:rPr>
        <w:t>For forestry leisure tourism visits, the supplied processing log records the 2022 value as the province-specific mean for 2012-2021 and the 2023 value as the province-specific mean for 2013-2022. The corresponding verification log contains two records for each province.</w:t>
      </w:r>
    </w:p>
    <w:p w14:paraId="6379BBFB">
      <w:pPr>
        <w:pStyle w:val="4"/>
        <w:keepNext/>
        <w:spacing w:before="160" w:after="100"/>
        <w:rPr>
          <w:rFonts w:hint="default" w:ascii="Times New Roman" w:hAnsi="Times New Roman" w:eastAsia="Arial" w:cs="Times New Roman"/>
          <w:b/>
          <w:color w:val="000000"/>
          <w:sz w:val="23"/>
        </w:rPr>
      </w:pPr>
      <w:r>
        <w:rPr>
          <w:rFonts w:hint="default" w:ascii="Times New Roman" w:hAnsi="Times New Roman" w:eastAsia="Arial" w:cs="Times New Roman"/>
          <w:b/>
          <w:color w:val="000000"/>
          <w:sz w:val="23"/>
        </w:rPr>
        <w:t>S3 Spatial econometric data and code</w:t>
      </w:r>
    </w:p>
    <w:p w14:paraId="396CE37A">
      <w:pPr>
        <w:keepLines w:val="0"/>
        <w:spacing w:after="120" w:line="259" w:lineRule="auto"/>
        <w:jc w:val="both"/>
        <w:rPr>
          <w:rFonts w:hint="default" w:ascii="Times New Roman" w:hAnsi="Times New Roman" w:eastAsia="Arial" w:cs="Times New Roman"/>
          <w:color w:val="000000"/>
          <w:sz w:val="21"/>
        </w:rPr>
      </w:pPr>
      <w:r>
        <w:rPr>
          <w:rFonts w:hint="default" w:ascii="Times New Roman" w:hAnsi="Times New Roman" w:eastAsia="Arial" w:cs="Times New Roman"/>
          <w:color w:val="000000"/>
          <w:sz w:val="21"/>
        </w:rPr>
        <w:t>The spatial econometric dataset contains the natural logarithms of FLTE and the five explanatory variables. Exponentiating the Stata variables reproduces the level-form panel values for all 341 observations to numerical precision. The archive includes the spatial-weight file, the original Stata command file and a package-relative version of the analysis sequence. The Stata analysis calls community-contributed commands for spatial diagnostics, model selection and spatial Durbin estimation.</w:t>
      </w:r>
    </w:p>
    <w:p w14:paraId="764CCA37">
      <w:pPr>
        <w:pStyle w:val="4"/>
        <w:keepNext/>
        <w:spacing w:before="160" w:after="100"/>
        <w:rPr>
          <w:rFonts w:hint="default" w:ascii="Times New Roman" w:hAnsi="Times New Roman" w:eastAsia="Arial" w:cs="Times New Roman"/>
          <w:b/>
          <w:color w:val="000000"/>
          <w:sz w:val="23"/>
        </w:rPr>
      </w:pPr>
      <w:r>
        <w:rPr>
          <w:rFonts w:hint="default" w:ascii="Times New Roman" w:hAnsi="Times New Roman" w:eastAsia="Arial" w:cs="Times New Roman"/>
          <w:b/>
          <w:color w:val="000000"/>
          <w:sz w:val="23"/>
        </w:rPr>
        <w:t>S4 fsQCA data and calibration</w:t>
      </w:r>
    </w:p>
    <w:p w14:paraId="1880F2F6">
      <w:pPr>
        <w:keepLines w:val="0"/>
        <w:spacing w:after="120" w:line="259" w:lineRule="auto"/>
        <w:jc w:val="both"/>
        <w:rPr>
          <w:rFonts w:hint="default" w:ascii="Times New Roman" w:hAnsi="Times New Roman" w:eastAsia="Arial" w:cs="Times New Roman"/>
          <w:color w:val="000000"/>
          <w:sz w:val="21"/>
        </w:rPr>
      </w:pPr>
      <w:r>
        <w:rPr>
          <w:rFonts w:hint="default" w:ascii="Times New Roman" w:hAnsi="Times New Roman" w:eastAsia="Arial" w:cs="Times New Roman"/>
          <w:color w:val="000000"/>
          <w:sz w:val="21"/>
        </w:rPr>
        <w:t>The archive provides the case-level fsQCA input and a machine-readable calibration table. Direct calibration uses the 75th percentile for full membership, the 50th percentile for the crossover and the 25th percentile for full non-membership. Membership scores equal to exactly 0.500 are adjusted to 0.501. The fsQCA outcome series is stored separately from the Global Super-SBM panel series and corresponds to the revised configurational analysis reported in the manuscript.</w:t>
      </w:r>
    </w:p>
    <w:p w14:paraId="07AC97B0">
      <w:pPr>
        <w:pStyle w:val="4"/>
        <w:keepNext/>
        <w:spacing w:before="160" w:after="100"/>
        <w:rPr>
          <w:rFonts w:hint="default" w:ascii="Times New Roman" w:hAnsi="Times New Roman" w:cs="Times New Roman"/>
        </w:rPr>
      </w:pPr>
      <w:r>
        <w:rPr>
          <w:rFonts w:hint="default" w:ascii="Times New Roman" w:hAnsi="Times New Roman" w:eastAsia="Arial" w:cs="Times New Roman"/>
          <w:b/>
          <w:color w:val="000000"/>
          <w:sz w:val="23"/>
        </w:rPr>
        <w:t>S5 XGBoost SHAP input and figure</w:t>
      </w:r>
    </w:p>
    <w:p w14:paraId="344AF027">
      <w:pPr>
        <w:keepLines w:val="0"/>
        <w:spacing w:after="120" w:line="259" w:lineRule="auto"/>
        <w:jc w:val="both"/>
        <w:rPr>
          <w:rFonts w:hint="default" w:ascii="Times New Roman" w:hAnsi="Times New Roman" w:eastAsia="Arial" w:cs="Times New Roman"/>
          <w:color w:val="000000"/>
          <w:sz w:val="21"/>
        </w:rPr>
      </w:pPr>
      <w:r>
        <w:rPr>
          <w:rFonts w:hint="default" w:ascii="Times New Roman" w:hAnsi="Times New Roman" w:eastAsia="Arial" w:cs="Times New Roman"/>
          <w:color w:val="000000"/>
          <w:sz w:val="21"/>
        </w:rPr>
        <w:t>The XGBoost-SHAP input contains FLTE, province coordinates and the five level-form predictors. The FLTE and predictor values match the level-form panel by province and year. The supplied TIFF figure is 7200 × 3300 pixels at 600 dpi. SHAP values are interpreted as predictive contributions rather than causal effects.</w:t>
      </w:r>
    </w:p>
    <w:p w14:paraId="15B2D343">
      <w:pPr>
        <w:keepNext/>
        <w:spacing w:before="200" w:after="80"/>
      </w:pPr>
      <w:r>
        <w:rPr>
          <w:rFonts w:ascii="Arial" w:hAnsi="Arial" w:eastAsia="Arial"/>
          <w:b/>
          <w:color w:val="000000"/>
          <w:sz w:val="21"/>
        </w:rPr>
        <w:t>Supplementary Table S1 Data and code files supplied for peer review</w:t>
      </w:r>
    </w:p>
    <w:tbl>
      <w:tblPr>
        <w:tblStyle w:val="32"/>
        <w:tblW w:w="9576"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096"/>
        <w:gridCol w:w="4896"/>
        <w:gridCol w:w="1584"/>
      </w:tblGrid>
      <w:tr w14:paraId="4E85708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jc w:val="center"/>
        </w:trPr>
        <w:tc>
          <w:tcPr>
            <w:tcW w:w="3096" w:type="dxa"/>
            <w:tcBorders>
              <w:top w:val="single" w:color="000000" w:sz="12" w:space="0"/>
              <w:left w:val="nil"/>
              <w:bottom w:val="single" w:color="000000" w:sz="4" w:space="0"/>
              <w:right w:val="nil"/>
              <w:tl2br w:val="nil"/>
            </w:tcBorders>
            <w:shd w:val="clear" w:color="auto" w:fill="FFFFFF"/>
            <w:tcMar>
              <w:top w:w="80" w:type="dxa"/>
              <w:left w:w="90" w:type="dxa"/>
              <w:bottom w:w="80" w:type="dxa"/>
              <w:right w:w="90" w:type="dxa"/>
            </w:tcMar>
            <w:vAlign w:val="center"/>
          </w:tcPr>
          <w:p w14:paraId="54235591">
            <w:pPr>
              <w:spacing w:after="0" w:line="240" w:lineRule="auto"/>
              <w:jc w:val="center"/>
              <w:rPr>
                <w:b/>
                <w:bCs/>
                <w:color w:val="000000"/>
              </w:rPr>
            </w:pPr>
            <w:r>
              <w:rPr>
                <w:rFonts w:ascii="Arial" w:hAnsi="Arial" w:eastAsia="Arial"/>
                <w:b/>
                <w:bCs/>
                <w:color w:val="000000"/>
                <w:sz w:val="17"/>
              </w:rPr>
              <w:t>File</w:t>
            </w:r>
          </w:p>
        </w:tc>
        <w:tc>
          <w:tcPr>
            <w:tcW w:w="4896"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5D424C3D">
            <w:pPr>
              <w:spacing w:after="0" w:line="240" w:lineRule="auto"/>
              <w:jc w:val="left"/>
              <w:rPr>
                <w:b/>
                <w:bCs/>
                <w:color w:val="000000"/>
              </w:rPr>
            </w:pPr>
            <w:r>
              <w:rPr>
                <w:rFonts w:ascii="Arial" w:hAnsi="Arial" w:eastAsia="Arial"/>
                <w:b/>
                <w:bCs/>
                <w:color w:val="000000"/>
                <w:sz w:val="17"/>
              </w:rPr>
              <w:t>Contents</w:t>
            </w:r>
          </w:p>
        </w:tc>
        <w:tc>
          <w:tcPr>
            <w:tcW w:w="1584"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2931C3CF">
            <w:pPr>
              <w:spacing w:after="0" w:line="240" w:lineRule="auto"/>
              <w:jc w:val="left"/>
              <w:rPr>
                <w:b/>
                <w:bCs/>
                <w:color w:val="000000"/>
              </w:rPr>
            </w:pPr>
            <w:r>
              <w:rPr>
                <w:rFonts w:ascii="Arial" w:hAnsi="Arial" w:eastAsia="Arial"/>
                <w:b/>
                <w:bCs/>
                <w:color w:val="000000"/>
                <w:sz w:val="17"/>
              </w:rPr>
              <w:t>Analysis</w:t>
            </w:r>
          </w:p>
        </w:tc>
      </w:tr>
      <w:tr w14:paraId="3F5583C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07F4D94F">
            <w:pPr>
              <w:spacing w:after="0" w:line="240" w:lineRule="auto"/>
              <w:jc w:val="center"/>
              <w:rPr>
                <w:b w:val="0"/>
              </w:rPr>
            </w:pPr>
            <w:r>
              <w:rPr>
                <w:rFonts w:ascii="Arial" w:hAnsi="Arial" w:eastAsia="Arial"/>
                <w:b w:val="0"/>
                <w:color w:val="000000"/>
                <w:sz w:val="17"/>
              </w:rPr>
              <w:t>Raw_SuperSBM_Inputs.xlsx</w:t>
            </w:r>
          </w:p>
        </w:tc>
        <w:tc>
          <w:tcPr>
            <w:tcW w:w="4896"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5063AFB8">
            <w:pPr>
              <w:spacing w:after="0" w:line="240" w:lineRule="auto"/>
              <w:jc w:val="left"/>
              <w:rPr>
                <w:b w:val="0"/>
              </w:rPr>
            </w:pPr>
            <w:r>
              <w:rPr>
                <w:rFonts w:ascii="Arial" w:hAnsi="Arial" w:eastAsia="Arial"/>
                <w:b w:val="0"/>
                <w:color w:val="000000"/>
                <w:sz w:val="17"/>
              </w:rPr>
              <w:t>Compiled province-year input and output indicators for efficiency estimation</w:t>
            </w:r>
          </w:p>
        </w:tc>
        <w:tc>
          <w:tcPr>
            <w:tcW w:w="1584"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39EC3C3A">
            <w:pPr>
              <w:spacing w:after="0" w:line="240" w:lineRule="auto"/>
              <w:jc w:val="left"/>
              <w:rPr>
                <w:b w:val="0"/>
              </w:rPr>
            </w:pPr>
            <w:r>
              <w:rPr>
                <w:rFonts w:ascii="Arial" w:hAnsi="Arial" w:eastAsia="Arial"/>
                <w:b w:val="0"/>
                <w:color w:val="000000"/>
                <w:sz w:val="17"/>
              </w:rPr>
              <w:t>Super-SBM</w:t>
            </w:r>
          </w:p>
        </w:tc>
      </w:tr>
      <w:tr w14:paraId="65E1C11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262CB7F9">
            <w:pPr>
              <w:spacing w:after="0" w:line="240" w:lineRule="auto"/>
              <w:jc w:val="center"/>
              <w:rPr>
                <w:b w:val="0"/>
              </w:rPr>
            </w:pPr>
            <w:r>
              <w:rPr>
                <w:rFonts w:ascii="Arial" w:hAnsi="Arial" w:eastAsia="Arial"/>
                <w:b w:val="0"/>
                <w:color w:val="000000"/>
                <w:sz w:val="17"/>
              </w:rPr>
              <w:t>SuperSBM_Compatibility_Data.xlsx</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4813D687">
            <w:pPr>
              <w:spacing w:after="0" w:line="240" w:lineRule="auto"/>
              <w:jc w:val="left"/>
              <w:rPr>
                <w:b w:val="0"/>
              </w:rPr>
            </w:pPr>
            <w:r>
              <w:rPr>
                <w:rFonts w:ascii="Arial" w:hAnsi="Arial" w:eastAsia="Arial"/>
                <w:b w:val="0"/>
                <w:color w:val="000000"/>
                <w:sz w:val="17"/>
              </w:rPr>
              <w:t>MATLAB input, auxiliary data, imputation log and model settings</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1E145070">
            <w:pPr>
              <w:spacing w:after="0" w:line="240" w:lineRule="auto"/>
              <w:jc w:val="left"/>
              <w:rPr>
                <w:b w:val="0"/>
              </w:rPr>
            </w:pPr>
            <w:r>
              <w:rPr>
                <w:rFonts w:ascii="Arial" w:hAnsi="Arial" w:eastAsia="Arial"/>
                <w:b w:val="0"/>
                <w:color w:val="000000"/>
                <w:sz w:val="17"/>
              </w:rPr>
              <w:t>Super-SBM</w:t>
            </w:r>
          </w:p>
        </w:tc>
      </w:tr>
      <w:tr w14:paraId="7EFE6AB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462B9D34">
            <w:pPr>
              <w:spacing w:after="0" w:line="240" w:lineRule="auto"/>
              <w:jc w:val="center"/>
              <w:rPr>
                <w:b w:val="0"/>
              </w:rPr>
            </w:pPr>
            <w:r>
              <w:rPr>
                <w:rFonts w:ascii="Arial" w:hAnsi="Arial" w:eastAsia="Arial"/>
                <w:b w:val="0"/>
                <w:color w:val="000000"/>
                <w:sz w:val="17"/>
              </w:rPr>
              <w:t>Panel_Data_Level.xlsx</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34F06419">
            <w:pPr>
              <w:spacing w:after="0" w:line="240" w:lineRule="auto"/>
              <w:jc w:val="left"/>
              <w:rPr>
                <w:b w:val="0"/>
              </w:rPr>
            </w:pPr>
            <w:r>
              <w:rPr>
                <w:rFonts w:ascii="Arial" w:hAnsi="Arial" w:eastAsia="Arial"/>
                <w:b w:val="0"/>
                <w:color w:val="000000"/>
                <w:sz w:val="17"/>
              </w:rPr>
              <w:t>Level-form FLTE and five explanatory variables</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4B436180">
            <w:pPr>
              <w:spacing w:after="0" w:line="240" w:lineRule="auto"/>
              <w:jc w:val="left"/>
              <w:rPr>
                <w:b w:val="0"/>
              </w:rPr>
            </w:pPr>
            <w:r>
              <w:rPr>
                <w:rFonts w:ascii="Arial" w:hAnsi="Arial" w:eastAsia="Arial"/>
                <w:b w:val="0"/>
                <w:color w:val="000000"/>
                <w:sz w:val="17"/>
              </w:rPr>
              <w:t>SDM and XGBoost</w:t>
            </w:r>
          </w:p>
        </w:tc>
      </w:tr>
      <w:tr w14:paraId="13E0798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70A451FB">
            <w:pPr>
              <w:spacing w:after="0" w:line="240" w:lineRule="auto"/>
              <w:jc w:val="center"/>
              <w:rPr>
                <w:b w:val="0"/>
              </w:rPr>
            </w:pPr>
            <w:r>
              <w:rPr>
                <w:rFonts w:ascii="Arial" w:hAnsi="Arial" w:eastAsia="Arial"/>
                <w:b w:val="0"/>
                <w:color w:val="000000"/>
                <w:sz w:val="17"/>
              </w:rPr>
              <w:t>SDM_Log_Transformed_Data.dta</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7CA2F102">
            <w:pPr>
              <w:spacing w:after="0" w:line="240" w:lineRule="auto"/>
              <w:jc w:val="left"/>
              <w:rPr>
                <w:b w:val="0"/>
              </w:rPr>
            </w:pPr>
            <w:r>
              <w:rPr>
                <w:rFonts w:ascii="Arial" w:hAnsi="Arial" w:eastAsia="Arial"/>
                <w:b w:val="0"/>
                <w:color w:val="000000"/>
                <w:sz w:val="17"/>
              </w:rPr>
              <w:t>Natural logarithms of FLTE and x1-x5</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7A745EFA">
            <w:pPr>
              <w:spacing w:after="0" w:line="240" w:lineRule="auto"/>
              <w:jc w:val="left"/>
              <w:rPr>
                <w:b w:val="0"/>
              </w:rPr>
            </w:pPr>
            <w:r>
              <w:rPr>
                <w:rFonts w:ascii="Arial" w:hAnsi="Arial" w:eastAsia="Arial"/>
                <w:b w:val="0"/>
                <w:color w:val="000000"/>
                <w:sz w:val="17"/>
              </w:rPr>
              <w:t>SDM</w:t>
            </w:r>
          </w:p>
        </w:tc>
      </w:tr>
      <w:tr w14:paraId="56FBD74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755769BE">
            <w:pPr>
              <w:spacing w:after="0" w:line="240" w:lineRule="auto"/>
              <w:jc w:val="center"/>
              <w:rPr>
                <w:b w:val="0"/>
              </w:rPr>
            </w:pPr>
            <w:r>
              <w:rPr>
                <w:rFonts w:ascii="Arial" w:hAnsi="Arial" w:eastAsia="Arial"/>
                <w:b w:val="0"/>
                <w:color w:val="000000"/>
                <w:sz w:val="17"/>
              </w:rPr>
              <w:t>Spatial_Weights.dta</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3B9EDB1B">
            <w:pPr>
              <w:spacing w:after="0" w:line="240" w:lineRule="auto"/>
              <w:jc w:val="left"/>
              <w:rPr>
                <w:b w:val="0"/>
              </w:rPr>
            </w:pPr>
            <w:r>
              <w:rPr>
                <w:rFonts w:ascii="Arial" w:hAnsi="Arial" w:eastAsia="Arial"/>
                <w:b w:val="0"/>
                <w:color w:val="000000"/>
                <w:sz w:val="17"/>
              </w:rPr>
              <w:t>Original 31 by 31 spatial-weight file</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3AC5382D">
            <w:pPr>
              <w:spacing w:after="0" w:line="240" w:lineRule="auto"/>
              <w:jc w:val="left"/>
              <w:rPr>
                <w:b w:val="0"/>
              </w:rPr>
            </w:pPr>
            <w:r>
              <w:rPr>
                <w:rFonts w:ascii="Arial" w:hAnsi="Arial" w:eastAsia="Arial"/>
                <w:b w:val="0"/>
                <w:color w:val="000000"/>
                <w:sz w:val="17"/>
              </w:rPr>
              <w:t>SDM</w:t>
            </w:r>
          </w:p>
        </w:tc>
      </w:tr>
      <w:tr w14:paraId="46017E4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72388E2B">
            <w:pPr>
              <w:spacing w:after="0" w:line="240" w:lineRule="auto"/>
              <w:jc w:val="center"/>
              <w:rPr>
                <w:b w:val="0"/>
              </w:rPr>
            </w:pPr>
            <w:r>
              <w:rPr>
                <w:rFonts w:ascii="Arial" w:hAnsi="Arial" w:eastAsia="Arial"/>
                <w:b w:val="0"/>
                <w:color w:val="000000"/>
                <w:sz w:val="17"/>
              </w:rPr>
              <w:t>fsQCA_Raw_Input.csv</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570B11F3">
            <w:pPr>
              <w:spacing w:after="0" w:line="240" w:lineRule="auto"/>
              <w:jc w:val="left"/>
              <w:rPr>
                <w:b w:val="0"/>
              </w:rPr>
            </w:pPr>
            <w:r>
              <w:rPr>
                <w:rFonts w:ascii="Arial" w:hAnsi="Arial" w:eastAsia="Arial"/>
                <w:b w:val="0"/>
                <w:color w:val="000000"/>
                <w:sz w:val="17"/>
              </w:rPr>
              <w:t>Case-level outcome and condition data</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1DFB1A73">
            <w:pPr>
              <w:spacing w:after="0" w:line="240" w:lineRule="auto"/>
              <w:jc w:val="left"/>
              <w:rPr>
                <w:b w:val="0"/>
              </w:rPr>
            </w:pPr>
            <w:r>
              <w:rPr>
                <w:rFonts w:ascii="Arial" w:hAnsi="Arial" w:eastAsia="Arial"/>
                <w:b w:val="0"/>
                <w:color w:val="000000"/>
                <w:sz w:val="17"/>
              </w:rPr>
              <w:t>fsQCA</w:t>
            </w:r>
          </w:p>
        </w:tc>
      </w:tr>
      <w:tr w14:paraId="6951531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3984316A">
            <w:pPr>
              <w:spacing w:after="0" w:line="240" w:lineRule="auto"/>
              <w:jc w:val="center"/>
              <w:rPr>
                <w:b w:val="0"/>
              </w:rPr>
            </w:pPr>
            <w:r>
              <w:rPr>
                <w:rFonts w:ascii="Arial" w:hAnsi="Arial" w:eastAsia="Arial"/>
                <w:b w:val="0"/>
                <w:color w:val="000000"/>
                <w:sz w:val="17"/>
              </w:rPr>
              <w:t>fsQCA_Calibration_Anchors.csv</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12E999B1">
            <w:pPr>
              <w:spacing w:after="0" w:line="240" w:lineRule="auto"/>
              <w:jc w:val="left"/>
              <w:rPr>
                <w:b w:val="0"/>
              </w:rPr>
            </w:pPr>
            <w:r>
              <w:rPr>
                <w:rFonts w:ascii="Arial" w:hAnsi="Arial" w:eastAsia="Arial"/>
                <w:b w:val="0"/>
                <w:color w:val="000000"/>
                <w:sz w:val="17"/>
              </w:rPr>
              <w:t>Full-membership, crossover and full-non-membership anchors</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3EADDFC0">
            <w:pPr>
              <w:spacing w:after="0" w:line="240" w:lineRule="auto"/>
              <w:jc w:val="left"/>
              <w:rPr>
                <w:b w:val="0"/>
              </w:rPr>
            </w:pPr>
            <w:r>
              <w:rPr>
                <w:rFonts w:ascii="Arial" w:hAnsi="Arial" w:eastAsia="Arial"/>
                <w:b w:val="0"/>
                <w:color w:val="000000"/>
                <w:sz w:val="17"/>
              </w:rPr>
              <w:t>fsQCA</w:t>
            </w:r>
          </w:p>
        </w:tc>
      </w:tr>
      <w:tr w14:paraId="22BF1FF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18B25B0B">
            <w:pPr>
              <w:spacing w:after="0" w:line="240" w:lineRule="auto"/>
              <w:jc w:val="center"/>
              <w:rPr>
                <w:b w:val="0"/>
              </w:rPr>
            </w:pPr>
            <w:r>
              <w:rPr>
                <w:rFonts w:ascii="Arial" w:hAnsi="Arial" w:eastAsia="Arial"/>
                <w:b w:val="0"/>
                <w:color w:val="000000"/>
                <w:sz w:val="17"/>
              </w:rPr>
              <w:t>XGBoost_SHAP_Input.csv</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6D380DFE">
            <w:pPr>
              <w:spacing w:after="0" w:line="240" w:lineRule="auto"/>
              <w:jc w:val="left"/>
              <w:rPr>
                <w:b w:val="0"/>
              </w:rPr>
            </w:pPr>
            <w:r>
              <w:rPr>
                <w:rFonts w:ascii="Arial" w:hAnsi="Arial" w:eastAsia="Arial"/>
                <w:b w:val="0"/>
                <w:color w:val="000000"/>
                <w:sz w:val="17"/>
              </w:rPr>
              <w:t>FLTE, coordinates and five predictors</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5AF84303">
            <w:pPr>
              <w:spacing w:after="0" w:line="240" w:lineRule="auto"/>
              <w:jc w:val="left"/>
              <w:rPr>
                <w:b w:val="0"/>
              </w:rPr>
            </w:pPr>
            <w:r>
              <w:rPr>
                <w:rFonts w:ascii="Arial" w:hAnsi="Arial" w:eastAsia="Arial"/>
                <w:b w:val="0"/>
                <w:color w:val="000000"/>
                <w:sz w:val="17"/>
              </w:rPr>
              <w:t>XGBoost-SHAP</w:t>
            </w:r>
          </w:p>
        </w:tc>
      </w:tr>
      <w:tr w14:paraId="2A9236C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4C9C2FD1">
            <w:pPr>
              <w:spacing w:after="0" w:line="240" w:lineRule="auto"/>
              <w:jc w:val="center"/>
              <w:rPr>
                <w:b w:val="0"/>
              </w:rPr>
            </w:pPr>
            <w:r>
              <w:rPr>
                <w:rFonts w:ascii="Arial" w:hAnsi="Arial" w:eastAsia="Arial"/>
                <w:b w:val="0"/>
                <w:color w:val="000000"/>
                <w:sz w:val="17"/>
              </w:rPr>
              <w:t>Run_Global_Super_SBM_CRS.m</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38A27238">
            <w:pPr>
              <w:spacing w:after="0" w:line="240" w:lineRule="auto"/>
              <w:jc w:val="left"/>
              <w:rPr>
                <w:b w:val="0"/>
              </w:rPr>
            </w:pPr>
            <w:r>
              <w:rPr>
                <w:rFonts w:ascii="Arial" w:hAnsi="Arial" w:eastAsia="Arial"/>
                <w:b w:val="0"/>
                <w:color w:val="000000"/>
                <w:sz w:val="17"/>
              </w:rPr>
              <w:t>Package-relative model wrapper</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6EBD2D21">
            <w:pPr>
              <w:spacing w:after="0" w:line="240" w:lineRule="auto"/>
              <w:jc w:val="left"/>
              <w:rPr>
                <w:b w:val="0"/>
              </w:rPr>
            </w:pPr>
            <w:r>
              <w:rPr>
                <w:rFonts w:ascii="Arial" w:hAnsi="Arial" w:eastAsia="Arial"/>
                <w:b w:val="0"/>
                <w:color w:val="000000"/>
                <w:sz w:val="17"/>
              </w:rPr>
              <w:t>Super-SBM</w:t>
            </w:r>
          </w:p>
        </w:tc>
      </w:tr>
      <w:tr w14:paraId="6AB0D23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46D58CF4">
            <w:pPr>
              <w:spacing w:after="0" w:line="240" w:lineRule="auto"/>
              <w:jc w:val="center"/>
              <w:rPr>
                <w:b w:val="0"/>
              </w:rPr>
            </w:pPr>
            <w:r>
              <w:rPr>
                <w:rFonts w:ascii="Arial" w:hAnsi="Arial" w:eastAsia="Arial"/>
                <w:b w:val="0"/>
                <w:color w:val="000000"/>
                <w:sz w:val="17"/>
              </w:rPr>
              <w:t>SDM_analysis_portable.do</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68778E7F">
            <w:pPr>
              <w:spacing w:after="0" w:line="240" w:lineRule="auto"/>
              <w:jc w:val="left"/>
              <w:rPr>
                <w:b w:val="0"/>
              </w:rPr>
            </w:pPr>
            <w:r>
              <w:rPr>
                <w:rFonts w:ascii="Arial" w:hAnsi="Arial" w:eastAsia="Arial"/>
                <w:b w:val="0"/>
                <w:color w:val="000000"/>
                <w:sz w:val="17"/>
              </w:rPr>
              <w:t>Package-relative Stata analysis sequence</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5FAC5475">
            <w:pPr>
              <w:spacing w:after="0" w:line="240" w:lineRule="auto"/>
              <w:jc w:val="left"/>
              <w:rPr>
                <w:b w:val="0"/>
              </w:rPr>
            </w:pPr>
            <w:r>
              <w:rPr>
                <w:rFonts w:ascii="Arial" w:hAnsi="Arial" w:eastAsia="Arial"/>
                <w:b w:val="0"/>
                <w:color w:val="000000"/>
                <w:sz w:val="17"/>
              </w:rPr>
              <w:t>SDM</w:t>
            </w:r>
          </w:p>
        </w:tc>
      </w:tr>
      <w:tr w14:paraId="570DF7F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nil"/>
              <w:right w:val="nil"/>
            </w:tcBorders>
            <w:shd w:val="clear" w:color="auto" w:fill="FFFFFF"/>
            <w:tcMar>
              <w:top w:w="80" w:type="dxa"/>
              <w:left w:w="90" w:type="dxa"/>
              <w:bottom w:w="80" w:type="dxa"/>
              <w:right w:w="90" w:type="dxa"/>
            </w:tcMar>
            <w:vAlign w:val="center"/>
          </w:tcPr>
          <w:p w14:paraId="09BA894B">
            <w:pPr>
              <w:spacing w:after="0" w:line="240" w:lineRule="auto"/>
              <w:jc w:val="center"/>
              <w:rPr>
                <w:b w:val="0"/>
              </w:rPr>
            </w:pPr>
            <w:r>
              <w:rPr>
                <w:rFonts w:ascii="Arial" w:hAnsi="Arial" w:eastAsia="Arial"/>
                <w:b w:val="0"/>
                <w:color w:val="000000"/>
                <w:sz w:val="17"/>
              </w:rPr>
              <w:t>SuperSBM_Efficiency.xls</w:t>
            </w:r>
          </w:p>
        </w:tc>
        <w:tc>
          <w:tcPr>
            <w:tcW w:w="4896" w:type="dxa"/>
            <w:tcBorders>
              <w:top w:val="nil"/>
              <w:left w:val="nil"/>
              <w:bottom w:val="nil"/>
              <w:right w:val="nil"/>
            </w:tcBorders>
            <w:shd w:val="clear" w:color="auto" w:fill="FFFFFF"/>
            <w:tcMar>
              <w:top w:w="80" w:type="dxa"/>
              <w:left w:w="90" w:type="dxa"/>
              <w:bottom w:w="80" w:type="dxa"/>
              <w:right w:w="90" w:type="dxa"/>
            </w:tcMar>
            <w:vAlign w:val="center"/>
          </w:tcPr>
          <w:p w14:paraId="2A567F9F">
            <w:pPr>
              <w:spacing w:after="0" w:line="240" w:lineRule="auto"/>
              <w:jc w:val="left"/>
              <w:rPr>
                <w:b w:val="0"/>
              </w:rPr>
            </w:pPr>
            <w:r>
              <w:rPr>
                <w:rFonts w:ascii="Arial" w:hAnsi="Arial" w:eastAsia="Arial"/>
                <w:b w:val="0"/>
                <w:color w:val="000000"/>
                <w:sz w:val="17"/>
              </w:rPr>
              <w:t>Efficiency estimates and slacks</w:t>
            </w:r>
          </w:p>
        </w:tc>
        <w:tc>
          <w:tcPr>
            <w:tcW w:w="1584" w:type="dxa"/>
            <w:tcBorders>
              <w:top w:val="nil"/>
              <w:left w:val="nil"/>
              <w:bottom w:val="nil"/>
              <w:right w:val="nil"/>
            </w:tcBorders>
            <w:shd w:val="clear" w:color="auto" w:fill="FFFFFF"/>
            <w:tcMar>
              <w:top w:w="80" w:type="dxa"/>
              <w:left w:w="90" w:type="dxa"/>
              <w:bottom w:w="80" w:type="dxa"/>
              <w:right w:w="90" w:type="dxa"/>
            </w:tcMar>
            <w:vAlign w:val="center"/>
          </w:tcPr>
          <w:p w14:paraId="21369E7D">
            <w:pPr>
              <w:spacing w:after="0" w:line="240" w:lineRule="auto"/>
              <w:jc w:val="left"/>
              <w:rPr>
                <w:b w:val="0"/>
              </w:rPr>
            </w:pPr>
            <w:r>
              <w:rPr>
                <w:rFonts w:ascii="Arial" w:hAnsi="Arial" w:eastAsia="Arial"/>
                <w:b w:val="0"/>
                <w:color w:val="000000"/>
                <w:sz w:val="17"/>
              </w:rPr>
              <w:t>Super-SBM</w:t>
            </w:r>
          </w:p>
        </w:tc>
      </w:tr>
      <w:tr w14:paraId="53DB205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04B26F6C">
            <w:pPr>
              <w:spacing w:after="0" w:line="240" w:lineRule="auto"/>
              <w:jc w:val="center"/>
              <w:rPr>
                <w:b w:val="0"/>
              </w:rPr>
            </w:pPr>
            <w:r>
              <w:rPr>
                <w:rFonts w:ascii="Arial" w:hAnsi="Arial" w:eastAsia="Arial"/>
                <w:b w:val="0"/>
                <w:color w:val="000000"/>
                <w:sz w:val="17"/>
              </w:rPr>
              <w:t>SuperSBM_Productivity_Index.xls</w:t>
            </w:r>
          </w:p>
        </w:tc>
        <w:tc>
          <w:tcPr>
            <w:tcW w:w="4896"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26A23879">
            <w:pPr>
              <w:spacing w:after="0" w:line="240" w:lineRule="auto"/>
              <w:jc w:val="left"/>
              <w:rPr>
                <w:b w:val="0"/>
              </w:rPr>
            </w:pPr>
            <w:r>
              <w:rPr>
                <w:rFonts w:ascii="Arial" w:hAnsi="Arial" w:eastAsia="Arial"/>
                <w:b w:val="0"/>
                <w:color w:val="000000"/>
                <w:sz w:val="17"/>
              </w:rPr>
              <w:t>Annual productivity-index records</w:t>
            </w:r>
          </w:p>
        </w:tc>
        <w:tc>
          <w:tcPr>
            <w:tcW w:w="1584"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41DB01C3">
            <w:pPr>
              <w:spacing w:after="0" w:line="240" w:lineRule="auto"/>
              <w:jc w:val="left"/>
              <w:rPr>
                <w:b w:val="0"/>
              </w:rPr>
            </w:pPr>
            <w:r>
              <w:rPr>
                <w:rFonts w:ascii="Arial" w:hAnsi="Arial" w:eastAsia="Arial"/>
                <w:b w:val="0"/>
                <w:color w:val="000000"/>
                <w:sz w:val="17"/>
              </w:rPr>
              <w:t>GML</w:t>
            </w:r>
          </w:p>
        </w:tc>
      </w:tr>
    </w:tbl>
    <w:p w14:paraId="7ECBBCBE">
      <w:pPr>
        <w:keepNext/>
        <w:spacing w:before="200" w:after="80"/>
      </w:pPr>
      <w:r>
        <w:rPr>
          <w:rFonts w:ascii="Arial" w:hAnsi="Arial" w:eastAsia="Arial"/>
          <w:b/>
          <w:color w:val="000000"/>
          <w:sz w:val="21"/>
        </w:rPr>
        <w:t>Supplementary Table S2 Variable definitions</w:t>
      </w:r>
    </w:p>
    <w:tbl>
      <w:tblPr>
        <w:tblStyle w:val="32"/>
        <w:tblW w:w="9576"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872"/>
        <w:gridCol w:w="3240"/>
        <w:gridCol w:w="1872"/>
        <w:gridCol w:w="2592"/>
      </w:tblGrid>
      <w:tr w14:paraId="28C6CCB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jc w:val="center"/>
        </w:trPr>
        <w:tc>
          <w:tcPr>
            <w:tcW w:w="1872" w:type="dxa"/>
            <w:tcBorders>
              <w:top w:val="single" w:color="000000" w:sz="12" w:space="0"/>
              <w:left w:val="nil"/>
              <w:bottom w:val="single" w:color="000000" w:sz="4" w:space="0"/>
              <w:right w:val="nil"/>
              <w:tl2br w:val="nil"/>
            </w:tcBorders>
            <w:shd w:val="clear" w:color="auto" w:fill="FFFFFF"/>
            <w:tcMar>
              <w:top w:w="80" w:type="dxa"/>
              <w:left w:w="90" w:type="dxa"/>
              <w:bottom w:w="80" w:type="dxa"/>
              <w:right w:w="90" w:type="dxa"/>
            </w:tcMar>
            <w:vAlign w:val="center"/>
          </w:tcPr>
          <w:p w14:paraId="19D0444C">
            <w:pPr>
              <w:spacing w:after="0" w:line="240" w:lineRule="auto"/>
              <w:jc w:val="center"/>
              <w:rPr>
                <w:b/>
                <w:bCs/>
                <w:color w:val="000000"/>
              </w:rPr>
            </w:pPr>
            <w:r>
              <w:rPr>
                <w:rFonts w:ascii="Arial" w:hAnsi="Arial" w:eastAsia="Arial"/>
                <w:b/>
                <w:bCs/>
                <w:color w:val="000000"/>
                <w:sz w:val="17"/>
              </w:rPr>
              <w:t>Variable</w:t>
            </w:r>
          </w:p>
        </w:tc>
        <w:tc>
          <w:tcPr>
            <w:tcW w:w="3240"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415D32BA">
            <w:pPr>
              <w:spacing w:after="0" w:line="240" w:lineRule="auto"/>
              <w:jc w:val="left"/>
              <w:rPr>
                <w:b/>
                <w:bCs/>
                <w:color w:val="000000"/>
              </w:rPr>
            </w:pPr>
            <w:r>
              <w:rPr>
                <w:rFonts w:ascii="Arial" w:hAnsi="Arial" w:eastAsia="Arial"/>
                <w:b/>
                <w:bCs/>
                <w:color w:val="000000"/>
                <w:sz w:val="17"/>
              </w:rPr>
              <w:t>Definition</w:t>
            </w:r>
          </w:p>
        </w:tc>
        <w:tc>
          <w:tcPr>
            <w:tcW w:w="1872"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0C64D965">
            <w:pPr>
              <w:spacing w:after="0" w:line="240" w:lineRule="auto"/>
              <w:jc w:val="left"/>
              <w:rPr>
                <w:b/>
                <w:bCs/>
                <w:color w:val="000000"/>
              </w:rPr>
            </w:pPr>
            <w:r>
              <w:rPr>
                <w:rFonts w:ascii="Arial" w:hAnsi="Arial" w:eastAsia="Arial"/>
                <w:b/>
                <w:bCs/>
                <w:color w:val="000000"/>
                <w:sz w:val="17"/>
              </w:rPr>
              <w:t>Unit or coding</w:t>
            </w:r>
          </w:p>
        </w:tc>
        <w:tc>
          <w:tcPr>
            <w:tcW w:w="2592"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73EE608B">
            <w:pPr>
              <w:spacing w:after="0" w:line="240" w:lineRule="auto"/>
              <w:jc w:val="left"/>
              <w:rPr>
                <w:b/>
                <w:bCs/>
                <w:color w:val="000000"/>
              </w:rPr>
            </w:pPr>
            <w:r>
              <w:rPr>
                <w:rFonts w:ascii="Arial" w:hAnsi="Arial" w:eastAsia="Arial"/>
                <w:b/>
                <w:bCs/>
                <w:color w:val="000000"/>
                <w:sz w:val="17"/>
              </w:rPr>
              <w:t>Transformation or note</w:t>
            </w:r>
          </w:p>
        </w:tc>
      </w:tr>
      <w:tr w14:paraId="365B31D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6EECE403">
            <w:pPr>
              <w:spacing w:after="0" w:line="240" w:lineRule="auto"/>
              <w:jc w:val="center"/>
              <w:rPr>
                <w:b w:val="0"/>
              </w:rPr>
            </w:pPr>
            <w:r>
              <w:rPr>
                <w:rFonts w:ascii="Arial" w:hAnsi="Arial" w:eastAsia="Arial"/>
                <w:b w:val="0"/>
                <w:color w:val="000000"/>
                <w:sz w:val="17"/>
              </w:rPr>
              <w:t>id</w:t>
            </w:r>
          </w:p>
        </w:tc>
        <w:tc>
          <w:tcPr>
            <w:tcW w:w="3240"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7C86AC1B">
            <w:pPr>
              <w:spacing w:after="0" w:line="240" w:lineRule="auto"/>
              <w:jc w:val="left"/>
              <w:rPr>
                <w:b w:val="0"/>
              </w:rPr>
            </w:pPr>
            <w:r>
              <w:rPr>
                <w:rFonts w:ascii="Arial" w:hAnsi="Arial" w:eastAsia="Arial"/>
                <w:b w:val="0"/>
                <w:color w:val="000000"/>
                <w:sz w:val="17"/>
              </w:rPr>
              <w:t>Province identifier</w:t>
            </w:r>
          </w:p>
        </w:tc>
        <w:tc>
          <w:tcPr>
            <w:tcW w:w="1872"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5D2210FE">
            <w:pPr>
              <w:spacing w:after="0" w:line="240" w:lineRule="auto"/>
              <w:jc w:val="left"/>
              <w:rPr>
                <w:b w:val="0"/>
              </w:rPr>
            </w:pPr>
            <w:r>
              <w:rPr>
                <w:rFonts w:ascii="Arial" w:hAnsi="Arial" w:eastAsia="Arial"/>
                <w:b w:val="0"/>
                <w:color w:val="000000"/>
                <w:sz w:val="17"/>
              </w:rPr>
              <w:t>Integer 1-31</w:t>
            </w:r>
          </w:p>
        </w:tc>
        <w:tc>
          <w:tcPr>
            <w:tcW w:w="2592"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790EFE41">
            <w:pPr>
              <w:spacing w:after="0" w:line="240" w:lineRule="auto"/>
              <w:jc w:val="left"/>
              <w:rPr>
                <w:b w:val="0"/>
              </w:rPr>
            </w:pPr>
            <w:r>
              <w:rPr>
                <w:rFonts w:ascii="Arial" w:hAnsi="Arial" w:eastAsia="Arial"/>
                <w:b w:val="0"/>
                <w:color w:val="000000"/>
                <w:sz w:val="17"/>
              </w:rPr>
              <w:t>Consistent across the supplied panel files</w:t>
            </w:r>
          </w:p>
        </w:tc>
      </w:tr>
      <w:tr w14:paraId="70E9A1A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6EEA0EE6">
            <w:pPr>
              <w:spacing w:after="0" w:line="240" w:lineRule="auto"/>
              <w:jc w:val="center"/>
              <w:rPr>
                <w:b w:val="0"/>
              </w:rPr>
            </w:pPr>
            <w:r>
              <w:rPr>
                <w:rFonts w:ascii="Arial" w:hAnsi="Arial" w:eastAsia="Arial"/>
                <w:b w:val="0"/>
                <w:color w:val="000000"/>
                <w:sz w:val="17"/>
              </w:rPr>
              <w:t>province</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59EB9EDC">
            <w:pPr>
              <w:spacing w:after="0" w:line="240" w:lineRule="auto"/>
              <w:jc w:val="left"/>
              <w:rPr>
                <w:b w:val="0"/>
              </w:rPr>
            </w:pPr>
            <w:r>
              <w:rPr>
                <w:rFonts w:ascii="Arial" w:hAnsi="Arial" w:eastAsia="Arial"/>
                <w:b w:val="0"/>
                <w:color w:val="000000"/>
                <w:sz w:val="17"/>
              </w:rPr>
              <w:t>Province name</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54B2B0C5">
            <w:pPr>
              <w:spacing w:after="0" w:line="240" w:lineRule="auto"/>
              <w:jc w:val="left"/>
              <w:rPr>
                <w:b w:val="0"/>
              </w:rPr>
            </w:pPr>
            <w:r>
              <w:rPr>
                <w:rFonts w:ascii="Arial" w:hAnsi="Arial" w:eastAsia="Arial"/>
                <w:b w:val="0"/>
                <w:color w:val="000000"/>
                <w:sz w:val="17"/>
              </w:rPr>
              <w:t>Text</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238A10D8">
            <w:pPr>
              <w:spacing w:after="0" w:line="240" w:lineRule="auto"/>
              <w:jc w:val="left"/>
              <w:rPr>
                <w:b w:val="0"/>
              </w:rPr>
            </w:pPr>
            <w:r>
              <w:rPr>
                <w:rFonts w:ascii="Arial" w:hAnsi="Arial" w:eastAsia="Arial"/>
                <w:b w:val="0"/>
                <w:color w:val="000000"/>
                <w:sz w:val="17"/>
              </w:rPr>
              <w:t>31 provincial-level regions</w:t>
            </w:r>
          </w:p>
        </w:tc>
      </w:tr>
      <w:tr w14:paraId="3AFD90D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246CBF81">
            <w:pPr>
              <w:spacing w:after="0" w:line="240" w:lineRule="auto"/>
              <w:jc w:val="center"/>
              <w:rPr>
                <w:b w:val="0"/>
              </w:rPr>
            </w:pPr>
            <w:r>
              <w:rPr>
                <w:rFonts w:ascii="Arial" w:hAnsi="Arial" w:eastAsia="Arial"/>
                <w:b w:val="0"/>
                <w:color w:val="000000"/>
                <w:sz w:val="17"/>
              </w:rPr>
              <w:t>year</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508C31DE">
            <w:pPr>
              <w:spacing w:after="0" w:line="240" w:lineRule="auto"/>
              <w:jc w:val="left"/>
              <w:rPr>
                <w:b w:val="0"/>
              </w:rPr>
            </w:pPr>
            <w:r>
              <w:rPr>
                <w:rFonts w:ascii="Arial" w:hAnsi="Arial" w:eastAsia="Arial"/>
                <w:b w:val="0"/>
                <w:color w:val="000000"/>
                <w:sz w:val="17"/>
              </w:rPr>
              <w:t>Observation year</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3DFE7BF8">
            <w:pPr>
              <w:spacing w:after="0" w:line="240" w:lineRule="auto"/>
              <w:jc w:val="left"/>
              <w:rPr>
                <w:b w:val="0"/>
              </w:rPr>
            </w:pPr>
            <w:r>
              <w:rPr>
                <w:rFonts w:ascii="Arial" w:hAnsi="Arial" w:eastAsia="Arial"/>
                <w:b w:val="0"/>
                <w:color w:val="000000"/>
                <w:sz w:val="17"/>
              </w:rPr>
              <w:t>Calendar year</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6BE43ED9">
            <w:pPr>
              <w:spacing w:after="0" w:line="240" w:lineRule="auto"/>
              <w:jc w:val="left"/>
              <w:rPr>
                <w:b w:val="0"/>
              </w:rPr>
            </w:pPr>
            <w:r>
              <w:rPr>
                <w:rFonts w:ascii="Arial" w:hAnsi="Arial" w:eastAsia="Arial"/>
                <w:b w:val="0"/>
                <w:color w:val="000000"/>
                <w:sz w:val="17"/>
              </w:rPr>
              <w:t>2013-2023 study period</w:t>
            </w:r>
          </w:p>
        </w:tc>
      </w:tr>
      <w:tr w14:paraId="18825F4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0ADE58E8">
            <w:pPr>
              <w:spacing w:after="0" w:line="240" w:lineRule="auto"/>
              <w:jc w:val="center"/>
              <w:rPr>
                <w:b w:val="0"/>
              </w:rPr>
            </w:pPr>
            <w:r>
              <w:rPr>
                <w:rFonts w:ascii="Arial" w:hAnsi="Arial" w:eastAsia="Arial"/>
                <w:b w:val="0"/>
                <w:color w:val="000000"/>
                <w:sz w:val="17"/>
              </w:rPr>
              <w:t>Input1</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07D4D81F">
            <w:pPr>
              <w:spacing w:after="0" w:line="240" w:lineRule="auto"/>
              <w:jc w:val="left"/>
              <w:rPr>
                <w:b w:val="0"/>
              </w:rPr>
            </w:pPr>
            <w:r>
              <w:rPr>
                <w:rFonts w:ascii="Arial" w:hAnsi="Arial" w:eastAsia="Arial"/>
                <w:b w:val="0"/>
                <w:color w:val="000000"/>
                <w:sz w:val="17"/>
              </w:rPr>
              <w:t>Culture sports and media expenditure</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4025CD9C">
            <w:pPr>
              <w:spacing w:after="0" w:line="240" w:lineRule="auto"/>
              <w:jc w:val="left"/>
              <w:rPr>
                <w:b w:val="0"/>
              </w:rPr>
            </w:pPr>
            <w:r>
              <w:rPr>
                <w:rFonts w:ascii="Arial" w:hAnsi="Arial" w:eastAsia="Arial"/>
                <w:b w:val="0"/>
                <w:color w:val="000000"/>
                <w:sz w:val="17"/>
              </w:rPr>
              <w:t>100 million yuan</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133122EF">
            <w:pPr>
              <w:spacing w:after="0" w:line="240" w:lineRule="auto"/>
              <w:jc w:val="left"/>
              <w:rPr>
                <w:b w:val="0"/>
              </w:rPr>
            </w:pPr>
            <w:r>
              <w:rPr>
                <w:rFonts w:ascii="Arial" w:hAnsi="Arial" w:eastAsia="Arial"/>
                <w:b w:val="0"/>
                <w:color w:val="000000"/>
                <w:sz w:val="17"/>
              </w:rPr>
              <w:t>Super-SBM input</w:t>
            </w:r>
          </w:p>
        </w:tc>
      </w:tr>
      <w:tr w14:paraId="13F0554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4A704ED1">
            <w:pPr>
              <w:spacing w:after="0" w:line="240" w:lineRule="auto"/>
              <w:jc w:val="center"/>
              <w:rPr>
                <w:b w:val="0"/>
              </w:rPr>
            </w:pPr>
            <w:r>
              <w:rPr>
                <w:rFonts w:ascii="Arial" w:hAnsi="Arial" w:eastAsia="Arial"/>
                <w:b w:val="0"/>
                <w:color w:val="000000"/>
                <w:sz w:val="17"/>
              </w:rPr>
              <w:t>Input2</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562457B9">
            <w:pPr>
              <w:spacing w:after="0" w:line="240" w:lineRule="auto"/>
              <w:jc w:val="left"/>
              <w:rPr>
                <w:b w:val="0"/>
              </w:rPr>
            </w:pPr>
            <w:r>
              <w:rPr>
                <w:rFonts w:ascii="Arial" w:hAnsi="Arial" w:eastAsia="Arial"/>
                <w:b w:val="0"/>
                <w:color w:val="000000"/>
                <w:sz w:val="17"/>
              </w:rPr>
              <w:t>Urban-unit employees in culture sports and entertainment</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4554F02D">
            <w:pPr>
              <w:spacing w:after="0" w:line="240" w:lineRule="auto"/>
              <w:jc w:val="left"/>
              <w:rPr>
                <w:b w:val="0"/>
              </w:rPr>
            </w:pPr>
            <w:r>
              <w:rPr>
                <w:rFonts w:ascii="Arial" w:hAnsi="Arial" w:eastAsia="Arial"/>
                <w:b w:val="0"/>
                <w:color w:val="000000"/>
                <w:sz w:val="17"/>
              </w:rPr>
              <w:t>10 thousand persons</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6F3C010D">
            <w:pPr>
              <w:spacing w:after="0" w:line="240" w:lineRule="auto"/>
              <w:jc w:val="left"/>
              <w:rPr>
                <w:b w:val="0"/>
              </w:rPr>
            </w:pPr>
            <w:r>
              <w:rPr>
                <w:rFonts w:ascii="Arial" w:hAnsi="Arial" w:eastAsia="Arial"/>
                <w:b w:val="0"/>
                <w:color w:val="000000"/>
                <w:sz w:val="17"/>
              </w:rPr>
              <w:t>Super-SBM input</w:t>
            </w:r>
          </w:p>
        </w:tc>
      </w:tr>
      <w:tr w14:paraId="794DF4D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0119F4F5">
            <w:pPr>
              <w:spacing w:after="0" w:line="240" w:lineRule="auto"/>
              <w:jc w:val="center"/>
              <w:rPr>
                <w:b w:val="0"/>
              </w:rPr>
            </w:pPr>
            <w:r>
              <w:rPr>
                <w:rFonts w:ascii="Arial" w:hAnsi="Arial" w:eastAsia="Arial"/>
                <w:b w:val="0"/>
                <w:color w:val="000000"/>
                <w:sz w:val="17"/>
              </w:rPr>
              <w:t>Input3</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47A9347F">
            <w:pPr>
              <w:spacing w:after="0" w:line="240" w:lineRule="auto"/>
              <w:jc w:val="left"/>
              <w:rPr>
                <w:b w:val="0"/>
              </w:rPr>
            </w:pPr>
            <w:r>
              <w:rPr>
                <w:rFonts w:ascii="Arial" w:hAnsi="Arial" w:eastAsia="Arial"/>
                <w:b w:val="0"/>
                <w:color w:val="000000"/>
                <w:sz w:val="17"/>
              </w:rPr>
              <w:t>Total park area</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6744D6AD">
            <w:pPr>
              <w:spacing w:after="0" w:line="240" w:lineRule="auto"/>
              <w:jc w:val="left"/>
              <w:rPr>
                <w:b w:val="0"/>
              </w:rPr>
            </w:pPr>
            <w:r>
              <w:rPr>
                <w:rFonts w:ascii="Arial" w:hAnsi="Arial" w:eastAsia="Arial"/>
                <w:b w:val="0"/>
                <w:color w:val="000000"/>
                <w:sz w:val="17"/>
              </w:rPr>
              <w:t>Hectares</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1DBCF535">
            <w:pPr>
              <w:spacing w:after="0" w:line="240" w:lineRule="auto"/>
              <w:jc w:val="left"/>
              <w:rPr>
                <w:b w:val="0"/>
              </w:rPr>
            </w:pPr>
            <w:r>
              <w:rPr>
                <w:rFonts w:ascii="Arial" w:hAnsi="Arial" w:eastAsia="Arial"/>
                <w:b w:val="0"/>
                <w:color w:val="000000"/>
                <w:sz w:val="17"/>
              </w:rPr>
              <w:t>Super-SBM input</w:t>
            </w:r>
          </w:p>
        </w:tc>
      </w:tr>
      <w:tr w14:paraId="3DF60C0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561FC105">
            <w:pPr>
              <w:spacing w:after="0" w:line="240" w:lineRule="auto"/>
              <w:jc w:val="center"/>
              <w:rPr>
                <w:b w:val="0"/>
              </w:rPr>
            </w:pPr>
            <w:r>
              <w:rPr>
                <w:rFonts w:ascii="Arial" w:hAnsi="Arial" w:eastAsia="Arial"/>
                <w:b w:val="0"/>
                <w:color w:val="000000"/>
                <w:sz w:val="17"/>
              </w:rPr>
              <w:t>Input4</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6E820377">
            <w:pPr>
              <w:spacing w:after="0" w:line="240" w:lineRule="auto"/>
              <w:jc w:val="left"/>
              <w:rPr>
                <w:b w:val="0"/>
              </w:rPr>
            </w:pPr>
            <w:r>
              <w:rPr>
                <w:rFonts w:ascii="Arial" w:hAnsi="Arial" w:eastAsia="Arial"/>
                <w:b w:val="0"/>
                <w:color w:val="000000"/>
                <w:sz w:val="17"/>
              </w:rPr>
              <w:t>Number of A-level scenic attractions</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61FC75D8">
            <w:pPr>
              <w:spacing w:after="0" w:line="240" w:lineRule="auto"/>
              <w:jc w:val="left"/>
              <w:rPr>
                <w:b w:val="0"/>
              </w:rPr>
            </w:pPr>
            <w:r>
              <w:rPr>
                <w:rFonts w:ascii="Arial" w:hAnsi="Arial" w:eastAsia="Arial"/>
                <w:b w:val="0"/>
                <w:color w:val="000000"/>
                <w:sz w:val="17"/>
              </w:rPr>
              <w:t>Count</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31912FE1">
            <w:pPr>
              <w:spacing w:after="0" w:line="240" w:lineRule="auto"/>
              <w:jc w:val="left"/>
              <w:rPr>
                <w:b w:val="0"/>
              </w:rPr>
            </w:pPr>
            <w:r>
              <w:rPr>
                <w:rFonts w:ascii="Arial" w:hAnsi="Arial" w:eastAsia="Arial"/>
                <w:b w:val="0"/>
                <w:color w:val="000000"/>
                <w:sz w:val="17"/>
              </w:rPr>
              <w:t>Super-SBM input</w:t>
            </w:r>
          </w:p>
        </w:tc>
      </w:tr>
      <w:tr w14:paraId="26FA3D7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2007001F">
            <w:pPr>
              <w:spacing w:after="0" w:line="240" w:lineRule="auto"/>
              <w:jc w:val="center"/>
              <w:rPr>
                <w:b w:val="0"/>
              </w:rPr>
            </w:pPr>
            <w:r>
              <w:rPr>
                <w:rFonts w:ascii="Arial" w:hAnsi="Arial" w:eastAsia="Arial"/>
                <w:b w:val="0"/>
                <w:color w:val="000000"/>
                <w:sz w:val="17"/>
              </w:rPr>
              <w:t>Output1</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1EB8A778">
            <w:pPr>
              <w:spacing w:after="0" w:line="240" w:lineRule="auto"/>
              <w:jc w:val="left"/>
              <w:rPr>
                <w:b w:val="0"/>
              </w:rPr>
            </w:pPr>
            <w:r>
              <w:rPr>
                <w:rFonts w:ascii="Arial" w:hAnsi="Arial" w:eastAsia="Arial"/>
                <w:b w:val="0"/>
                <w:color w:val="000000"/>
                <w:sz w:val="17"/>
              </w:rPr>
              <w:t>Forestry leisure tourism visits</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7C9FEE60">
            <w:pPr>
              <w:spacing w:after="0" w:line="240" w:lineRule="auto"/>
              <w:jc w:val="left"/>
              <w:rPr>
                <w:b w:val="0"/>
              </w:rPr>
            </w:pPr>
            <w:r>
              <w:rPr>
                <w:rFonts w:ascii="Arial" w:hAnsi="Arial" w:eastAsia="Arial"/>
                <w:b w:val="0"/>
                <w:color w:val="000000"/>
                <w:sz w:val="17"/>
              </w:rPr>
              <w:t>Visits</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5C250A88">
            <w:pPr>
              <w:spacing w:after="0" w:line="240" w:lineRule="auto"/>
              <w:jc w:val="left"/>
              <w:rPr>
                <w:b w:val="0"/>
              </w:rPr>
            </w:pPr>
            <w:r>
              <w:rPr>
                <w:rFonts w:ascii="Arial" w:hAnsi="Arial" w:eastAsia="Arial"/>
                <w:b w:val="0"/>
                <w:color w:val="000000"/>
                <w:sz w:val="17"/>
              </w:rPr>
              <w:t>Super-SBM desirable output</w:t>
            </w:r>
          </w:p>
        </w:tc>
      </w:tr>
      <w:tr w14:paraId="6AE098F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401E0394">
            <w:pPr>
              <w:spacing w:after="0" w:line="240" w:lineRule="auto"/>
              <w:jc w:val="center"/>
              <w:rPr>
                <w:b w:val="0"/>
              </w:rPr>
            </w:pPr>
            <w:r>
              <w:rPr>
                <w:rFonts w:ascii="Arial" w:hAnsi="Arial" w:eastAsia="Arial"/>
                <w:b w:val="0"/>
                <w:color w:val="000000"/>
                <w:sz w:val="17"/>
              </w:rPr>
              <w:t>Output2</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42DEC2BB">
            <w:pPr>
              <w:spacing w:after="0" w:line="240" w:lineRule="auto"/>
              <w:jc w:val="left"/>
              <w:rPr>
                <w:b w:val="0"/>
              </w:rPr>
            </w:pPr>
            <w:r>
              <w:rPr>
                <w:rFonts w:ascii="Arial" w:hAnsi="Arial" w:eastAsia="Arial"/>
                <w:b w:val="0"/>
                <w:color w:val="000000"/>
                <w:sz w:val="17"/>
              </w:rPr>
              <w:t>Forestry leisure tourism revenue</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4D68B148">
            <w:pPr>
              <w:spacing w:after="0" w:line="240" w:lineRule="auto"/>
              <w:jc w:val="left"/>
              <w:rPr>
                <w:b w:val="0"/>
              </w:rPr>
            </w:pPr>
            <w:r>
              <w:rPr>
                <w:rFonts w:ascii="Arial" w:hAnsi="Arial" w:eastAsia="Arial"/>
                <w:b w:val="0"/>
                <w:color w:val="000000"/>
                <w:sz w:val="17"/>
              </w:rPr>
              <w:t>10 thousand yuan</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29A628B8">
            <w:pPr>
              <w:spacing w:after="0" w:line="240" w:lineRule="auto"/>
              <w:jc w:val="left"/>
              <w:rPr>
                <w:b w:val="0"/>
              </w:rPr>
            </w:pPr>
            <w:r>
              <w:rPr>
                <w:rFonts w:ascii="Arial" w:hAnsi="Arial" w:eastAsia="Arial"/>
                <w:b w:val="0"/>
                <w:color w:val="000000"/>
                <w:sz w:val="17"/>
              </w:rPr>
              <w:t>Super-SBM desirable output</w:t>
            </w:r>
          </w:p>
        </w:tc>
      </w:tr>
      <w:tr w14:paraId="7EE7384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542294AA">
            <w:pPr>
              <w:spacing w:after="0" w:line="240" w:lineRule="auto"/>
              <w:jc w:val="center"/>
              <w:rPr>
                <w:b w:val="0"/>
              </w:rPr>
            </w:pPr>
            <w:r>
              <w:rPr>
                <w:rFonts w:ascii="Arial" w:hAnsi="Arial" w:eastAsia="Arial"/>
                <w:b w:val="0"/>
                <w:color w:val="000000"/>
                <w:sz w:val="17"/>
              </w:rPr>
              <w:t>FLTE</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763C12FA">
            <w:pPr>
              <w:spacing w:after="0" w:line="240" w:lineRule="auto"/>
              <w:jc w:val="left"/>
              <w:rPr>
                <w:b w:val="0"/>
              </w:rPr>
            </w:pPr>
            <w:r>
              <w:rPr>
                <w:rFonts w:ascii="Arial" w:hAnsi="Arial" w:eastAsia="Arial"/>
                <w:b w:val="0"/>
                <w:color w:val="000000"/>
                <w:sz w:val="17"/>
              </w:rPr>
              <w:t>Forestry leisure tourism development efficiency</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560D655F">
            <w:pPr>
              <w:spacing w:after="0" w:line="240" w:lineRule="auto"/>
              <w:jc w:val="left"/>
              <w:rPr>
                <w:b w:val="0"/>
              </w:rPr>
            </w:pPr>
            <w:r>
              <w:rPr>
                <w:rFonts w:ascii="Arial" w:hAnsi="Arial" w:eastAsia="Arial"/>
                <w:b w:val="0"/>
                <w:color w:val="000000"/>
                <w:sz w:val="17"/>
              </w:rPr>
              <w:t>Efficiency score</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0F270E0F">
            <w:pPr>
              <w:spacing w:after="0" w:line="240" w:lineRule="auto"/>
              <w:jc w:val="left"/>
              <w:rPr>
                <w:b w:val="0"/>
              </w:rPr>
            </w:pPr>
            <w:r>
              <w:rPr>
                <w:rFonts w:ascii="Arial" w:hAnsi="Arial" w:eastAsia="Arial"/>
                <w:b w:val="0"/>
                <w:color w:val="000000"/>
                <w:sz w:val="17"/>
              </w:rPr>
              <w:t>Global Super-SBM CRS efficiency output</w:t>
            </w:r>
          </w:p>
        </w:tc>
      </w:tr>
      <w:tr w14:paraId="6F964F3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72AFC402">
            <w:pPr>
              <w:spacing w:after="0" w:line="240" w:lineRule="auto"/>
              <w:jc w:val="center"/>
              <w:rPr>
                <w:b w:val="0"/>
              </w:rPr>
            </w:pPr>
            <w:r>
              <w:rPr>
                <w:rFonts w:ascii="Arial" w:hAnsi="Arial" w:eastAsia="Arial"/>
                <w:b w:val="0"/>
                <w:color w:val="000000"/>
                <w:sz w:val="17"/>
              </w:rPr>
              <w:t>x1 / URB</w:t>
            </w:r>
          </w:p>
        </w:tc>
        <w:tc>
          <w:tcPr>
            <w:tcW w:w="3240" w:type="dxa"/>
            <w:tcBorders>
              <w:top w:val="nil"/>
              <w:left w:val="nil"/>
              <w:bottom w:val="nil"/>
              <w:right w:val="nil"/>
            </w:tcBorders>
            <w:shd w:val="clear" w:color="auto" w:fill="FFFFFF"/>
            <w:tcMar>
              <w:top w:w="80" w:type="dxa"/>
              <w:left w:w="90" w:type="dxa"/>
              <w:bottom w:w="80" w:type="dxa"/>
              <w:right w:w="90" w:type="dxa"/>
            </w:tcMar>
            <w:vAlign w:val="center"/>
          </w:tcPr>
          <w:p w14:paraId="43F4AD46">
            <w:pPr>
              <w:spacing w:after="0" w:line="240" w:lineRule="auto"/>
              <w:jc w:val="left"/>
              <w:rPr>
                <w:b w:val="0"/>
              </w:rPr>
            </w:pPr>
            <w:r>
              <w:rPr>
                <w:rFonts w:ascii="Arial" w:hAnsi="Arial" w:eastAsia="Arial"/>
                <w:b w:val="0"/>
                <w:color w:val="000000"/>
                <w:sz w:val="17"/>
              </w:rPr>
              <w:t>Urbanization level</w:t>
            </w:r>
          </w:p>
        </w:tc>
        <w:tc>
          <w:tcPr>
            <w:tcW w:w="1872" w:type="dxa"/>
            <w:tcBorders>
              <w:top w:val="nil"/>
              <w:left w:val="nil"/>
              <w:bottom w:val="nil"/>
              <w:right w:val="nil"/>
            </w:tcBorders>
            <w:shd w:val="clear" w:color="auto" w:fill="FFFFFF"/>
            <w:tcMar>
              <w:top w:w="80" w:type="dxa"/>
              <w:left w:w="90" w:type="dxa"/>
              <w:bottom w:w="80" w:type="dxa"/>
              <w:right w:w="90" w:type="dxa"/>
            </w:tcMar>
            <w:vAlign w:val="center"/>
          </w:tcPr>
          <w:p w14:paraId="412EC0BE">
            <w:pPr>
              <w:spacing w:after="0" w:line="240" w:lineRule="auto"/>
              <w:jc w:val="left"/>
              <w:rPr>
                <w:b w:val="0"/>
              </w:rPr>
            </w:pPr>
            <w:r>
              <w:rPr>
                <w:rFonts w:ascii="Arial" w:hAnsi="Arial" w:eastAsia="Arial"/>
                <w:b w:val="0"/>
                <w:color w:val="000000"/>
                <w:sz w:val="17"/>
              </w:rPr>
              <w:t>Proportion or rate</w:t>
            </w:r>
          </w:p>
        </w:tc>
        <w:tc>
          <w:tcPr>
            <w:tcW w:w="2592" w:type="dxa"/>
            <w:tcBorders>
              <w:top w:val="nil"/>
              <w:left w:val="nil"/>
              <w:bottom w:val="nil"/>
              <w:right w:val="nil"/>
            </w:tcBorders>
            <w:shd w:val="clear" w:color="auto" w:fill="FFFFFF"/>
            <w:tcMar>
              <w:top w:w="80" w:type="dxa"/>
              <w:left w:w="90" w:type="dxa"/>
              <w:bottom w:w="80" w:type="dxa"/>
              <w:right w:w="90" w:type="dxa"/>
            </w:tcMar>
            <w:vAlign w:val="center"/>
          </w:tcPr>
          <w:p w14:paraId="555744B3">
            <w:pPr>
              <w:spacing w:after="0" w:line="240" w:lineRule="auto"/>
              <w:jc w:val="left"/>
              <w:rPr>
                <w:b w:val="0"/>
              </w:rPr>
            </w:pPr>
            <w:r>
              <w:rPr>
                <w:rFonts w:ascii="Arial" w:hAnsi="Arial" w:eastAsia="Arial"/>
                <w:b w:val="0"/>
                <w:color w:val="000000"/>
                <w:sz w:val="17"/>
              </w:rPr>
              <w:t>Level form in Excel and natural logarithm in SDM_Log_Transformed_Data.dta</w:t>
            </w:r>
          </w:p>
        </w:tc>
      </w:tr>
      <w:tr w14:paraId="51BF057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72FCC52A">
            <w:pPr>
              <w:spacing w:after="0" w:line="240" w:lineRule="auto"/>
              <w:jc w:val="center"/>
              <w:rPr>
                <w:rFonts w:hint="default" w:ascii="Times New Roman" w:hAnsi="Times New Roman" w:cs="Times New Roman"/>
                <w:b w:val="0"/>
              </w:rPr>
            </w:pPr>
            <w:r>
              <w:rPr>
                <w:rFonts w:hint="default" w:ascii="Times New Roman" w:hAnsi="Times New Roman" w:eastAsia="Arial" w:cs="Times New Roman"/>
                <w:b w:val="0"/>
                <w:color w:val="000000"/>
                <w:sz w:val="17"/>
              </w:rPr>
              <w:t>x2 / TDL</w:t>
            </w:r>
          </w:p>
        </w:tc>
        <w:tc>
          <w:tcPr>
            <w:tcW w:w="3240"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318598DB">
            <w:pPr>
              <w:spacing w:after="0" w:line="240" w:lineRule="auto"/>
              <w:jc w:val="left"/>
              <w:rPr>
                <w:rFonts w:hint="default" w:ascii="Times New Roman" w:hAnsi="Times New Roman" w:cs="Times New Roman"/>
                <w:b w:val="0"/>
              </w:rPr>
            </w:pPr>
            <w:r>
              <w:rPr>
                <w:rFonts w:hint="default" w:ascii="Times New Roman" w:hAnsi="Times New Roman" w:eastAsia="Arial" w:cs="Times New Roman"/>
                <w:b w:val="0"/>
                <w:color w:val="000000"/>
                <w:sz w:val="17"/>
              </w:rPr>
              <w:t>Tourism development level</w:t>
            </w:r>
          </w:p>
        </w:tc>
        <w:tc>
          <w:tcPr>
            <w:tcW w:w="1872"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03AE4E07">
            <w:pPr>
              <w:spacing w:after="0" w:line="240" w:lineRule="auto"/>
              <w:jc w:val="left"/>
              <w:rPr>
                <w:rFonts w:hint="default" w:ascii="Times New Roman" w:hAnsi="Times New Roman" w:cs="Times New Roman"/>
                <w:b w:val="0"/>
              </w:rPr>
            </w:pPr>
            <w:r>
              <w:rPr>
                <w:rFonts w:hint="default" w:ascii="Times New Roman" w:hAnsi="Times New Roman" w:eastAsia="Arial" w:cs="Times New Roman"/>
                <w:b w:val="0"/>
                <w:color w:val="000000"/>
                <w:sz w:val="17"/>
              </w:rPr>
              <w:t>Index or rate</w:t>
            </w:r>
          </w:p>
        </w:tc>
        <w:tc>
          <w:tcPr>
            <w:tcW w:w="2592"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5E03EFB1">
            <w:pPr>
              <w:spacing w:after="0" w:line="240" w:lineRule="auto"/>
              <w:jc w:val="left"/>
              <w:rPr>
                <w:rFonts w:hint="default" w:ascii="Times New Roman" w:hAnsi="Times New Roman" w:cs="Times New Roman"/>
                <w:b w:val="0"/>
              </w:rPr>
            </w:pPr>
            <w:r>
              <w:rPr>
                <w:rFonts w:hint="default" w:ascii="Times New Roman" w:hAnsi="Times New Roman" w:eastAsia="Arial" w:cs="Times New Roman"/>
                <w:b w:val="0"/>
                <w:color w:val="000000"/>
                <w:sz w:val="17"/>
              </w:rPr>
              <w:t>Level form in Excel and natural logarithm in SDM_Log_Transformed_Data.dta</w:t>
            </w:r>
          </w:p>
        </w:tc>
      </w:tr>
      <w:tr w14:paraId="2BDF693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Mar>
              <w:top w:w="80" w:type="dxa"/>
              <w:left w:w="90" w:type="dxa"/>
              <w:bottom w:w="80" w:type="dxa"/>
              <w:right w:w="90" w:type="dxa"/>
            </w:tcMar>
            <w:vAlign w:val="center"/>
          </w:tcPr>
          <w:p w14:paraId="2E13E281">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x3 / IS</w:t>
            </w:r>
          </w:p>
        </w:tc>
        <w:tc>
          <w:tcPr>
            <w:tcW w:w="3240" w:type="dxa"/>
            <w:tcMar>
              <w:top w:w="80" w:type="dxa"/>
              <w:left w:w="90" w:type="dxa"/>
              <w:bottom w:w="80" w:type="dxa"/>
              <w:right w:w="90" w:type="dxa"/>
            </w:tcMar>
            <w:vAlign w:val="center"/>
          </w:tcPr>
          <w:p w14:paraId="32F8C310">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Industrial structure</w:t>
            </w:r>
          </w:p>
        </w:tc>
        <w:tc>
          <w:tcPr>
            <w:tcW w:w="1872" w:type="dxa"/>
            <w:tcMar>
              <w:top w:w="80" w:type="dxa"/>
              <w:left w:w="90" w:type="dxa"/>
              <w:bottom w:w="80" w:type="dxa"/>
              <w:right w:w="90" w:type="dxa"/>
            </w:tcMar>
            <w:vAlign w:val="center"/>
          </w:tcPr>
          <w:p w14:paraId="63C34FB1">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Index or proportion</w:t>
            </w:r>
          </w:p>
        </w:tc>
        <w:tc>
          <w:tcPr>
            <w:tcW w:w="2592" w:type="dxa"/>
            <w:tcMar>
              <w:top w:w="80" w:type="dxa"/>
              <w:left w:w="90" w:type="dxa"/>
              <w:bottom w:w="80" w:type="dxa"/>
              <w:right w:w="90" w:type="dxa"/>
            </w:tcMar>
            <w:vAlign w:val="center"/>
          </w:tcPr>
          <w:p w14:paraId="3640B90D">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Level form in Excel and natural logarithm in SDM_Log_Transformed_Data.dta</w:t>
            </w:r>
          </w:p>
        </w:tc>
      </w:tr>
      <w:tr w14:paraId="70EAB17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shd w:val="clear" w:color="auto" w:fill="F2F6FA"/>
            <w:tcMar>
              <w:top w:w="80" w:type="dxa"/>
              <w:left w:w="90" w:type="dxa"/>
              <w:bottom w:w="80" w:type="dxa"/>
              <w:right w:w="90" w:type="dxa"/>
            </w:tcMar>
            <w:vAlign w:val="center"/>
          </w:tcPr>
          <w:p w14:paraId="627B0D68">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x4 / LD</w:t>
            </w:r>
          </w:p>
        </w:tc>
        <w:tc>
          <w:tcPr>
            <w:tcW w:w="3240" w:type="dxa"/>
            <w:shd w:val="clear" w:color="auto" w:fill="F2F6FA"/>
            <w:tcMar>
              <w:top w:w="80" w:type="dxa"/>
              <w:left w:w="90" w:type="dxa"/>
              <w:bottom w:w="80" w:type="dxa"/>
              <w:right w:w="90" w:type="dxa"/>
            </w:tcMar>
            <w:vAlign w:val="center"/>
          </w:tcPr>
          <w:p w14:paraId="40B3BC93">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Leisure demand level</w:t>
            </w:r>
          </w:p>
        </w:tc>
        <w:tc>
          <w:tcPr>
            <w:tcW w:w="1872" w:type="dxa"/>
            <w:shd w:val="clear" w:color="auto" w:fill="F2F6FA"/>
            <w:tcMar>
              <w:top w:w="80" w:type="dxa"/>
              <w:left w:w="90" w:type="dxa"/>
              <w:bottom w:w="80" w:type="dxa"/>
              <w:right w:w="90" w:type="dxa"/>
            </w:tcMar>
            <w:vAlign w:val="center"/>
          </w:tcPr>
          <w:p w14:paraId="3FB14D8F">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Index or proportion</w:t>
            </w:r>
          </w:p>
        </w:tc>
        <w:tc>
          <w:tcPr>
            <w:tcW w:w="2592" w:type="dxa"/>
            <w:shd w:val="clear" w:color="auto" w:fill="F2F6FA"/>
            <w:tcMar>
              <w:top w:w="80" w:type="dxa"/>
              <w:left w:w="90" w:type="dxa"/>
              <w:bottom w:w="80" w:type="dxa"/>
              <w:right w:w="90" w:type="dxa"/>
            </w:tcMar>
            <w:vAlign w:val="center"/>
          </w:tcPr>
          <w:p w14:paraId="3F2C9B68">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Level form in Excel and natural logarithm in SDM_Log_Transformed_Data.dta</w:t>
            </w:r>
          </w:p>
        </w:tc>
      </w:tr>
      <w:tr w14:paraId="3D74F65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Mar>
              <w:top w:w="80" w:type="dxa"/>
              <w:left w:w="90" w:type="dxa"/>
              <w:bottom w:w="80" w:type="dxa"/>
              <w:right w:w="90" w:type="dxa"/>
            </w:tcMar>
            <w:vAlign w:val="center"/>
          </w:tcPr>
          <w:p w14:paraId="763E26D4">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x5 / NDVI</w:t>
            </w:r>
          </w:p>
        </w:tc>
        <w:tc>
          <w:tcPr>
            <w:tcW w:w="3240" w:type="dxa"/>
            <w:tcMar>
              <w:top w:w="80" w:type="dxa"/>
              <w:left w:w="90" w:type="dxa"/>
              <w:bottom w:w="80" w:type="dxa"/>
              <w:right w:w="90" w:type="dxa"/>
            </w:tcMar>
            <w:vAlign w:val="center"/>
          </w:tcPr>
          <w:p w14:paraId="529B8BF9">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Annual mean normalized difference vegetation index</w:t>
            </w:r>
          </w:p>
        </w:tc>
        <w:tc>
          <w:tcPr>
            <w:tcW w:w="1872" w:type="dxa"/>
            <w:tcMar>
              <w:top w:w="80" w:type="dxa"/>
              <w:left w:w="90" w:type="dxa"/>
              <w:bottom w:w="80" w:type="dxa"/>
              <w:right w:w="90" w:type="dxa"/>
            </w:tcMar>
            <w:vAlign w:val="center"/>
          </w:tcPr>
          <w:p w14:paraId="7EF45CFB">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Index</w:t>
            </w:r>
          </w:p>
        </w:tc>
        <w:tc>
          <w:tcPr>
            <w:tcW w:w="2592" w:type="dxa"/>
            <w:tcMar>
              <w:top w:w="80" w:type="dxa"/>
              <w:left w:w="90" w:type="dxa"/>
              <w:bottom w:w="80" w:type="dxa"/>
              <w:right w:w="90" w:type="dxa"/>
            </w:tcMar>
            <w:vAlign w:val="center"/>
          </w:tcPr>
          <w:p w14:paraId="44AFA452">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Level form in Excel and natural logarithm in SDM_Log_Transformed_Data.dta</w:t>
            </w:r>
          </w:p>
        </w:tc>
      </w:tr>
      <w:tr w14:paraId="160A486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shd w:val="clear" w:color="auto" w:fill="F2F6FA"/>
            <w:tcMar>
              <w:top w:w="80" w:type="dxa"/>
              <w:left w:w="90" w:type="dxa"/>
              <w:bottom w:w="80" w:type="dxa"/>
              <w:right w:w="90" w:type="dxa"/>
            </w:tcMar>
            <w:vAlign w:val="center"/>
          </w:tcPr>
          <w:p w14:paraId="1C945822">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lon</w:t>
            </w:r>
          </w:p>
        </w:tc>
        <w:tc>
          <w:tcPr>
            <w:tcW w:w="3240" w:type="dxa"/>
            <w:shd w:val="clear" w:color="auto" w:fill="F2F6FA"/>
            <w:tcMar>
              <w:top w:w="80" w:type="dxa"/>
              <w:left w:w="90" w:type="dxa"/>
              <w:bottom w:w="80" w:type="dxa"/>
              <w:right w:w="90" w:type="dxa"/>
            </w:tcMar>
            <w:vAlign w:val="center"/>
          </w:tcPr>
          <w:p w14:paraId="7BE02D64">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Province coordinate longitude</w:t>
            </w:r>
          </w:p>
        </w:tc>
        <w:tc>
          <w:tcPr>
            <w:tcW w:w="1872" w:type="dxa"/>
            <w:shd w:val="clear" w:color="auto" w:fill="F2F6FA"/>
            <w:tcMar>
              <w:top w:w="80" w:type="dxa"/>
              <w:left w:w="90" w:type="dxa"/>
              <w:bottom w:w="80" w:type="dxa"/>
              <w:right w:w="90" w:type="dxa"/>
            </w:tcMar>
            <w:vAlign w:val="center"/>
          </w:tcPr>
          <w:p w14:paraId="33F631E1">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Decimal degrees</w:t>
            </w:r>
          </w:p>
        </w:tc>
        <w:tc>
          <w:tcPr>
            <w:tcW w:w="2592" w:type="dxa"/>
            <w:shd w:val="clear" w:color="auto" w:fill="F2F6FA"/>
            <w:tcMar>
              <w:top w:w="80" w:type="dxa"/>
              <w:left w:w="90" w:type="dxa"/>
              <w:bottom w:w="80" w:type="dxa"/>
              <w:right w:w="90" w:type="dxa"/>
            </w:tcMar>
            <w:vAlign w:val="center"/>
          </w:tcPr>
          <w:p w14:paraId="1E48AAA0">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Used for geographic identification or spatial interpretation</w:t>
            </w:r>
          </w:p>
        </w:tc>
      </w:tr>
      <w:tr w14:paraId="10D7AF9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Mar>
              <w:top w:w="80" w:type="dxa"/>
              <w:left w:w="90" w:type="dxa"/>
              <w:bottom w:w="80" w:type="dxa"/>
              <w:right w:w="90" w:type="dxa"/>
            </w:tcMar>
            <w:vAlign w:val="center"/>
          </w:tcPr>
          <w:p w14:paraId="1E55B410">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lat</w:t>
            </w:r>
          </w:p>
        </w:tc>
        <w:tc>
          <w:tcPr>
            <w:tcW w:w="3240" w:type="dxa"/>
            <w:tcMar>
              <w:top w:w="80" w:type="dxa"/>
              <w:left w:w="90" w:type="dxa"/>
              <w:bottom w:w="80" w:type="dxa"/>
              <w:right w:w="90" w:type="dxa"/>
            </w:tcMar>
            <w:vAlign w:val="center"/>
          </w:tcPr>
          <w:p w14:paraId="38A8C143">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Province coordinate latitude</w:t>
            </w:r>
          </w:p>
        </w:tc>
        <w:tc>
          <w:tcPr>
            <w:tcW w:w="1872" w:type="dxa"/>
            <w:tcMar>
              <w:top w:w="80" w:type="dxa"/>
              <w:left w:w="90" w:type="dxa"/>
              <w:bottom w:w="80" w:type="dxa"/>
              <w:right w:w="90" w:type="dxa"/>
            </w:tcMar>
            <w:vAlign w:val="center"/>
          </w:tcPr>
          <w:p w14:paraId="1EF7D4F4">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Decimal degrees</w:t>
            </w:r>
          </w:p>
        </w:tc>
        <w:tc>
          <w:tcPr>
            <w:tcW w:w="2592" w:type="dxa"/>
            <w:tcMar>
              <w:top w:w="80" w:type="dxa"/>
              <w:left w:w="90" w:type="dxa"/>
              <w:bottom w:w="80" w:type="dxa"/>
              <w:right w:w="90" w:type="dxa"/>
            </w:tcMar>
            <w:vAlign w:val="center"/>
          </w:tcPr>
          <w:p w14:paraId="2079B3B9">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Used for geographic identification or spatial interpretation</w:t>
            </w:r>
          </w:p>
        </w:tc>
      </w:tr>
      <w:tr w14:paraId="3E9C766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shd w:val="clear" w:color="auto" w:fill="F2F6FA"/>
            <w:tcMar>
              <w:top w:w="80" w:type="dxa"/>
              <w:left w:w="90" w:type="dxa"/>
              <w:bottom w:w="80" w:type="dxa"/>
              <w:right w:w="90" w:type="dxa"/>
            </w:tcMar>
            <w:vAlign w:val="center"/>
          </w:tcPr>
          <w:p w14:paraId="6AC3EE5A">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row and column values</w:t>
            </w:r>
          </w:p>
        </w:tc>
        <w:tc>
          <w:tcPr>
            <w:tcW w:w="3240" w:type="dxa"/>
            <w:shd w:val="clear" w:color="auto" w:fill="F2F6FA"/>
            <w:tcMar>
              <w:top w:w="80" w:type="dxa"/>
              <w:left w:w="90" w:type="dxa"/>
              <w:bottom w:w="80" w:type="dxa"/>
              <w:right w:w="90" w:type="dxa"/>
            </w:tcMar>
            <w:vAlign w:val="center"/>
          </w:tcPr>
          <w:p w14:paraId="35337D1B">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Spatial-weight matrix elements</w:t>
            </w:r>
          </w:p>
        </w:tc>
        <w:tc>
          <w:tcPr>
            <w:tcW w:w="1872" w:type="dxa"/>
            <w:shd w:val="clear" w:color="auto" w:fill="F2F6FA"/>
            <w:tcMar>
              <w:top w:w="80" w:type="dxa"/>
              <w:left w:w="90" w:type="dxa"/>
              <w:bottom w:w="80" w:type="dxa"/>
              <w:right w:w="90" w:type="dxa"/>
            </w:tcMar>
            <w:vAlign w:val="center"/>
          </w:tcPr>
          <w:p w14:paraId="0C50FE39">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Numeric 31 by 31 matrix</w:t>
            </w:r>
          </w:p>
        </w:tc>
        <w:tc>
          <w:tcPr>
            <w:tcW w:w="2592" w:type="dxa"/>
            <w:shd w:val="clear" w:color="auto" w:fill="F2F6FA"/>
            <w:tcMar>
              <w:top w:w="80" w:type="dxa"/>
              <w:left w:w="90" w:type="dxa"/>
              <w:bottom w:w="80" w:type="dxa"/>
              <w:right w:w="90" w:type="dxa"/>
            </w:tcMar>
            <w:vAlign w:val="center"/>
          </w:tcPr>
          <w:p w14:paraId="710DBCBF">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Original analysis file preserved unchanged</w:t>
            </w:r>
          </w:p>
        </w:tc>
      </w:tr>
      <w:tr w14:paraId="108068C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Mar>
              <w:top w:w="80" w:type="dxa"/>
              <w:left w:w="90" w:type="dxa"/>
              <w:bottom w:w="80" w:type="dxa"/>
              <w:right w:w="90" w:type="dxa"/>
            </w:tcMar>
            <w:vAlign w:val="center"/>
          </w:tcPr>
          <w:p w14:paraId="21483038">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full membership</w:t>
            </w:r>
          </w:p>
        </w:tc>
        <w:tc>
          <w:tcPr>
            <w:tcW w:w="3240" w:type="dxa"/>
            <w:tcMar>
              <w:top w:w="80" w:type="dxa"/>
              <w:left w:w="90" w:type="dxa"/>
              <w:bottom w:w="80" w:type="dxa"/>
              <w:right w:w="90" w:type="dxa"/>
            </w:tcMar>
            <w:vAlign w:val="center"/>
          </w:tcPr>
          <w:p w14:paraId="7A0DA408">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Threshold for full set membership</w:t>
            </w:r>
          </w:p>
        </w:tc>
        <w:tc>
          <w:tcPr>
            <w:tcW w:w="1872" w:type="dxa"/>
            <w:tcMar>
              <w:top w:w="80" w:type="dxa"/>
              <w:left w:w="90" w:type="dxa"/>
              <w:bottom w:w="80" w:type="dxa"/>
              <w:right w:w="90" w:type="dxa"/>
            </w:tcMar>
            <w:vAlign w:val="center"/>
          </w:tcPr>
          <w:p w14:paraId="01C28F04">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Fuzzy-set anchor</w:t>
            </w:r>
          </w:p>
        </w:tc>
        <w:tc>
          <w:tcPr>
            <w:tcW w:w="2592" w:type="dxa"/>
            <w:tcMar>
              <w:top w:w="80" w:type="dxa"/>
              <w:left w:w="90" w:type="dxa"/>
              <w:bottom w:w="80" w:type="dxa"/>
              <w:right w:w="90" w:type="dxa"/>
            </w:tcMar>
            <w:vAlign w:val="center"/>
          </w:tcPr>
          <w:p w14:paraId="4316A8C1">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75th percentile reported in the manuscript</w:t>
            </w:r>
          </w:p>
        </w:tc>
      </w:tr>
      <w:tr w14:paraId="323E5DE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shd w:val="clear" w:color="auto" w:fill="F2F6FA"/>
            <w:tcMar>
              <w:top w:w="80" w:type="dxa"/>
              <w:left w:w="90" w:type="dxa"/>
              <w:bottom w:w="80" w:type="dxa"/>
              <w:right w:w="90" w:type="dxa"/>
            </w:tcMar>
            <w:vAlign w:val="center"/>
          </w:tcPr>
          <w:p w14:paraId="50919159">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crossover</w:t>
            </w:r>
          </w:p>
        </w:tc>
        <w:tc>
          <w:tcPr>
            <w:tcW w:w="3240" w:type="dxa"/>
            <w:shd w:val="clear" w:color="auto" w:fill="F2F6FA"/>
            <w:tcMar>
              <w:top w:w="80" w:type="dxa"/>
              <w:left w:w="90" w:type="dxa"/>
              <w:bottom w:w="80" w:type="dxa"/>
              <w:right w:w="90" w:type="dxa"/>
            </w:tcMar>
            <w:vAlign w:val="center"/>
          </w:tcPr>
          <w:p w14:paraId="49681725">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Maximum-ambiguity threshold</w:t>
            </w:r>
          </w:p>
        </w:tc>
        <w:tc>
          <w:tcPr>
            <w:tcW w:w="1872" w:type="dxa"/>
            <w:shd w:val="clear" w:color="auto" w:fill="F2F6FA"/>
            <w:tcMar>
              <w:top w:w="80" w:type="dxa"/>
              <w:left w:w="90" w:type="dxa"/>
              <w:bottom w:w="80" w:type="dxa"/>
              <w:right w:w="90" w:type="dxa"/>
            </w:tcMar>
            <w:vAlign w:val="center"/>
          </w:tcPr>
          <w:p w14:paraId="359D8E97">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Fuzzy-set anchor</w:t>
            </w:r>
          </w:p>
        </w:tc>
        <w:tc>
          <w:tcPr>
            <w:tcW w:w="2592" w:type="dxa"/>
            <w:shd w:val="clear" w:color="auto" w:fill="F2F6FA"/>
            <w:tcMar>
              <w:top w:w="80" w:type="dxa"/>
              <w:left w:w="90" w:type="dxa"/>
              <w:bottom w:w="80" w:type="dxa"/>
              <w:right w:w="90" w:type="dxa"/>
            </w:tcMar>
            <w:vAlign w:val="center"/>
          </w:tcPr>
          <w:p w14:paraId="28F20586">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50th percentile reported in the manuscript</w:t>
            </w:r>
          </w:p>
        </w:tc>
      </w:tr>
      <w:tr w14:paraId="7414401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1872" w:type="dxa"/>
            <w:tcMar>
              <w:top w:w="80" w:type="dxa"/>
              <w:left w:w="90" w:type="dxa"/>
              <w:bottom w:w="80" w:type="dxa"/>
              <w:right w:w="90" w:type="dxa"/>
            </w:tcMar>
            <w:vAlign w:val="center"/>
          </w:tcPr>
          <w:p w14:paraId="4079450F">
            <w:pPr>
              <w:spacing w:after="0" w:line="240" w:lineRule="auto"/>
              <w:jc w:val="center"/>
              <w:rPr>
                <w:rFonts w:hint="default" w:ascii="Times New Roman" w:hAnsi="Times New Roman" w:cs="Times New Roman"/>
              </w:rPr>
            </w:pPr>
            <w:r>
              <w:rPr>
                <w:rFonts w:hint="default" w:ascii="Times New Roman" w:hAnsi="Times New Roman" w:eastAsia="Arial" w:cs="Times New Roman"/>
                <w:b w:val="0"/>
                <w:color w:val="000000"/>
                <w:sz w:val="17"/>
              </w:rPr>
              <w:t>full non-membership</w:t>
            </w:r>
          </w:p>
        </w:tc>
        <w:tc>
          <w:tcPr>
            <w:tcW w:w="3240" w:type="dxa"/>
            <w:tcMar>
              <w:top w:w="80" w:type="dxa"/>
              <w:left w:w="90" w:type="dxa"/>
              <w:bottom w:w="80" w:type="dxa"/>
              <w:right w:w="90" w:type="dxa"/>
            </w:tcMar>
            <w:vAlign w:val="center"/>
          </w:tcPr>
          <w:p w14:paraId="1DA0A2D5">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Threshold for full non-membership</w:t>
            </w:r>
          </w:p>
        </w:tc>
        <w:tc>
          <w:tcPr>
            <w:tcW w:w="1872" w:type="dxa"/>
            <w:tcMar>
              <w:top w:w="80" w:type="dxa"/>
              <w:left w:w="90" w:type="dxa"/>
              <w:bottom w:w="80" w:type="dxa"/>
              <w:right w:w="90" w:type="dxa"/>
            </w:tcMar>
            <w:vAlign w:val="center"/>
          </w:tcPr>
          <w:p w14:paraId="7622D152">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Fuzzy-set anchor</w:t>
            </w:r>
          </w:p>
        </w:tc>
        <w:tc>
          <w:tcPr>
            <w:tcW w:w="2592" w:type="dxa"/>
            <w:tcMar>
              <w:top w:w="80" w:type="dxa"/>
              <w:left w:w="90" w:type="dxa"/>
              <w:bottom w:w="80" w:type="dxa"/>
              <w:right w:w="90" w:type="dxa"/>
            </w:tcMar>
            <w:vAlign w:val="center"/>
          </w:tcPr>
          <w:p w14:paraId="2FEEC3B2">
            <w:pPr>
              <w:spacing w:after="0" w:line="240" w:lineRule="auto"/>
              <w:jc w:val="left"/>
              <w:rPr>
                <w:rFonts w:hint="default" w:ascii="Times New Roman" w:hAnsi="Times New Roman" w:cs="Times New Roman"/>
              </w:rPr>
            </w:pPr>
            <w:r>
              <w:rPr>
                <w:rFonts w:hint="default" w:ascii="Times New Roman" w:hAnsi="Times New Roman" w:eastAsia="Arial" w:cs="Times New Roman"/>
                <w:b w:val="0"/>
                <w:color w:val="000000"/>
                <w:sz w:val="17"/>
              </w:rPr>
              <w:t>25th percentile reported in the manuscript</w:t>
            </w:r>
          </w:p>
        </w:tc>
      </w:tr>
    </w:tbl>
    <w:p w14:paraId="1AE39E82">
      <w:pPr>
        <w:keepNext/>
        <w:spacing w:before="200" w:after="80"/>
      </w:pPr>
      <w:r>
        <w:rPr>
          <w:rFonts w:ascii="Arial" w:hAnsi="Arial" w:eastAsia="Arial"/>
          <w:b/>
          <w:color w:val="000000"/>
          <w:sz w:val="21"/>
        </w:rPr>
        <w:t>Supplementary Table S3 fsQCA calibration anchors</w:t>
      </w:r>
    </w:p>
    <w:tbl>
      <w:tblPr>
        <w:tblStyle w:val="32"/>
        <w:tblW w:w="9576"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016"/>
        <w:gridCol w:w="2520"/>
        <w:gridCol w:w="2304"/>
        <w:gridCol w:w="2736"/>
      </w:tblGrid>
      <w:tr w14:paraId="5DD15E7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jc w:val="center"/>
        </w:trPr>
        <w:tc>
          <w:tcPr>
            <w:tcW w:w="2016" w:type="dxa"/>
            <w:tcBorders>
              <w:top w:val="single" w:color="000000" w:sz="12" w:space="0"/>
              <w:left w:val="nil"/>
              <w:bottom w:val="single" w:color="000000" w:sz="4" w:space="0"/>
              <w:right w:val="nil"/>
              <w:tl2br w:val="nil"/>
            </w:tcBorders>
            <w:shd w:val="clear" w:color="auto" w:fill="FFFFFF"/>
            <w:tcMar>
              <w:top w:w="80" w:type="dxa"/>
              <w:left w:w="90" w:type="dxa"/>
              <w:bottom w:w="80" w:type="dxa"/>
              <w:right w:w="90" w:type="dxa"/>
            </w:tcMar>
            <w:vAlign w:val="center"/>
          </w:tcPr>
          <w:p w14:paraId="70413946">
            <w:pPr>
              <w:spacing w:after="0" w:line="240" w:lineRule="auto"/>
              <w:jc w:val="center"/>
              <w:rPr>
                <w:rFonts w:hint="default" w:ascii="Times New Roman" w:hAnsi="Times New Roman" w:eastAsia="Arial" w:cs="Times New Roman"/>
                <w:b/>
                <w:bCs/>
                <w:color w:val="000000"/>
                <w:sz w:val="17"/>
              </w:rPr>
            </w:pPr>
            <w:r>
              <w:rPr>
                <w:rFonts w:hint="default" w:ascii="Times New Roman" w:hAnsi="Times New Roman" w:eastAsia="Arial" w:cs="Times New Roman"/>
                <w:b/>
                <w:bCs/>
                <w:color w:val="000000"/>
                <w:sz w:val="17"/>
              </w:rPr>
              <w:t>Variable</w:t>
            </w:r>
          </w:p>
        </w:tc>
        <w:tc>
          <w:tcPr>
            <w:tcW w:w="2520"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29361A7A">
            <w:pPr>
              <w:spacing w:after="0" w:line="240" w:lineRule="auto"/>
              <w:jc w:val="center"/>
              <w:rPr>
                <w:rFonts w:hint="default" w:ascii="Times New Roman" w:hAnsi="Times New Roman" w:eastAsia="Arial" w:cs="Times New Roman"/>
                <w:b/>
                <w:bCs/>
                <w:color w:val="000000"/>
                <w:sz w:val="17"/>
              </w:rPr>
            </w:pPr>
            <w:r>
              <w:rPr>
                <w:rFonts w:hint="default" w:ascii="Times New Roman" w:hAnsi="Times New Roman" w:eastAsia="Arial" w:cs="Times New Roman"/>
                <w:b/>
                <w:bCs/>
                <w:color w:val="000000"/>
                <w:sz w:val="17"/>
              </w:rPr>
              <w:t>Full membership</w:t>
            </w:r>
          </w:p>
        </w:tc>
        <w:tc>
          <w:tcPr>
            <w:tcW w:w="2304"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23BB16B4">
            <w:pPr>
              <w:spacing w:after="0" w:line="240" w:lineRule="auto"/>
              <w:jc w:val="center"/>
              <w:rPr>
                <w:rFonts w:hint="default" w:ascii="Times New Roman" w:hAnsi="Times New Roman" w:eastAsia="Arial" w:cs="Times New Roman"/>
                <w:b/>
                <w:bCs/>
                <w:color w:val="000000"/>
                <w:sz w:val="17"/>
              </w:rPr>
            </w:pPr>
            <w:r>
              <w:rPr>
                <w:rFonts w:hint="default" w:ascii="Times New Roman" w:hAnsi="Times New Roman" w:eastAsia="Arial" w:cs="Times New Roman"/>
                <w:b/>
                <w:bCs/>
                <w:color w:val="000000"/>
                <w:sz w:val="17"/>
              </w:rPr>
              <w:t>Crossover</w:t>
            </w:r>
          </w:p>
        </w:tc>
        <w:tc>
          <w:tcPr>
            <w:tcW w:w="2736"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01B4C433">
            <w:pPr>
              <w:spacing w:after="0" w:line="240" w:lineRule="auto"/>
              <w:jc w:val="center"/>
              <w:rPr>
                <w:rFonts w:hint="default" w:ascii="Times New Roman" w:hAnsi="Times New Roman" w:eastAsia="Arial" w:cs="Times New Roman"/>
                <w:b/>
                <w:bCs/>
                <w:color w:val="000000"/>
                <w:sz w:val="17"/>
              </w:rPr>
            </w:pPr>
            <w:r>
              <w:rPr>
                <w:rFonts w:hint="default" w:ascii="Times New Roman" w:hAnsi="Times New Roman" w:eastAsia="Arial" w:cs="Times New Roman"/>
                <w:b/>
                <w:bCs/>
                <w:color w:val="000000"/>
                <w:sz w:val="17"/>
              </w:rPr>
              <w:t>Full non-membership</w:t>
            </w:r>
          </w:p>
        </w:tc>
      </w:tr>
      <w:tr w14:paraId="4C0F2A8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016"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6D0259C7">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FLTE</w:t>
            </w:r>
          </w:p>
        </w:tc>
        <w:tc>
          <w:tcPr>
            <w:tcW w:w="2520"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7DC36C5A">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0.242</w:t>
            </w:r>
          </w:p>
        </w:tc>
        <w:tc>
          <w:tcPr>
            <w:tcW w:w="2304"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12A6043E">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0.077</w:t>
            </w:r>
          </w:p>
        </w:tc>
        <w:tc>
          <w:tcPr>
            <w:tcW w:w="2736"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2DE2E46B">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0.029</w:t>
            </w:r>
          </w:p>
        </w:tc>
      </w:tr>
      <w:tr w14:paraId="722AD47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016" w:type="dxa"/>
            <w:tcBorders>
              <w:top w:val="nil"/>
              <w:left w:val="nil"/>
              <w:bottom w:val="nil"/>
              <w:right w:val="nil"/>
            </w:tcBorders>
            <w:shd w:val="clear" w:color="auto" w:fill="FFFFFF"/>
            <w:tcMar>
              <w:top w:w="80" w:type="dxa"/>
              <w:left w:w="90" w:type="dxa"/>
              <w:bottom w:w="80" w:type="dxa"/>
              <w:right w:w="90" w:type="dxa"/>
            </w:tcMar>
            <w:vAlign w:val="center"/>
          </w:tcPr>
          <w:p w14:paraId="0D18ADAB">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URB</w:t>
            </w:r>
          </w:p>
        </w:tc>
        <w:tc>
          <w:tcPr>
            <w:tcW w:w="2520" w:type="dxa"/>
            <w:tcBorders>
              <w:top w:val="nil"/>
              <w:left w:val="nil"/>
              <w:bottom w:val="nil"/>
              <w:right w:val="nil"/>
            </w:tcBorders>
            <w:shd w:val="clear" w:color="auto" w:fill="FFFFFF"/>
            <w:tcMar>
              <w:top w:w="80" w:type="dxa"/>
              <w:left w:w="90" w:type="dxa"/>
              <w:bottom w:w="80" w:type="dxa"/>
              <w:right w:w="90" w:type="dxa"/>
            </w:tcMar>
            <w:vAlign w:val="center"/>
          </w:tcPr>
          <w:p w14:paraId="4282B1DA">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0.667</w:t>
            </w:r>
          </w:p>
        </w:tc>
        <w:tc>
          <w:tcPr>
            <w:tcW w:w="2304" w:type="dxa"/>
            <w:tcBorders>
              <w:top w:val="nil"/>
              <w:left w:val="nil"/>
              <w:bottom w:val="nil"/>
              <w:right w:val="nil"/>
            </w:tcBorders>
            <w:shd w:val="clear" w:color="auto" w:fill="FFFFFF"/>
            <w:tcMar>
              <w:top w:w="80" w:type="dxa"/>
              <w:left w:w="90" w:type="dxa"/>
              <w:bottom w:w="80" w:type="dxa"/>
              <w:right w:w="90" w:type="dxa"/>
            </w:tcMar>
            <w:vAlign w:val="center"/>
          </w:tcPr>
          <w:p w14:paraId="27191835">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0.593</w:t>
            </w:r>
          </w:p>
        </w:tc>
        <w:tc>
          <w:tcPr>
            <w:tcW w:w="2736" w:type="dxa"/>
            <w:tcBorders>
              <w:top w:val="nil"/>
              <w:left w:val="nil"/>
              <w:bottom w:val="nil"/>
              <w:right w:val="nil"/>
            </w:tcBorders>
            <w:shd w:val="clear" w:color="auto" w:fill="FFFFFF"/>
            <w:tcMar>
              <w:top w:w="80" w:type="dxa"/>
              <w:left w:w="90" w:type="dxa"/>
              <w:bottom w:w="80" w:type="dxa"/>
              <w:right w:w="90" w:type="dxa"/>
            </w:tcMar>
            <w:vAlign w:val="center"/>
          </w:tcPr>
          <w:p w14:paraId="3E62801E">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0.526</w:t>
            </w:r>
          </w:p>
        </w:tc>
      </w:tr>
      <w:tr w14:paraId="4C18A66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016" w:type="dxa"/>
            <w:tcBorders>
              <w:top w:val="nil"/>
              <w:left w:val="nil"/>
              <w:bottom w:val="nil"/>
              <w:right w:val="nil"/>
            </w:tcBorders>
            <w:shd w:val="clear" w:color="auto" w:fill="FFFFFF"/>
            <w:tcMar>
              <w:top w:w="80" w:type="dxa"/>
              <w:left w:w="90" w:type="dxa"/>
              <w:bottom w:w="80" w:type="dxa"/>
              <w:right w:w="90" w:type="dxa"/>
            </w:tcMar>
            <w:vAlign w:val="center"/>
          </w:tcPr>
          <w:p w14:paraId="03876EDF">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TDL</w:t>
            </w:r>
          </w:p>
        </w:tc>
        <w:tc>
          <w:tcPr>
            <w:tcW w:w="2520" w:type="dxa"/>
            <w:tcBorders>
              <w:top w:val="nil"/>
              <w:left w:val="nil"/>
              <w:bottom w:val="nil"/>
              <w:right w:val="nil"/>
            </w:tcBorders>
            <w:shd w:val="clear" w:color="auto" w:fill="FFFFFF"/>
            <w:tcMar>
              <w:top w:w="80" w:type="dxa"/>
              <w:left w:w="90" w:type="dxa"/>
              <w:bottom w:w="80" w:type="dxa"/>
              <w:right w:w="90" w:type="dxa"/>
            </w:tcMar>
            <w:vAlign w:val="center"/>
          </w:tcPr>
          <w:p w14:paraId="7B249F44">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0.16</w:t>
            </w:r>
          </w:p>
        </w:tc>
        <w:tc>
          <w:tcPr>
            <w:tcW w:w="2304" w:type="dxa"/>
            <w:tcBorders>
              <w:top w:val="nil"/>
              <w:left w:val="nil"/>
              <w:bottom w:val="nil"/>
              <w:right w:val="nil"/>
            </w:tcBorders>
            <w:shd w:val="clear" w:color="auto" w:fill="FFFFFF"/>
            <w:tcMar>
              <w:top w:w="80" w:type="dxa"/>
              <w:left w:w="90" w:type="dxa"/>
              <w:bottom w:w="80" w:type="dxa"/>
              <w:right w:w="90" w:type="dxa"/>
            </w:tcMar>
            <w:vAlign w:val="center"/>
          </w:tcPr>
          <w:p w14:paraId="2DACE170">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0.121</w:t>
            </w:r>
          </w:p>
        </w:tc>
        <w:tc>
          <w:tcPr>
            <w:tcW w:w="2736" w:type="dxa"/>
            <w:tcBorders>
              <w:top w:val="nil"/>
              <w:left w:val="nil"/>
              <w:bottom w:val="nil"/>
              <w:right w:val="nil"/>
            </w:tcBorders>
            <w:shd w:val="clear" w:color="auto" w:fill="FFFFFF"/>
            <w:tcMar>
              <w:top w:w="80" w:type="dxa"/>
              <w:left w:w="90" w:type="dxa"/>
              <w:bottom w:w="80" w:type="dxa"/>
              <w:right w:w="90" w:type="dxa"/>
            </w:tcMar>
            <w:vAlign w:val="center"/>
          </w:tcPr>
          <w:p w14:paraId="010D87F1">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0.087</w:t>
            </w:r>
          </w:p>
        </w:tc>
      </w:tr>
      <w:tr w14:paraId="2B86B68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016" w:type="dxa"/>
            <w:tcBorders>
              <w:top w:val="nil"/>
              <w:left w:val="nil"/>
              <w:bottom w:val="nil"/>
              <w:right w:val="nil"/>
            </w:tcBorders>
            <w:shd w:val="clear" w:color="auto" w:fill="FFFFFF"/>
            <w:tcMar>
              <w:top w:w="80" w:type="dxa"/>
              <w:left w:w="90" w:type="dxa"/>
              <w:bottom w:w="80" w:type="dxa"/>
              <w:right w:w="90" w:type="dxa"/>
            </w:tcMar>
            <w:vAlign w:val="center"/>
          </w:tcPr>
          <w:p w14:paraId="403EBB20">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IS</w:t>
            </w:r>
          </w:p>
        </w:tc>
        <w:tc>
          <w:tcPr>
            <w:tcW w:w="2520" w:type="dxa"/>
            <w:tcBorders>
              <w:top w:val="nil"/>
              <w:left w:val="nil"/>
              <w:bottom w:val="nil"/>
              <w:right w:val="nil"/>
            </w:tcBorders>
            <w:shd w:val="clear" w:color="auto" w:fill="FFFFFF"/>
            <w:tcMar>
              <w:top w:w="80" w:type="dxa"/>
              <w:left w:w="90" w:type="dxa"/>
              <w:bottom w:w="80" w:type="dxa"/>
              <w:right w:w="90" w:type="dxa"/>
            </w:tcMar>
            <w:vAlign w:val="center"/>
          </w:tcPr>
          <w:p w14:paraId="39929BA1">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0.554</w:t>
            </w:r>
          </w:p>
        </w:tc>
        <w:tc>
          <w:tcPr>
            <w:tcW w:w="2304" w:type="dxa"/>
            <w:tcBorders>
              <w:top w:val="nil"/>
              <w:left w:val="nil"/>
              <w:bottom w:val="nil"/>
              <w:right w:val="nil"/>
            </w:tcBorders>
            <w:shd w:val="clear" w:color="auto" w:fill="FFFFFF"/>
            <w:tcMar>
              <w:top w:w="80" w:type="dxa"/>
              <w:left w:w="90" w:type="dxa"/>
              <w:bottom w:w="80" w:type="dxa"/>
              <w:right w:w="90" w:type="dxa"/>
            </w:tcMar>
            <w:vAlign w:val="center"/>
          </w:tcPr>
          <w:p w14:paraId="3A5B847A">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0.515</w:t>
            </w:r>
          </w:p>
        </w:tc>
        <w:tc>
          <w:tcPr>
            <w:tcW w:w="2736" w:type="dxa"/>
            <w:tcBorders>
              <w:top w:val="nil"/>
              <w:left w:val="nil"/>
              <w:bottom w:val="nil"/>
              <w:right w:val="nil"/>
            </w:tcBorders>
            <w:shd w:val="clear" w:color="auto" w:fill="FFFFFF"/>
            <w:tcMar>
              <w:top w:w="80" w:type="dxa"/>
              <w:left w:w="90" w:type="dxa"/>
              <w:bottom w:w="80" w:type="dxa"/>
              <w:right w:w="90" w:type="dxa"/>
            </w:tcMar>
            <w:vAlign w:val="center"/>
          </w:tcPr>
          <w:p w14:paraId="6AF789A6">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0.465</w:t>
            </w:r>
          </w:p>
        </w:tc>
      </w:tr>
      <w:tr w14:paraId="013021B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016" w:type="dxa"/>
            <w:tcBorders>
              <w:top w:val="nil"/>
              <w:left w:val="nil"/>
              <w:bottom w:val="nil"/>
              <w:right w:val="nil"/>
            </w:tcBorders>
            <w:shd w:val="clear" w:color="auto" w:fill="FFFFFF"/>
            <w:tcMar>
              <w:top w:w="80" w:type="dxa"/>
              <w:left w:w="90" w:type="dxa"/>
              <w:bottom w:w="80" w:type="dxa"/>
              <w:right w:w="90" w:type="dxa"/>
            </w:tcMar>
            <w:vAlign w:val="center"/>
          </w:tcPr>
          <w:p w14:paraId="26AB8EBE">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LD</w:t>
            </w:r>
          </w:p>
        </w:tc>
        <w:tc>
          <w:tcPr>
            <w:tcW w:w="2520" w:type="dxa"/>
            <w:tcBorders>
              <w:top w:val="nil"/>
              <w:left w:val="nil"/>
              <w:bottom w:val="nil"/>
              <w:right w:val="nil"/>
            </w:tcBorders>
            <w:shd w:val="clear" w:color="auto" w:fill="FFFFFF"/>
            <w:tcMar>
              <w:top w:w="80" w:type="dxa"/>
              <w:left w:w="90" w:type="dxa"/>
              <w:bottom w:w="80" w:type="dxa"/>
              <w:right w:w="90" w:type="dxa"/>
            </w:tcMar>
            <w:vAlign w:val="center"/>
          </w:tcPr>
          <w:p w14:paraId="7D7C2FB6">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0.116</w:t>
            </w:r>
          </w:p>
        </w:tc>
        <w:tc>
          <w:tcPr>
            <w:tcW w:w="2304" w:type="dxa"/>
            <w:tcBorders>
              <w:top w:val="nil"/>
              <w:left w:val="nil"/>
              <w:bottom w:val="nil"/>
              <w:right w:val="nil"/>
            </w:tcBorders>
            <w:shd w:val="clear" w:color="auto" w:fill="FFFFFF"/>
            <w:tcMar>
              <w:top w:w="80" w:type="dxa"/>
              <w:left w:w="90" w:type="dxa"/>
              <w:bottom w:w="80" w:type="dxa"/>
              <w:right w:w="90" w:type="dxa"/>
            </w:tcMar>
            <w:vAlign w:val="center"/>
          </w:tcPr>
          <w:p w14:paraId="0B7307F1">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0.108</w:t>
            </w:r>
          </w:p>
        </w:tc>
        <w:tc>
          <w:tcPr>
            <w:tcW w:w="2736" w:type="dxa"/>
            <w:tcBorders>
              <w:top w:val="nil"/>
              <w:left w:val="nil"/>
              <w:bottom w:val="nil"/>
              <w:right w:val="nil"/>
            </w:tcBorders>
            <w:shd w:val="clear" w:color="auto" w:fill="FFFFFF"/>
            <w:tcMar>
              <w:top w:w="80" w:type="dxa"/>
              <w:left w:w="90" w:type="dxa"/>
              <w:bottom w:w="80" w:type="dxa"/>
              <w:right w:w="90" w:type="dxa"/>
            </w:tcMar>
            <w:vAlign w:val="center"/>
          </w:tcPr>
          <w:p w14:paraId="2C5A063E">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0.099</w:t>
            </w:r>
          </w:p>
        </w:tc>
      </w:tr>
      <w:tr w14:paraId="5249D3C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016"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5F1A4BF9">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NDVI</w:t>
            </w:r>
          </w:p>
        </w:tc>
        <w:tc>
          <w:tcPr>
            <w:tcW w:w="2520"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03D479CF">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0.823</w:t>
            </w:r>
          </w:p>
        </w:tc>
        <w:tc>
          <w:tcPr>
            <w:tcW w:w="2304"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7CFF220B">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0.788</w:t>
            </w:r>
          </w:p>
        </w:tc>
        <w:tc>
          <w:tcPr>
            <w:tcW w:w="2736"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59B54E30">
            <w:pPr>
              <w:spacing w:after="0" w:line="240" w:lineRule="auto"/>
              <w:jc w:val="center"/>
              <w:rPr>
                <w:rFonts w:hint="default" w:ascii="Times New Roman" w:hAnsi="Times New Roman" w:eastAsia="Arial" w:cs="Times New Roman"/>
                <w:b w:val="0"/>
                <w:color w:val="000000"/>
                <w:sz w:val="17"/>
              </w:rPr>
            </w:pPr>
            <w:r>
              <w:rPr>
                <w:rFonts w:hint="default" w:ascii="Times New Roman" w:hAnsi="Times New Roman" w:eastAsia="Arial" w:cs="Times New Roman"/>
                <w:b w:val="0"/>
                <w:color w:val="000000"/>
                <w:sz w:val="17"/>
              </w:rPr>
              <w:t>0.687</w:t>
            </w:r>
          </w:p>
        </w:tc>
      </w:tr>
    </w:tbl>
    <w:p w14:paraId="4A0BD6DB">
      <w:pPr>
        <w:keepLines w:val="0"/>
        <w:spacing w:after="160" w:line="259" w:lineRule="auto"/>
        <w:jc w:val="left"/>
        <w:rPr>
          <w:rFonts w:hint="default" w:ascii="Times New Roman" w:hAnsi="Times New Roman" w:cs="Times New Roman"/>
        </w:rPr>
      </w:pPr>
      <w:r>
        <w:rPr>
          <w:rFonts w:hint="default" w:ascii="Times New Roman" w:hAnsi="Times New Roman" w:eastAsia="Arial" w:cs="Times New Roman"/>
          <w:color w:val="000000"/>
          <w:sz w:val="21"/>
        </w:rPr>
        <w:t>Note: Direct calibration uses the 75th, 50th and 25th percentiles. Membership scores equal to 0.500 are adjusted to 0.501.</w:t>
      </w:r>
      <w:bookmarkStart w:id="0" w:name="_GoBack"/>
      <w:bookmarkEnd w:id="0"/>
    </w:p>
    <w:p w14:paraId="25B59F38">
      <w:r>
        <w:br w:type="page"/>
      </w:r>
    </w:p>
    <w:p w14:paraId="17E91280">
      <w:pPr>
        <w:pStyle w:val="3"/>
        <w:keepNext/>
        <w:spacing w:before="240" w:after="100"/>
        <w:rPr>
          <w:rFonts w:hint="default" w:ascii="Times New Roman" w:hAnsi="Times New Roman" w:cs="Times New Roman"/>
        </w:rPr>
      </w:pPr>
      <w:r>
        <w:rPr>
          <w:rFonts w:hint="default" w:ascii="Times New Roman" w:hAnsi="Times New Roman" w:eastAsia="Arial" w:cs="Times New Roman"/>
          <w:b/>
          <w:color w:val="000000"/>
          <w:sz w:val="26"/>
        </w:rPr>
        <w:t>Supplementary Figure</w:t>
      </w:r>
    </w:p>
    <w:p w14:paraId="09916132">
      <w:pPr>
        <w:keepNext/>
        <w:jc w:val="center"/>
      </w:pPr>
      <w:r>
        <w:drawing>
          <wp:inline distT="0" distB="0" distL="114300" distR="114300">
            <wp:extent cx="6172200" cy="2828925"/>
            <wp:effectExtent l="0" t="0" r="0" b="3175"/>
            <wp:docPr id="1" name="Picture 1" descr="XGBoost-SHAP feature-importance bars and SHAP value distributions for forestry leisure tourism development efficiency." title="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XGBoost-SHAP feature-importance bars and SHAP value distributions for forestry leisure tourism development efficiency." title="Supplementary Figure S1"/>
                    <pic:cNvPicPr>
                      <a:picLocks noChangeAspect="1"/>
                    </pic:cNvPicPr>
                  </pic:nvPicPr>
                  <pic:blipFill>
                    <a:blip r:embed="rId7"/>
                    <a:stretch>
                      <a:fillRect/>
                    </a:stretch>
                  </pic:blipFill>
                  <pic:spPr>
                    <a:xfrm>
                      <a:off x="0" y="0"/>
                      <a:ext cx="6172200" cy="2828925"/>
                    </a:xfrm>
                    <a:prstGeom prst="rect">
                      <a:avLst/>
                    </a:prstGeom>
                  </pic:spPr>
                </pic:pic>
              </a:graphicData>
            </a:graphic>
          </wp:inline>
        </w:drawing>
      </w:r>
    </w:p>
    <w:p w14:paraId="739899B1">
      <w:pPr>
        <w:keepNext/>
        <w:spacing w:before="80" w:after="200"/>
        <w:jc w:val="left"/>
        <w:rPr>
          <w:rFonts w:hint="default" w:ascii="Times New Roman" w:hAnsi="Times New Roman" w:cs="Times New Roman"/>
        </w:rPr>
      </w:pPr>
      <w:r>
        <w:rPr>
          <w:rFonts w:hint="default" w:ascii="Times New Roman" w:hAnsi="Times New Roman" w:eastAsia="Arial" w:cs="Times New Roman"/>
          <w:b/>
          <w:color w:val="000000"/>
          <w:sz w:val="19"/>
        </w:rPr>
        <w:t xml:space="preserve">Supplementary Figure S1. </w:t>
      </w:r>
      <w:r>
        <w:rPr>
          <w:rFonts w:hint="default" w:ascii="Times New Roman" w:hAnsi="Times New Roman" w:eastAsia="Arial" w:cs="Times New Roman"/>
          <w:color w:val="000000"/>
          <w:sz w:val="19"/>
        </w:rPr>
        <w:t>XGBoost-SHAP feature importance and SHAP value distribution for forestry leisure tourism development efficiency. SHAP values represent predictive contributions and do not establish causal effects.</w:t>
      </w:r>
    </w:p>
    <w:p w14:paraId="4F43E093">
      <w:pPr>
        <w:pStyle w:val="3"/>
        <w:keepNext/>
        <w:spacing w:before="240" w:after="100"/>
        <w:rPr>
          <w:rFonts w:hint="default" w:ascii="Times New Roman" w:hAnsi="Times New Roman" w:cs="Times New Roman"/>
        </w:rPr>
      </w:pPr>
      <w:r>
        <w:rPr>
          <w:rFonts w:hint="default" w:ascii="Times New Roman" w:hAnsi="Times New Roman" w:eastAsia="Arial" w:cs="Times New Roman"/>
          <w:b/>
          <w:color w:val="000000"/>
          <w:sz w:val="26"/>
        </w:rPr>
        <w:t>Data and Code Availability</w:t>
      </w:r>
    </w:p>
    <w:p w14:paraId="77D4805F">
      <w:pPr>
        <w:keepLines w:val="0"/>
        <w:spacing w:after="120" w:line="259" w:lineRule="auto"/>
        <w:jc w:val="both"/>
        <w:rPr>
          <w:rFonts w:hint="default" w:ascii="Times New Roman" w:hAnsi="Times New Roman" w:cs="Times New Roman"/>
        </w:rPr>
      </w:pPr>
      <w:r>
        <w:rPr>
          <w:rFonts w:hint="default" w:ascii="Times New Roman" w:hAnsi="Times New Roman" w:eastAsia="Arial" w:cs="Times New Roman"/>
          <w:color w:val="000000"/>
          <w:sz w:val="21"/>
        </w:rPr>
        <w:t>The province-year datasets and supporting materials used in this study are provided in the accompanying Supplementary Data and Code archive. The archive includes the raw and MATLAB-compatible data used for the Global Super-SBM analysis; the corresponding efficiency and productivity-index outputs; the level-form and natural-log panel datasets, spatial-weight matrix and Stata command file used for the spatial econometric analysis; the case-level input data and calibration anchors used for the fsQCA analysis; and the XGBoost-SHAP input data and corresponding figure. The principal study datasets contain 341 observations covering 31 Chinese provinces from 2013 to 2023. The underlying statistical series were compiled from the sources described in the manuscript. No human-participant or personally identifiable data are included.</w:t>
      </w:r>
    </w:p>
    <w:sectPr>
      <w:footerReference r:id="rId5" w:type="default"/>
      <w:pgSz w:w="12240" w:h="15840"/>
      <w:pgMar w:top="1152" w:right="1224" w:bottom="1080"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86A9B">
    <w:pPr>
      <w:pStyle w:val="24"/>
      <w:jc w:val="center"/>
    </w:pPr>
    <w:r>
      <w:rPr>
        <w:rFonts w:ascii="Arial" w:hAnsi="Arial" w:eastAsia="Arial"/>
        <w:color w:val="666666"/>
        <w:sz w:val="18"/>
      </w:rPr>
      <w:t xml:space="preserve">Page </w:t>
    </w:r>
    <w:r>
      <w:rPr>
        <w:rFonts w:ascii="Arial" w:hAnsi="Arial" w:eastAsia="Arial"/>
        <w:color w:val="666666"/>
        <w:sz w:val="18"/>
      </w:rPr>
      <w:fldChar w:fldCharType="begin"/>
    </w:r>
    <w:r>
      <w:rPr>
        <w:rFonts w:ascii="Arial" w:hAnsi="Arial" w:eastAsia="Arial"/>
        <w:color w:val="666666"/>
        <w:sz w:val="18"/>
      </w:rPr>
      <w:instrText xml:space="preserve">PAGE</w:instrText>
    </w:r>
    <w:r>
      <w:rPr>
        <w:rFonts w:ascii="Arial" w:hAnsi="Arial" w:eastAsia="Arial"/>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FEA1CDC"/>
    <w:rsid w:val="3474225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color w:val="000000"/>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rFonts w:ascii="Arial" w:hAnsi="Arial" w:eastAsia="Arial"/>
      <w:b/>
      <w:bCs/>
      <w:color w:val="000000"/>
      <w:sz w:val="18"/>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000000"/>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1062</Words>
  <Characters>7004</Characters>
  <Lines>0</Lines>
  <Paragraphs>0</Paragraphs>
  <TotalTime>3</TotalTime>
  <ScaleCrop>false</ScaleCrop>
  <LinksUpToDate>false</LinksUpToDate>
  <CharactersWithSpaces>7886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dc:creator>
  <dc:description>generated by python-docx</dc:description>
  <cp:keywords>Supplementary Information, FLTE, Super-SBM, SDM, fsQCA, XGBoost-SHAP</cp:keywords>
  <cp:lastModifiedBy>。</cp:lastModifiedBy>
  <dcterms:modified xsi:type="dcterms:W3CDTF">2026-10-08T10:50:16Z</dcterms:modified>
  <dc:subject>Pathways to Sustainable Forestry Leisure Tourism in China: Efficiency Dynamics, Spatial Spillovers, and Configurational Evidence</dc:subject>
  <dc:title>Supplementary Information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eyJoZGlkIjoiYzhjMGM4ZjY1MDlmM2RiZjhhYzQyODE5YWY0ZjQ3NWIiLCJ1c2VySWQiOiIxMjI1NTk0NzU2In0=</vt:lpwstr>
  </property>
  <property fmtid="{D5CDD505-2E9C-101B-9397-08002B2CF9AE}" pid="3" name="KSOProductBuildVer">
    <vt:lpwstr>2052-12.1.0.28505</vt:lpwstr>
  </property>
  <property fmtid="{D5CDD505-2E9C-101B-9397-08002B2CF9AE}" pid="4" name="ICV">
    <vt:lpwstr>44DB88148C6440A58C43A381B8C9E7F8_13</vt:lpwstr>
  </property>
</Properties>
</file>