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67F7F" w14:textId="49BAE5B6" w:rsidR="001046A6" w:rsidRPr="001046A6" w:rsidRDefault="001046A6" w:rsidP="001046A6">
      <w:pPr>
        <w:rPr>
          <w:rFonts w:ascii="Times New Roman" w:hAnsi="Times New Roman" w:cs="Times New Roman"/>
          <w:b/>
          <w:bCs/>
        </w:rPr>
      </w:pPr>
      <w:r w:rsidRPr="001046A6">
        <w:rPr>
          <w:rFonts w:ascii="Times New Roman" w:hAnsi="Times New Roman" w:cs="Times New Roman"/>
          <w:b/>
          <w:bCs/>
        </w:rPr>
        <w:t>Supplementary Table 1. Five-point Likert Scale Criteria for Subjective CT Image Noise Assessment</w:t>
      </w:r>
    </w:p>
    <w:tbl>
      <w:tblPr>
        <w:tblW w:w="0" w:type="auto"/>
        <w:tblLook w:val="04A0" w:firstRow="1" w:lastRow="0" w:firstColumn="1" w:lastColumn="0" w:noHBand="0" w:noVBand="1"/>
      </w:tblPr>
      <w:tblGrid>
        <w:gridCol w:w="951"/>
        <w:gridCol w:w="1144"/>
        <w:gridCol w:w="1476"/>
        <w:gridCol w:w="1223"/>
        <w:gridCol w:w="1278"/>
        <w:gridCol w:w="1344"/>
        <w:gridCol w:w="1224"/>
      </w:tblGrid>
      <w:tr w:rsidR="001046A6" w:rsidRPr="001046A6" w14:paraId="0AA1DFF9" w14:textId="77777777" w:rsidTr="001046A6">
        <w:trPr>
          <w:trHeight w:val="920"/>
        </w:trPr>
        <w:tc>
          <w:tcPr>
            <w:tcW w:w="0" w:type="auto"/>
            <w:tcBorders>
              <w:top w:val="single" w:sz="4" w:space="0" w:color="auto"/>
              <w:left w:val="nil"/>
              <w:bottom w:val="single" w:sz="4" w:space="0" w:color="auto"/>
              <w:right w:val="nil"/>
            </w:tcBorders>
            <w:vAlign w:val="center"/>
            <w:hideMark/>
          </w:tcPr>
          <w:p w14:paraId="49E65C48"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Domain</w:t>
            </w:r>
          </w:p>
        </w:tc>
        <w:tc>
          <w:tcPr>
            <w:tcW w:w="0" w:type="auto"/>
            <w:tcBorders>
              <w:top w:val="single" w:sz="4" w:space="0" w:color="auto"/>
              <w:left w:val="nil"/>
              <w:bottom w:val="single" w:sz="4" w:space="0" w:color="auto"/>
              <w:right w:val="nil"/>
            </w:tcBorders>
            <w:vAlign w:val="center"/>
            <w:hideMark/>
          </w:tcPr>
          <w:p w14:paraId="256F15FE"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Evaluation criterion</w:t>
            </w:r>
          </w:p>
        </w:tc>
        <w:tc>
          <w:tcPr>
            <w:tcW w:w="0" w:type="auto"/>
            <w:tcBorders>
              <w:top w:val="single" w:sz="4" w:space="0" w:color="auto"/>
              <w:left w:val="nil"/>
              <w:bottom w:val="single" w:sz="4" w:space="0" w:color="auto"/>
              <w:right w:val="nil"/>
            </w:tcBorders>
            <w:vAlign w:val="center"/>
            <w:hideMark/>
          </w:tcPr>
          <w:p w14:paraId="31AB70F7"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Score 1</w:t>
            </w:r>
          </w:p>
        </w:tc>
        <w:tc>
          <w:tcPr>
            <w:tcW w:w="0" w:type="auto"/>
            <w:tcBorders>
              <w:top w:val="single" w:sz="4" w:space="0" w:color="auto"/>
              <w:left w:val="nil"/>
              <w:bottom w:val="single" w:sz="4" w:space="0" w:color="auto"/>
              <w:right w:val="nil"/>
            </w:tcBorders>
            <w:vAlign w:val="center"/>
            <w:hideMark/>
          </w:tcPr>
          <w:p w14:paraId="19197658"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Score 2</w:t>
            </w:r>
          </w:p>
        </w:tc>
        <w:tc>
          <w:tcPr>
            <w:tcW w:w="0" w:type="auto"/>
            <w:tcBorders>
              <w:top w:val="single" w:sz="4" w:space="0" w:color="auto"/>
              <w:left w:val="nil"/>
              <w:bottom w:val="single" w:sz="4" w:space="0" w:color="auto"/>
              <w:right w:val="nil"/>
            </w:tcBorders>
            <w:vAlign w:val="center"/>
            <w:hideMark/>
          </w:tcPr>
          <w:p w14:paraId="00DDD3CE"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Score 3</w:t>
            </w:r>
          </w:p>
        </w:tc>
        <w:tc>
          <w:tcPr>
            <w:tcW w:w="0" w:type="auto"/>
            <w:tcBorders>
              <w:top w:val="single" w:sz="4" w:space="0" w:color="auto"/>
              <w:left w:val="nil"/>
              <w:bottom w:val="single" w:sz="4" w:space="0" w:color="auto"/>
              <w:right w:val="nil"/>
            </w:tcBorders>
            <w:vAlign w:val="center"/>
            <w:hideMark/>
          </w:tcPr>
          <w:p w14:paraId="59134466"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Score 4</w:t>
            </w:r>
          </w:p>
        </w:tc>
        <w:tc>
          <w:tcPr>
            <w:tcW w:w="0" w:type="auto"/>
            <w:tcBorders>
              <w:top w:val="single" w:sz="4" w:space="0" w:color="auto"/>
              <w:left w:val="nil"/>
              <w:bottom w:val="single" w:sz="4" w:space="0" w:color="auto"/>
              <w:right w:val="nil"/>
            </w:tcBorders>
            <w:vAlign w:val="center"/>
            <w:hideMark/>
          </w:tcPr>
          <w:p w14:paraId="5333F098"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Score 5</w:t>
            </w:r>
          </w:p>
        </w:tc>
      </w:tr>
      <w:tr w:rsidR="001046A6" w:rsidRPr="001046A6" w14:paraId="15A188B4" w14:textId="77777777" w:rsidTr="001046A6">
        <w:trPr>
          <w:trHeight w:val="1890"/>
        </w:trPr>
        <w:tc>
          <w:tcPr>
            <w:tcW w:w="0" w:type="auto"/>
            <w:tcBorders>
              <w:top w:val="nil"/>
              <w:left w:val="nil"/>
              <w:bottom w:val="nil"/>
              <w:right w:val="nil"/>
            </w:tcBorders>
            <w:vAlign w:val="center"/>
            <w:hideMark/>
          </w:tcPr>
          <w:p w14:paraId="7F1A0462"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Bone evaluation</w:t>
            </w:r>
          </w:p>
        </w:tc>
        <w:tc>
          <w:tcPr>
            <w:tcW w:w="0" w:type="auto"/>
            <w:tcBorders>
              <w:top w:val="nil"/>
              <w:left w:val="nil"/>
              <w:bottom w:val="nil"/>
              <w:right w:val="nil"/>
            </w:tcBorders>
            <w:vAlign w:val="center"/>
            <w:hideMark/>
          </w:tcPr>
          <w:p w14:paraId="242714E5"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Implant margin sharpness</w:t>
            </w:r>
          </w:p>
        </w:tc>
        <w:tc>
          <w:tcPr>
            <w:tcW w:w="0" w:type="auto"/>
            <w:tcBorders>
              <w:top w:val="nil"/>
              <w:left w:val="nil"/>
              <w:bottom w:val="nil"/>
              <w:right w:val="nil"/>
            </w:tcBorders>
            <w:vAlign w:val="center"/>
            <w:hideMark/>
          </w:tcPr>
          <w:p w14:paraId="0A59613F"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Severely blurred or distorted; most contours unrecognizable</w:t>
            </w:r>
          </w:p>
        </w:tc>
        <w:tc>
          <w:tcPr>
            <w:tcW w:w="0" w:type="auto"/>
            <w:tcBorders>
              <w:top w:val="nil"/>
              <w:left w:val="nil"/>
              <w:bottom w:val="nil"/>
              <w:right w:val="nil"/>
            </w:tcBorders>
            <w:vAlign w:val="center"/>
            <w:hideMark/>
          </w:tcPr>
          <w:p w14:paraId="21F46F60"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Markedly blurred; partial contours identifiable, but assessment substantially limited</w:t>
            </w:r>
          </w:p>
        </w:tc>
        <w:tc>
          <w:tcPr>
            <w:tcW w:w="0" w:type="auto"/>
            <w:tcBorders>
              <w:top w:val="nil"/>
              <w:left w:val="nil"/>
              <w:bottom w:val="nil"/>
              <w:right w:val="nil"/>
            </w:tcBorders>
            <w:vAlign w:val="center"/>
            <w:hideMark/>
          </w:tcPr>
          <w:p w14:paraId="39618646"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Major margins identifiable with some blurring; generally meets basic evaluation requirements</w:t>
            </w:r>
          </w:p>
        </w:tc>
        <w:tc>
          <w:tcPr>
            <w:tcW w:w="0" w:type="auto"/>
            <w:tcBorders>
              <w:top w:val="nil"/>
              <w:left w:val="nil"/>
              <w:bottom w:val="nil"/>
              <w:right w:val="nil"/>
            </w:tcBorders>
            <w:vAlign w:val="center"/>
            <w:hideMark/>
          </w:tcPr>
          <w:p w14:paraId="6D690172"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Clear margins with only minor local blurring; does not impair assessment</w:t>
            </w:r>
          </w:p>
        </w:tc>
        <w:tc>
          <w:tcPr>
            <w:tcW w:w="0" w:type="auto"/>
            <w:tcBorders>
              <w:top w:val="nil"/>
              <w:left w:val="nil"/>
              <w:bottom w:val="nil"/>
              <w:right w:val="nil"/>
            </w:tcBorders>
            <w:vAlign w:val="center"/>
            <w:hideMark/>
          </w:tcPr>
          <w:p w14:paraId="70696055"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Sharp, continuous implant margins; clearly delineated without appreciable blurring</w:t>
            </w:r>
          </w:p>
        </w:tc>
      </w:tr>
      <w:tr w:rsidR="001046A6" w:rsidRPr="001046A6" w14:paraId="73F3BA3F" w14:textId="77777777" w:rsidTr="001046A6">
        <w:trPr>
          <w:trHeight w:val="2100"/>
        </w:trPr>
        <w:tc>
          <w:tcPr>
            <w:tcW w:w="0" w:type="auto"/>
            <w:tcBorders>
              <w:top w:val="nil"/>
              <w:left w:val="nil"/>
              <w:bottom w:val="nil"/>
              <w:right w:val="nil"/>
            </w:tcBorders>
            <w:vAlign w:val="center"/>
            <w:hideMark/>
          </w:tcPr>
          <w:p w14:paraId="7106238D"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p>
        </w:tc>
        <w:tc>
          <w:tcPr>
            <w:tcW w:w="0" w:type="auto"/>
            <w:tcBorders>
              <w:top w:val="nil"/>
              <w:left w:val="nil"/>
              <w:bottom w:val="nil"/>
              <w:right w:val="nil"/>
            </w:tcBorders>
            <w:vAlign w:val="center"/>
            <w:hideMark/>
          </w:tcPr>
          <w:p w14:paraId="138EC0FA"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Metal artifact suppression</w:t>
            </w:r>
          </w:p>
        </w:tc>
        <w:tc>
          <w:tcPr>
            <w:tcW w:w="0" w:type="auto"/>
            <w:tcBorders>
              <w:top w:val="nil"/>
              <w:left w:val="nil"/>
              <w:bottom w:val="nil"/>
              <w:right w:val="nil"/>
            </w:tcBorders>
            <w:vAlign w:val="center"/>
            <w:hideMark/>
          </w:tcPr>
          <w:p w14:paraId="668DE7E5"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Severe streaks, dark bands, or high/low-density artifacts extensively obscuring adjacent structures</w:t>
            </w:r>
          </w:p>
        </w:tc>
        <w:tc>
          <w:tcPr>
            <w:tcW w:w="0" w:type="auto"/>
            <w:tcBorders>
              <w:top w:val="nil"/>
              <w:left w:val="nil"/>
              <w:bottom w:val="nil"/>
              <w:right w:val="nil"/>
            </w:tcBorders>
            <w:vAlign w:val="center"/>
            <w:hideMark/>
          </w:tcPr>
          <w:p w14:paraId="6D063B6B"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Marked artifacts substantially limiting observation of adjacent structures</w:t>
            </w:r>
          </w:p>
        </w:tc>
        <w:tc>
          <w:tcPr>
            <w:tcW w:w="0" w:type="auto"/>
            <w:tcBorders>
              <w:top w:val="nil"/>
              <w:left w:val="nil"/>
              <w:bottom w:val="nil"/>
              <w:right w:val="nil"/>
            </w:tcBorders>
            <w:vAlign w:val="center"/>
            <w:hideMark/>
          </w:tcPr>
          <w:p w14:paraId="2322620C"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Moderate residual artifacts, but major structures remain evaluable</w:t>
            </w:r>
          </w:p>
        </w:tc>
        <w:tc>
          <w:tcPr>
            <w:tcW w:w="0" w:type="auto"/>
            <w:tcBorders>
              <w:top w:val="nil"/>
              <w:left w:val="nil"/>
              <w:bottom w:val="nil"/>
              <w:right w:val="nil"/>
            </w:tcBorders>
            <w:vAlign w:val="center"/>
            <w:hideMark/>
          </w:tcPr>
          <w:p w14:paraId="791828AB"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Mild localized residual artifacts with minimal impact on structural assessment</w:t>
            </w:r>
          </w:p>
        </w:tc>
        <w:tc>
          <w:tcPr>
            <w:tcW w:w="0" w:type="auto"/>
            <w:tcBorders>
              <w:top w:val="nil"/>
              <w:left w:val="nil"/>
              <w:bottom w:val="nil"/>
              <w:right w:val="nil"/>
            </w:tcBorders>
            <w:vAlign w:val="center"/>
            <w:hideMark/>
          </w:tcPr>
          <w:p w14:paraId="2EDD1ECF"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Artifacts minimal or essentially absent; adjacent bone and trabecular details are well depicted</w:t>
            </w:r>
          </w:p>
        </w:tc>
      </w:tr>
      <w:tr w:rsidR="001046A6" w:rsidRPr="001046A6" w14:paraId="00FF3D03" w14:textId="77777777" w:rsidTr="001046A6">
        <w:trPr>
          <w:trHeight w:val="1890"/>
        </w:trPr>
        <w:tc>
          <w:tcPr>
            <w:tcW w:w="0" w:type="auto"/>
            <w:tcBorders>
              <w:top w:val="nil"/>
              <w:left w:val="nil"/>
              <w:bottom w:val="nil"/>
              <w:right w:val="nil"/>
            </w:tcBorders>
            <w:vAlign w:val="center"/>
            <w:hideMark/>
          </w:tcPr>
          <w:p w14:paraId="683CF4ED"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p>
        </w:tc>
        <w:tc>
          <w:tcPr>
            <w:tcW w:w="0" w:type="auto"/>
            <w:tcBorders>
              <w:top w:val="nil"/>
              <w:left w:val="nil"/>
              <w:bottom w:val="nil"/>
              <w:right w:val="nil"/>
            </w:tcBorders>
            <w:vAlign w:val="center"/>
            <w:hideMark/>
          </w:tcPr>
          <w:p w14:paraId="058D13A0"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Visualization of periprosthetic bone</w:t>
            </w:r>
          </w:p>
        </w:tc>
        <w:tc>
          <w:tcPr>
            <w:tcW w:w="0" w:type="auto"/>
            <w:tcBorders>
              <w:top w:val="nil"/>
              <w:left w:val="nil"/>
              <w:bottom w:val="nil"/>
              <w:right w:val="nil"/>
            </w:tcBorders>
            <w:vAlign w:val="center"/>
            <w:hideMark/>
          </w:tcPr>
          <w:p w14:paraId="10368757"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Most periprosthetic bone obscured by artifacts; essentially not evaluable</w:t>
            </w:r>
          </w:p>
        </w:tc>
        <w:tc>
          <w:tcPr>
            <w:tcW w:w="0" w:type="auto"/>
            <w:tcBorders>
              <w:top w:val="nil"/>
              <w:left w:val="nil"/>
              <w:bottom w:val="nil"/>
              <w:right w:val="nil"/>
            </w:tcBorders>
            <w:vAlign w:val="center"/>
            <w:hideMark/>
          </w:tcPr>
          <w:p w14:paraId="16F2E083"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Poor bone visualization; only limited areas discernible</w:t>
            </w:r>
          </w:p>
        </w:tc>
        <w:tc>
          <w:tcPr>
            <w:tcW w:w="0" w:type="auto"/>
            <w:tcBorders>
              <w:top w:val="nil"/>
              <w:left w:val="nil"/>
              <w:bottom w:val="nil"/>
              <w:right w:val="nil"/>
            </w:tcBorders>
            <w:vAlign w:val="center"/>
            <w:hideMark/>
          </w:tcPr>
          <w:p w14:paraId="7E9BB523"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Major bony structures visible; partial details can be basically assessed</w:t>
            </w:r>
          </w:p>
        </w:tc>
        <w:tc>
          <w:tcPr>
            <w:tcW w:w="0" w:type="auto"/>
            <w:tcBorders>
              <w:top w:val="nil"/>
              <w:left w:val="nil"/>
              <w:bottom w:val="nil"/>
              <w:right w:val="nil"/>
            </w:tcBorders>
            <w:vAlign w:val="center"/>
            <w:hideMark/>
          </w:tcPr>
          <w:p w14:paraId="3680FEB8"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Interface clear and continuous with only minor local impairment; allows reliable assessment</w:t>
            </w:r>
          </w:p>
        </w:tc>
        <w:tc>
          <w:tcPr>
            <w:tcW w:w="0" w:type="auto"/>
            <w:tcBorders>
              <w:top w:val="nil"/>
              <w:left w:val="nil"/>
              <w:bottom w:val="nil"/>
              <w:right w:val="nil"/>
            </w:tcBorders>
            <w:vAlign w:val="center"/>
            <w:hideMark/>
          </w:tcPr>
          <w:p w14:paraId="0DB8AE31"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Sharp, continuous, and clear bone–implant interface; allows full observation of interfacial details</w:t>
            </w:r>
          </w:p>
        </w:tc>
      </w:tr>
      <w:tr w:rsidR="001046A6" w:rsidRPr="001046A6" w14:paraId="10C76C29" w14:textId="77777777" w:rsidTr="001046A6">
        <w:trPr>
          <w:trHeight w:val="1890"/>
        </w:trPr>
        <w:tc>
          <w:tcPr>
            <w:tcW w:w="0" w:type="auto"/>
            <w:tcBorders>
              <w:top w:val="nil"/>
              <w:left w:val="nil"/>
              <w:bottom w:val="nil"/>
              <w:right w:val="nil"/>
            </w:tcBorders>
            <w:vAlign w:val="center"/>
            <w:hideMark/>
          </w:tcPr>
          <w:p w14:paraId="5AD439D6"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p>
        </w:tc>
        <w:tc>
          <w:tcPr>
            <w:tcW w:w="0" w:type="auto"/>
            <w:tcBorders>
              <w:top w:val="nil"/>
              <w:left w:val="nil"/>
              <w:bottom w:val="nil"/>
              <w:right w:val="nil"/>
            </w:tcBorders>
            <w:vAlign w:val="center"/>
            <w:hideMark/>
          </w:tcPr>
          <w:p w14:paraId="1ABBA4DB"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Bone–implant interface visualization</w:t>
            </w:r>
          </w:p>
        </w:tc>
        <w:tc>
          <w:tcPr>
            <w:tcW w:w="0" w:type="auto"/>
            <w:tcBorders>
              <w:top w:val="nil"/>
              <w:left w:val="nil"/>
              <w:bottom w:val="nil"/>
              <w:right w:val="nil"/>
            </w:tcBorders>
            <w:vAlign w:val="center"/>
            <w:hideMark/>
          </w:tcPr>
          <w:p w14:paraId="2BB029E5"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Interface essentially unrecognizable; relationship between bone and implant cannot be evaluated</w:t>
            </w:r>
          </w:p>
        </w:tc>
        <w:tc>
          <w:tcPr>
            <w:tcW w:w="0" w:type="auto"/>
            <w:tcBorders>
              <w:top w:val="nil"/>
              <w:left w:val="nil"/>
              <w:bottom w:val="nil"/>
              <w:right w:val="nil"/>
            </w:tcBorders>
            <w:vAlign w:val="center"/>
            <w:hideMark/>
          </w:tcPr>
          <w:p w14:paraId="204402D8"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Most of the interface indistinct; only localized portions discernible</w:t>
            </w:r>
          </w:p>
        </w:tc>
        <w:tc>
          <w:tcPr>
            <w:tcW w:w="0" w:type="auto"/>
            <w:tcBorders>
              <w:top w:val="nil"/>
              <w:left w:val="nil"/>
              <w:bottom w:val="nil"/>
              <w:right w:val="nil"/>
            </w:tcBorders>
            <w:vAlign w:val="center"/>
            <w:hideMark/>
          </w:tcPr>
          <w:p w14:paraId="6C2DEB56"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Most of the interface discernible; some details can be evaluated</w:t>
            </w:r>
          </w:p>
        </w:tc>
        <w:tc>
          <w:tcPr>
            <w:tcW w:w="0" w:type="auto"/>
            <w:tcBorders>
              <w:top w:val="nil"/>
              <w:left w:val="nil"/>
              <w:bottom w:val="nil"/>
              <w:right w:val="nil"/>
            </w:tcBorders>
            <w:vAlign w:val="center"/>
            <w:hideMark/>
          </w:tcPr>
          <w:p w14:paraId="38AA3E66"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Clear and continuous interface with only minor local impairment; allows reliable assessment</w:t>
            </w:r>
          </w:p>
        </w:tc>
        <w:tc>
          <w:tcPr>
            <w:tcW w:w="0" w:type="auto"/>
            <w:tcBorders>
              <w:top w:val="nil"/>
              <w:left w:val="nil"/>
              <w:bottom w:val="nil"/>
              <w:right w:val="nil"/>
            </w:tcBorders>
            <w:vAlign w:val="center"/>
            <w:hideMark/>
          </w:tcPr>
          <w:p w14:paraId="7628A824"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Sharp, continuous, and clear bone–implant interface; allows full observation of interfacial details</w:t>
            </w:r>
          </w:p>
        </w:tc>
      </w:tr>
      <w:tr w:rsidR="001046A6" w:rsidRPr="001046A6" w14:paraId="0841C7BE" w14:textId="77777777" w:rsidTr="001046A6">
        <w:trPr>
          <w:trHeight w:val="1890"/>
        </w:trPr>
        <w:tc>
          <w:tcPr>
            <w:tcW w:w="0" w:type="auto"/>
            <w:tcBorders>
              <w:top w:val="nil"/>
              <w:left w:val="nil"/>
              <w:bottom w:val="nil"/>
              <w:right w:val="nil"/>
            </w:tcBorders>
            <w:vAlign w:val="center"/>
            <w:hideMark/>
          </w:tcPr>
          <w:p w14:paraId="4D8D16C4" w14:textId="77777777" w:rsidR="001046A6" w:rsidRPr="001046A6" w:rsidRDefault="001046A6" w:rsidP="001046A6">
            <w:pPr>
              <w:spacing w:after="0" w:line="240" w:lineRule="auto"/>
              <w:rPr>
                <w:rFonts w:ascii="Times New Roman" w:eastAsia="Times New Roman" w:hAnsi="Times New Roman" w:cs="Times New Roman"/>
                <w:b/>
                <w:bCs/>
                <w:color w:val="000000"/>
                <w:kern w:val="0"/>
                <w:sz w:val="16"/>
                <w:szCs w:val="16"/>
                <w14:ligatures w14:val="none"/>
              </w:rPr>
            </w:pPr>
            <w:r w:rsidRPr="001046A6">
              <w:rPr>
                <w:rFonts w:ascii="Times New Roman" w:eastAsia="Times New Roman" w:hAnsi="Times New Roman" w:cs="Times New Roman"/>
                <w:b/>
                <w:bCs/>
                <w:color w:val="000000"/>
                <w:kern w:val="0"/>
                <w:sz w:val="16"/>
                <w:szCs w:val="16"/>
                <w14:ligatures w14:val="none"/>
              </w:rPr>
              <w:t>Soft tissue evaluation</w:t>
            </w:r>
          </w:p>
        </w:tc>
        <w:tc>
          <w:tcPr>
            <w:tcW w:w="0" w:type="auto"/>
            <w:tcBorders>
              <w:top w:val="nil"/>
              <w:left w:val="nil"/>
              <w:bottom w:val="nil"/>
              <w:right w:val="nil"/>
            </w:tcBorders>
            <w:vAlign w:val="center"/>
            <w:hideMark/>
          </w:tcPr>
          <w:p w14:paraId="38AF4E0C"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Soft tissue contrast</w:t>
            </w:r>
          </w:p>
        </w:tc>
        <w:tc>
          <w:tcPr>
            <w:tcW w:w="0" w:type="auto"/>
            <w:tcBorders>
              <w:top w:val="nil"/>
              <w:left w:val="nil"/>
              <w:bottom w:val="nil"/>
              <w:right w:val="nil"/>
            </w:tcBorders>
            <w:vAlign w:val="center"/>
            <w:hideMark/>
          </w:tcPr>
          <w:p w14:paraId="3851EAF7"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Extremely poor gray-scale differentiation; different tissues essentially indistinguishable</w:t>
            </w:r>
          </w:p>
        </w:tc>
        <w:tc>
          <w:tcPr>
            <w:tcW w:w="0" w:type="auto"/>
            <w:tcBorders>
              <w:top w:val="nil"/>
              <w:left w:val="nil"/>
              <w:bottom w:val="nil"/>
              <w:right w:val="nil"/>
            </w:tcBorders>
            <w:vAlign w:val="center"/>
            <w:hideMark/>
          </w:tcPr>
          <w:p w14:paraId="39AFDFF2"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Poor contrast; most soft-tissue structures difficult to differentiate</w:t>
            </w:r>
          </w:p>
        </w:tc>
        <w:tc>
          <w:tcPr>
            <w:tcW w:w="0" w:type="auto"/>
            <w:tcBorders>
              <w:top w:val="nil"/>
              <w:left w:val="nil"/>
              <w:bottom w:val="nil"/>
              <w:right w:val="nil"/>
            </w:tcBorders>
            <w:vAlign w:val="center"/>
            <w:hideMark/>
          </w:tcPr>
          <w:p w14:paraId="2B2F1511"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Discernible contrast among major soft tissues; generally meets basic evaluation requirements</w:t>
            </w:r>
          </w:p>
        </w:tc>
        <w:tc>
          <w:tcPr>
            <w:tcW w:w="0" w:type="auto"/>
            <w:tcBorders>
              <w:top w:val="nil"/>
              <w:left w:val="nil"/>
              <w:bottom w:val="nil"/>
              <w:right w:val="nil"/>
            </w:tcBorders>
            <w:vAlign w:val="center"/>
            <w:hideMark/>
          </w:tcPr>
          <w:p w14:paraId="4847F1F6"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Good soft-tissue contrast; different tissues easily distinguishable</w:t>
            </w:r>
          </w:p>
        </w:tc>
        <w:tc>
          <w:tcPr>
            <w:tcW w:w="0" w:type="auto"/>
            <w:tcBorders>
              <w:top w:val="nil"/>
              <w:left w:val="nil"/>
              <w:bottom w:val="nil"/>
              <w:right w:val="nil"/>
            </w:tcBorders>
            <w:vAlign w:val="center"/>
            <w:hideMark/>
          </w:tcPr>
          <w:p w14:paraId="0B1A3A78"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Excellent soft-tissue contrast; tissue layers and attenuation differences clearly depicted</w:t>
            </w:r>
          </w:p>
        </w:tc>
      </w:tr>
      <w:tr w:rsidR="001046A6" w:rsidRPr="001046A6" w14:paraId="4E20AEA4" w14:textId="77777777" w:rsidTr="001046A6">
        <w:trPr>
          <w:trHeight w:val="1680"/>
        </w:trPr>
        <w:tc>
          <w:tcPr>
            <w:tcW w:w="0" w:type="auto"/>
            <w:tcBorders>
              <w:top w:val="nil"/>
              <w:left w:val="nil"/>
              <w:bottom w:val="nil"/>
              <w:right w:val="nil"/>
            </w:tcBorders>
            <w:vAlign w:val="center"/>
            <w:hideMark/>
          </w:tcPr>
          <w:p w14:paraId="5E9875B3"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p>
        </w:tc>
        <w:tc>
          <w:tcPr>
            <w:tcW w:w="0" w:type="auto"/>
            <w:tcBorders>
              <w:top w:val="nil"/>
              <w:left w:val="nil"/>
              <w:bottom w:val="nil"/>
              <w:right w:val="nil"/>
            </w:tcBorders>
            <w:vAlign w:val="center"/>
            <w:hideMark/>
          </w:tcPr>
          <w:p w14:paraId="19E83E47"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Muscle–fat boundary delineation</w:t>
            </w:r>
          </w:p>
        </w:tc>
        <w:tc>
          <w:tcPr>
            <w:tcW w:w="0" w:type="auto"/>
            <w:tcBorders>
              <w:top w:val="nil"/>
              <w:left w:val="nil"/>
              <w:bottom w:val="nil"/>
              <w:right w:val="nil"/>
            </w:tcBorders>
            <w:vAlign w:val="center"/>
            <w:hideMark/>
          </w:tcPr>
          <w:p w14:paraId="7DA9F2FF"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Muscle–fat boundaries essentially unrecognizable</w:t>
            </w:r>
          </w:p>
        </w:tc>
        <w:tc>
          <w:tcPr>
            <w:tcW w:w="0" w:type="auto"/>
            <w:tcBorders>
              <w:top w:val="nil"/>
              <w:left w:val="nil"/>
              <w:bottom w:val="nil"/>
              <w:right w:val="nil"/>
            </w:tcBorders>
            <w:vAlign w:val="center"/>
            <w:hideMark/>
          </w:tcPr>
          <w:p w14:paraId="7BDC0C3B"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Boundaries markedly blurred; most regions difficult to define</w:t>
            </w:r>
          </w:p>
        </w:tc>
        <w:tc>
          <w:tcPr>
            <w:tcW w:w="0" w:type="auto"/>
            <w:tcBorders>
              <w:top w:val="nil"/>
              <w:left w:val="nil"/>
              <w:bottom w:val="nil"/>
              <w:right w:val="nil"/>
            </w:tcBorders>
            <w:vAlign w:val="center"/>
            <w:hideMark/>
          </w:tcPr>
          <w:p w14:paraId="43CE2D58"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Major boundaries discernible, with some local noise/artifacts affecting delineation</w:t>
            </w:r>
          </w:p>
        </w:tc>
        <w:tc>
          <w:tcPr>
            <w:tcW w:w="0" w:type="auto"/>
            <w:tcBorders>
              <w:top w:val="nil"/>
              <w:left w:val="nil"/>
              <w:bottom w:val="nil"/>
              <w:right w:val="nil"/>
            </w:tcBorders>
            <w:vAlign w:val="center"/>
            <w:hideMark/>
          </w:tcPr>
          <w:p w14:paraId="57AE50D3"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Boundaries relatively clear and continuous; only minor local impairment</w:t>
            </w:r>
          </w:p>
        </w:tc>
        <w:tc>
          <w:tcPr>
            <w:tcW w:w="0" w:type="auto"/>
            <w:tcBorders>
              <w:top w:val="nil"/>
              <w:left w:val="nil"/>
              <w:bottom w:val="nil"/>
              <w:right w:val="nil"/>
            </w:tcBorders>
            <w:vAlign w:val="center"/>
            <w:hideMark/>
          </w:tcPr>
          <w:p w14:paraId="555F8FE9"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Sharp, continuous muscle–fat boundaries; anatomical layers clearly displayed</w:t>
            </w:r>
          </w:p>
        </w:tc>
      </w:tr>
      <w:tr w:rsidR="001046A6" w:rsidRPr="001046A6" w14:paraId="42052D78" w14:textId="77777777" w:rsidTr="001046A6">
        <w:trPr>
          <w:trHeight w:val="1680"/>
        </w:trPr>
        <w:tc>
          <w:tcPr>
            <w:tcW w:w="0" w:type="auto"/>
            <w:tcBorders>
              <w:top w:val="nil"/>
              <w:left w:val="nil"/>
              <w:bottom w:val="nil"/>
              <w:right w:val="nil"/>
            </w:tcBorders>
            <w:vAlign w:val="center"/>
            <w:hideMark/>
          </w:tcPr>
          <w:p w14:paraId="56D8B0FA"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p>
        </w:tc>
        <w:tc>
          <w:tcPr>
            <w:tcW w:w="0" w:type="auto"/>
            <w:tcBorders>
              <w:top w:val="nil"/>
              <w:left w:val="nil"/>
              <w:bottom w:val="nil"/>
              <w:right w:val="nil"/>
            </w:tcBorders>
            <w:vAlign w:val="center"/>
            <w:hideMark/>
          </w:tcPr>
          <w:p w14:paraId="520A5A22"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Artifact interference with soft tissues</w:t>
            </w:r>
          </w:p>
        </w:tc>
        <w:tc>
          <w:tcPr>
            <w:tcW w:w="0" w:type="auto"/>
            <w:tcBorders>
              <w:top w:val="nil"/>
              <w:left w:val="nil"/>
              <w:bottom w:val="nil"/>
              <w:right w:val="nil"/>
            </w:tcBorders>
            <w:vAlign w:val="center"/>
            <w:hideMark/>
          </w:tcPr>
          <w:p w14:paraId="7230B918"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Severe artifacts extensively covering soft tissues; essentially not evaluable</w:t>
            </w:r>
          </w:p>
        </w:tc>
        <w:tc>
          <w:tcPr>
            <w:tcW w:w="0" w:type="auto"/>
            <w:tcBorders>
              <w:top w:val="nil"/>
              <w:left w:val="nil"/>
              <w:bottom w:val="nil"/>
              <w:right w:val="nil"/>
            </w:tcBorders>
            <w:vAlign w:val="center"/>
            <w:hideMark/>
          </w:tcPr>
          <w:p w14:paraId="5239B964"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Marked artifact interference; assessment of most soft-tissue structures limited</w:t>
            </w:r>
          </w:p>
        </w:tc>
        <w:tc>
          <w:tcPr>
            <w:tcW w:w="0" w:type="auto"/>
            <w:tcBorders>
              <w:top w:val="nil"/>
              <w:left w:val="nil"/>
              <w:bottom w:val="nil"/>
              <w:right w:val="nil"/>
            </w:tcBorders>
            <w:vAlign w:val="center"/>
            <w:hideMark/>
          </w:tcPr>
          <w:p w14:paraId="0B8A0BEC"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Moderate artifacts; major soft-tissue structures still evaluable</w:t>
            </w:r>
          </w:p>
        </w:tc>
        <w:tc>
          <w:tcPr>
            <w:tcW w:w="0" w:type="auto"/>
            <w:tcBorders>
              <w:top w:val="nil"/>
              <w:left w:val="nil"/>
              <w:bottom w:val="nil"/>
              <w:right w:val="nil"/>
            </w:tcBorders>
            <w:vAlign w:val="center"/>
            <w:hideMark/>
          </w:tcPr>
          <w:p w14:paraId="49F80100"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Only mild artifacts; minimal impact on soft-tissue assessment</w:t>
            </w:r>
          </w:p>
        </w:tc>
        <w:tc>
          <w:tcPr>
            <w:tcW w:w="0" w:type="auto"/>
            <w:tcBorders>
              <w:top w:val="nil"/>
              <w:left w:val="nil"/>
              <w:bottom w:val="nil"/>
              <w:right w:val="nil"/>
            </w:tcBorders>
            <w:vAlign w:val="center"/>
            <w:hideMark/>
          </w:tcPr>
          <w:p w14:paraId="4A4B338B"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Artifacts have no substantial impact on soft-tissue evaluation</w:t>
            </w:r>
          </w:p>
        </w:tc>
      </w:tr>
      <w:tr w:rsidR="001046A6" w:rsidRPr="001046A6" w14:paraId="4F1D9EBD" w14:textId="77777777" w:rsidTr="001046A6">
        <w:trPr>
          <w:trHeight w:val="1680"/>
        </w:trPr>
        <w:tc>
          <w:tcPr>
            <w:tcW w:w="0" w:type="auto"/>
            <w:tcBorders>
              <w:top w:val="nil"/>
              <w:left w:val="nil"/>
              <w:bottom w:val="single" w:sz="4" w:space="0" w:color="auto"/>
              <w:right w:val="nil"/>
            </w:tcBorders>
            <w:vAlign w:val="center"/>
            <w:hideMark/>
          </w:tcPr>
          <w:p w14:paraId="5BAE237E"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 </w:t>
            </w:r>
          </w:p>
        </w:tc>
        <w:tc>
          <w:tcPr>
            <w:tcW w:w="0" w:type="auto"/>
            <w:tcBorders>
              <w:top w:val="nil"/>
              <w:left w:val="nil"/>
              <w:bottom w:val="single" w:sz="4" w:space="0" w:color="auto"/>
              <w:right w:val="nil"/>
            </w:tcBorders>
            <w:vAlign w:val="center"/>
            <w:hideMark/>
          </w:tcPr>
          <w:p w14:paraId="42947CE1"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Diagnostic confidence</w:t>
            </w:r>
          </w:p>
        </w:tc>
        <w:tc>
          <w:tcPr>
            <w:tcW w:w="0" w:type="auto"/>
            <w:tcBorders>
              <w:top w:val="nil"/>
              <w:left w:val="nil"/>
              <w:bottom w:val="single" w:sz="4" w:space="0" w:color="auto"/>
              <w:right w:val="nil"/>
            </w:tcBorders>
            <w:vAlign w:val="center"/>
            <w:hideMark/>
          </w:tcPr>
          <w:p w14:paraId="558790FD"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Image quality inadequate for reliable radiological assessment</w:t>
            </w:r>
          </w:p>
        </w:tc>
        <w:tc>
          <w:tcPr>
            <w:tcW w:w="0" w:type="auto"/>
            <w:tcBorders>
              <w:top w:val="nil"/>
              <w:left w:val="nil"/>
              <w:bottom w:val="single" w:sz="4" w:space="0" w:color="auto"/>
              <w:right w:val="nil"/>
            </w:tcBorders>
            <w:vAlign w:val="center"/>
            <w:hideMark/>
          </w:tcPr>
          <w:p w14:paraId="4CD21E2A"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Low confidence; only limited judgment possible</w:t>
            </w:r>
          </w:p>
        </w:tc>
        <w:tc>
          <w:tcPr>
            <w:tcW w:w="0" w:type="auto"/>
            <w:tcBorders>
              <w:top w:val="nil"/>
              <w:left w:val="nil"/>
              <w:bottom w:val="single" w:sz="4" w:space="0" w:color="auto"/>
              <w:right w:val="nil"/>
            </w:tcBorders>
            <w:vAlign w:val="center"/>
            <w:hideMark/>
          </w:tcPr>
          <w:p w14:paraId="33DC0C72"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Moderate confidence; images basically meet routine evaluation requirements</w:t>
            </w:r>
          </w:p>
        </w:tc>
        <w:tc>
          <w:tcPr>
            <w:tcW w:w="0" w:type="auto"/>
            <w:tcBorders>
              <w:top w:val="nil"/>
              <w:left w:val="nil"/>
              <w:bottom w:val="single" w:sz="4" w:space="0" w:color="auto"/>
              <w:right w:val="nil"/>
            </w:tcBorders>
            <w:vAlign w:val="center"/>
            <w:hideMark/>
          </w:tcPr>
          <w:p w14:paraId="1BD64D6E"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High confidence; allows relatively reliable assessment of peri-implant soft tissues</w:t>
            </w:r>
          </w:p>
        </w:tc>
        <w:tc>
          <w:tcPr>
            <w:tcW w:w="0" w:type="auto"/>
            <w:tcBorders>
              <w:top w:val="nil"/>
              <w:left w:val="nil"/>
              <w:bottom w:val="single" w:sz="4" w:space="0" w:color="auto"/>
              <w:right w:val="nil"/>
            </w:tcBorders>
            <w:vAlign w:val="center"/>
            <w:hideMark/>
          </w:tcPr>
          <w:p w14:paraId="07652A8A" w14:textId="77777777" w:rsidR="001046A6" w:rsidRPr="001046A6" w:rsidRDefault="001046A6" w:rsidP="001046A6">
            <w:pPr>
              <w:spacing w:after="0" w:line="240" w:lineRule="auto"/>
              <w:rPr>
                <w:rFonts w:ascii="Times New Roman" w:eastAsia="Times New Roman" w:hAnsi="Times New Roman" w:cs="Times New Roman"/>
                <w:color w:val="000000"/>
                <w:kern w:val="0"/>
                <w:sz w:val="16"/>
                <w:szCs w:val="16"/>
                <w14:ligatures w14:val="none"/>
              </w:rPr>
            </w:pPr>
            <w:r w:rsidRPr="001046A6">
              <w:rPr>
                <w:rFonts w:ascii="Times New Roman" w:eastAsia="Times New Roman" w:hAnsi="Times New Roman" w:cs="Times New Roman"/>
                <w:color w:val="000000"/>
                <w:kern w:val="0"/>
                <w:sz w:val="16"/>
                <w:szCs w:val="16"/>
                <w14:ligatures w14:val="none"/>
              </w:rPr>
              <w:t>Image quality fully adequate to meet the requirements for evaluating peri-implant soft tissues</w:t>
            </w:r>
          </w:p>
        </w:tc>
      </w:tr>
    </w:tbl>
    <w:p w14:paraId="046698E5" w14:textId="2E2F6B4D" w:rsidR="00355BD2" w:rsidRPr="003C6033" w:rsidRDefault="003C6033">
      <w:pPr>
        <w:rPr>
          <w:rFonts w:ascii="Times New Roman" w:hAnsi="Times New Roman" w:cs="Times New Roman"/>
          <w:sz w:val="20"/>
          <w:szCs w:val="20"/>
        </w:rPr>
      </w:pPr>
      <w:r w:rsidRPr="003C6033">
        <w:rPr>
          <w:rFonts w:ascii="Times New Roman" w:hAnsi="Times New Roman" w:cs="Times New Roman"/>
          <w:b/>
          <w:bCs/>
          <w:sz w:val="20"/>
          <w:szCs w:val="20"/>
        </w:rPr>
        <w:t>Footnote:</w:t>
      </w:r>
      <w:r>
        <w:rPr>
          <w:rFonts w:ascii="Times New Roman" w:hAnsi="Times New Roman" w:cs="Times New Roman" w:hint="eastAsia"/>
          <w:b/>
          <w:bCs/>
          <w:sz w:val="20"/>
          <w:szCs w:val="20"/>
        </w:rPr>
        <w:t xml:space="preserve"> </w:t>
      </w:r>
      <w:r w:rsidRPr="003C6033">
        <w:rPr>
          <w:rFonts w:ascii="Times New Roman" w:hAnsi="Times New Roman" w:cs="Times New Roman"/>
          <w:sz w:val="18"/>
          <w:szCs w:val="18"/>
        </w:rPr>
        <w:t>All criteria were graded using a 5-point Likert scale (1 = poorest, 5 = best). The assessment was independently performed by two experienced musculoskeletal radiologists, and any discrepancies were resolved by consensus. This scoring system was applied to evaluate both bone and soft tissue components on the study CT images.</w:t>
      </w:r>
    </w:p>
    <w:sectPr w:rsidR="00355BD2" w:rsidRPr="003C603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A6"/>
    <w:rsid w:val="001046A6"/>
    <w:rsid w:val="002B32E8"/>
    <w:rsid w:val="00355BD2"/>
    <w:rsid w:val="003855EA"/>
    <w:rsid w:val="003C6033"/>
    <w:rsid w:val="004321F6"/>
    <w:rsid w:val="0063157C"/>
    <w:rsid w:val="00760BB5"/>
    <w:rsid w:val="00DA3323"/>
    <w:rsid w:val="00FD40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7874B"/>
  <w15:chartTrackingRefBased/>
  <w15:docId w15:val="{9B7E494D-6E7D-404B-B558-E6E3B8CB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6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46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46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46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46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46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6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6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6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6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46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6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6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6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6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6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6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6A6"/>
    <w:rPr>
      <w:rFonts w:eastAsiaTheme="majorEastAsia" w:cstheme="majorBidi"/>
      <w:color w:val="272727" w:themeColor="text1" w:themeTint="D8"/>
    </w:rPr>
  </w:style>
  <w:style w:type="paragraph" w:styleId="Title">
    <w:name w:val="Title"/>
    <w:basedOn w:val="Normal"/>
    <w:next w:val="Normal"/>
    <w:link w:val="TitleChar"/>
    <w:uiPriority w:val="10"/>
    <w:qFormat/>
    <w:rsid w:val="001046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6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6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6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6A6"/>
    <w:pPr>
      <w:spacing w:before="160"/>
      <w:jc w:val="center"/>
    </w:pPr>
    <w:rPr>
      <w:i/>
      <w:iCs/>
      <w:color w:val="404040" w:themeColor="text1" w:themeTint="BF"/>
    </w:rPr>
  </w:style>
  <w:style w:type="character" w:customStyle="1" w:styleId="QuoteChar">
    <w:name w:val="Quote Char"/>
    <w:basedOn w:val="DefaultParagraphFont"/>
    <w:link w:val="Quote"/>
    <w:uiPriority w:val="29"/>
    <w:rsid w:val="001046A6"/>
    <w:rPr>
      <w:i/>
      <w:iCs/>
      <w:color w:val="404040" w:themeColor="text1" w:themeTint="BF"/>
    </w:rPr>
  </w:style>
  <w:style w:type="paragraph" w:styleId="ListParagraph">
    <w:name w:val="List Paragraph"/>
    <w:basedOn w:val="Normal"/>
    <w:uiPriority w:val="34"/>
    <w:qFormat/>
    <w:rsid w:val="001046A6"/>
    <w:pPr>
      <w:ind w:left="720"/>
      <w:contextualSpacing/>
    </w:pPr>
  </w:style>
  <w:style w:type="character" w:styleId="IntenseEmphasis">
    <w:name w:val="Intense Emphasis"/>
    <w:basedOn w:val="DefaultParagraphFont"/>
    <w:uiPriority w:val="21"/>
    <w:qFormat/>
    <w:rsid w:val="001046A6"/>
    <w:rPr>
      <w:i/>
      <w:iCs/>
      <w:color w:val="0F4761" w:themeColor="accent1" w:themeShade="BF"/>
    </w:rPr>
  </w:style>
  <w:style w:type="paragraph" w:styleId="IntenseQuote">
    <w:name w:val="Intense Quote"/>
    <w:basedOn w:val="Normal"/>
    <w:next w:val="Normal"/>
    <w:link w:val="IntenseQuoteChar"/>
    <w:uiPriority w:val="30"/>
    <w:qFormat/>
    <w:rsid w:val="001046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46A6"/>
    <w:rPr>
      <w:i/>
      <w:iCs/>
      <w:color w:val="0F4761" w:themeColor="accent1" w:themeShade="BF"/>
    </w:rPr>
  </w:style>
  <w:style w:type="character" w:styleId="IntenseReference">
    <w:name w:val="Intense Reference"/>
    <w:basedOn w:val="DefaultParagraphFont"/>
    <w:uiPriority w:val="32"/>
    <w:qFormat/>
    <w:rsid w:val="001046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538041">
      <w:bodyDiv w:val="1"/>
      <w:marLeft w:val="0"/>
      <w:marRight w:val="0"/>
      <w:marTop w:val="0"/>
      <w:marBottom w:val="0"/>
      <w:divBdr>
        <w:top w:val="none" w:sz="0" w:space="0" w:color="auto"/>
        <w:left w:val="none" w:sz="0" w:space="0" w:color="auto"/>
        <w:bottom w:val="none" w:sz="0" w:space="0" w:color="auto"/>
        <w:right w:val="none" w:sz="0" w:space="0" w:color="auto"/>
      </w:divBdr>
      <w:divsChild>
        <w:div w:id="1697122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f6dbec8-95a8-4638-9f5f-bd076536645c}" enabled="1" method="Standard" siteId="{5dbf1add-202a-4b8d-815b-bf0fb024e033}" contentBits="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2</Pages>
  <Words>581</Words>
  <Characters>3314</Characters>
  <Application>Microsoft Office Word</Application>
  <DocSecurity>0</DocSecurity>
  <Lines>27</Lines>
  <Paragraphs>7</Paragraphs>
  <ScaleCrop>false</ScaleCrop>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Deng kai</dc:creator>
  <cp:keywords/>
  <dc:description/>
  <cp:lastModifiedBy>Deng kai</cp:lastModifiedBy>
  <cp:revision>2</cp:revision>
  <dcterms:created xsi:type="dcterms:W3CDTF">2026-08-26T08:07:00Z</dcterms:created>
  <dcterms:modified xsi:type="dcterms:W3CDTF">2026-08-26T08:13:00Z</dcterms:modified>
</cp:coreProperties>
</file>